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001-36510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Three Bala Plaza East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Bala Cynwyd, Pennsylvania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LRMR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April 30, 2025, Larimar Therapeutics, Inc. announced its financial results and operational highlights for the first quarter ended March 31, 2025. A copy of the press release is being furnished as Exhibit 99.1 to this Current Report on Form 8-K and is incorporated herein by reference.</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list of exhibits included with this Current Report on Form 8-K.</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60" w:type="dxa"/>
            <w:vAlign w:val="bottom"/>
          </w:tcPr>
          <w:p>
            <w:pPr>
              <w:spacing w:after="0"/>
              <w:rPr>
                <w:sz w:val="15"/>
                <w:szCs w:val="15"/>
                <w:color w:val="auto"/>
              </w:rPr>
            </w:pPr>
          </w:p>
        </w:tc>
        <w:tc>
          <w:tcPr>
            <w:tcW w:w="9740" w:type="dxa"/>
            <w:vAlign w:val="bottom"/>
            <w:tcBorders>
              <w:bottom w:val="single" w:sz="8" w:color="auto"/>
            </w:tcBorders>
            <w:gridSpan w:val="2"/>
          </w:tcPr>
          <w:p>
            <w:pPr>
              <w:ind w:left="4540"/>
              <w:spacing w:after="0"/>
              <w:rPr>
                <w:sz w:val="20"/>
                <w:szCs w:val="20"/>
                <w:color w:val="auto"/>
              </w:rPr>
            </w:pPr>
            <w:r>
              <w:rPr>
                <w:rFonts w:ascii="Times New Roman" w:cs="Times New Roman" w:eastAsia="Times New Roman" w:hAnsi="Times New Roman"/>
                <w:sz w:val="14"/>
                <w:szCs w:val="14"/>
                <w:b w:val="1"/>
                <w:bCs w:val="1"/>
                <w:color w:val="auto"/>
              </w:rPr>
              <w:t>Document</w:t>
            </w: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14"/>
                <w:szCs w:val="14"/>
                <w:color w:val="auto"/>
              </w:rPr>
            </w:pPr>
          </w:p>
        </w:tc>
        <w:tc>
          <w:tcPr>
            <w:tcW w:w="97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issued by Larimar Therapeutics, Inc. on April 30, 2025*</w:t>
            </w: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080" w:type="dxa"/>
            <w:vAlign w:val="bottom"/>
            <w:tcBorders>
              <w:right w:val="single" w:sz="8" w:color="0000EE"/>
            </w:tcBorders>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bl>
    <w:p>
      <w:pPr>
        <w:spacing w:after="0" w:line="9" w:lineRule="exact"/>
        <w:rPr>
          <w:sz w:val="20"/>
          <w:szCs w:val="20"/>
          <w:color w:val="auto"/>
        </w:rPr>
      </w:pPr>
    </w:p>
    <w:p>
      <w:pPr>
        <w:ind w:right="3980" w:firstLine="8"/>
        <w:spacing w:after="0" w:line="407" w:lineRule="auto"/>
        <w:tabs>
          <w:tab w:leader="none" w:pos="14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374" w:lineRule="exact"/>
        <w:rPr>
          <w:sz w:val="20"/>
          <w:szCs w:val="20"/>
          <w:color w:val="auto"/>
        </w:rPr>
      </w:pPr>
    </w:p>
    <w:p>
      <w:pPr>
        <w:spacing w:after="0"/>
        <w:tabs>
          <w:tab w:leader="none" w:pos="660" w:val="left"/>
          <w:tab w:leader="none" w:pos="5620" w:val="left"/>
          <w:tab w:leader="none" w:pos="6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Name: Carole S. Ben-Maimon, M.D.</w:t>
      </w:r>
    </w:p>
    <w:p>
      <w:pPr>
        <w:spacing w:after="0" w:line="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1379855"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79855" cy="4800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Larimar Therapeutics Reports First Quarter 2025 Financial Results</w:t>
      </w:r>
    </w:p>
    <w:p>
      <w:pPr>
        <w:spacing w:after="0" w:line="195" w:lineRule="exact"/>
        <w:rPr>
          <w:sz w:val="20"/>
          <w:szCs w:val="20"/>
          <w:color w:val="auto"/>
        </w:rPr>
      </w:pPr>
    </w:p>
    <w:p>
      <w:pPr>
        <w:ind w:left="760" w:right="24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FDA stated as part of a START pilot program meeting that it is open to considering skin FXN concentration as a reasonably likely surrogate endpoint in support of an accelerated approval</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BLA seeking accelerated approval planned to be submitted by year-end 2025; global Phase 3 study planned to initiate in mid-2025</w:t>
      </w:r>
    </w:p>
    <w:p>
      <w:pPr>
        <w:spacing w:after="0" w:line="251" w:lineRule="exact"/>
        <w:rPr>
          <w:rFonts w:ascii="Times New Roman" w:cs="Times New Roman" w:eastAsia="Times New Roman" w:hAnsi="Times New Roman"/>
          <w:sz w:val="18"/>
          <w:szCs w:val="18"/>
          <w:color w:val="auto"/>
        </w:rPr>
      </w:pPr>
    </w:p>
    <w:p>
      <w:pPr>
        <w:ind w:left="760" w:right="40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Completed dosing in adolescent PK run-in study; topline 50 mg dose data from the OLE study and data from adolescent cohort planned for program update in September 2025</w:t>
      </w:r>
    </w:p>
    <w:p>
      <w:pPr>
        <w:spacing w:after="0" w:line="144" w:lineRule="exact"/>
        <w:rPr>
          <w:rFonts w:ascii="Times New Roman" w:cs="Times New Roman" w:eastAsia="Times New Roman" w:hAnsi="Times New Roman"/>
          <w:sz w:val="18"/>
          <w:szCs w:val="18"/>
          <w:color w:val="auto"/>
        </w:rPr>
      </w:pPr>
    </w:p>
    <w:p>
      <w:pPr>
        <w:ind w:left="760" w:right="8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Strong balance sheet of $157.5 million cash, cash equivalents and marketable securities as of March 31, 2025, with projected cash runway into second quarter of 2026</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Bala Cynwyd, PA, </w:t>
      </w:r>
      <w:r>
        <w:rPr>
          <w:rFonts w:ascii="Arial" w:cs="Arial" w:eastAsia="Arial" w:hAnsi="Arial"/>
          <w:sz w:val="18"/>
          <w:szCs w:val="18"/>
          <w:color w:val="auto"/>
        </w:rPr>
        <w:t>April 30, 2025 – Larimar Therapeutics, Inc. (Larimar) (Nasdaq: LRMR), a clinical-stage biotechnology company focused</w:t>
      </w:r>
      <w:r>
        <w:rPr>
          <w:rFonts w:ascii="Arial" w:cs="Arial" w:eastAsia="Arial" w:hAnsi="Arial"/>
          <w:sz w:val="18"/>
          <w:szCs w:val="18"/>
          <w:b w:val="1"/>
          <w:bCs w:val="1"/>
          <w:color w:val="auto"/>
        </w:rPr>
        <w:t xml:space="preserve"> </w:t>
      </w:r>
      <w:r>
        <w:rPr>
          <w:rFonts w:ascii="Arial" w:cs="Arial" w:eastAsia="Arial" w:hAnsi="Arial"/>
          <w:sz w:val="18"/>
          <w:szCs w:val="18"/>
          <w:color w:val="auto"/>
        </w:rPr>
        <w:t>on developing treatments for complex rare diseases, today reported its first quarter 2025 operating and financial results.</w:t>
      </w:r>
    </w:p>
    <w:p>
      <w:pPr>
        <w:spacing w:after="0" w:line="14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strong execution across our nomlabofusp clinical development program continues and we are focused on delivering the first potential disease modifying therapy to patients with FA. Importantly, with the robust preclinical and clinical data package we have in hand and the additional clinical data readouts coming later this year, coupled with the positive FDA feedback and recommendations in line with our current approach, we are on track to submit our planned Biologics License Application (BLA) by the end of 2025 to seek accelerated approval,” said Carole Ben-Maimon, MD, President, and Chief Executive Officer of Larimar. “We continue to have frequent communication with the FDA via our START pilot program participation including interactions regarding the adequacy of the safety data set required to support BLA submission. In mid-2025 we expect to initiate our global Phase 3 study following global regulatory feedback on the study protocol, and we also expect to transition to the lyophilized formulation of nomlabofusp. We completed dosing of adolescents in our pharmacokinetic (PK) run-in study and expect to report adolescent data from that study, along with data from participants receiving the 50 mg dose of nomlabofusp daily in our long-term open label extension (OLE) study. This program update will be in September 2025. We look forward to these important near-term catalysts as we work to bring nomlabofusp towards potential registration.”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14" w:lineRule="exact"/>
        <w:rPr>
          <w:sz w:val="20"/>
          <w:szCs w:val="20"/>
          <w:color w:val="auto"/>
        </w:rPr>
      </w:pPr>
    </w:p>
    <w:p>
      <w:pPr>
        <w:ind w:left="760" w:right="120" w:hanging="378"/>
        <w:spacing w:after="0" w:line="238"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Completed Dosing of Adolescents in Pharmacokinetic (PK) Run-In Study: </w:t>
      </w:r>
      <w:r>
        <w:rPr>
          <w:rFonts w:ascii="Arial" w:cs="Arial" w:eastAsia="Arial" w:hAnsi="Arial"/>
          <w:sz w:val="18"/>
          <w:szCs w:val="18"/>
          <w:color w:val="auto"/>
        </w:rPr>
        <w:t>Today Larimar announced completion of dosing of</w:t>
      </w:r>
      <w:r>
        <w:rPr>
          <w:rFonts w:ascii="Arial" w:cs="Arial" w:eastAsia="Arial" w:hAnsi="Arial"/>
          <w:sz w:val="18"/>
          <w:szCs w:val="18"/>
          <w:b w:val="1"/>
          <w:bCs w:val="1"/>
          <w:color w:val="auto"/>
        </w:rPr>
        <w:t xml:space="preserve"> </w:t>
      </w:r>
      <w:r>
        <w:rPr>
          <w:rFonts w:ascii="Arial" w:cs="Arial" w:eastAsia="Arial" w:hAnsi="Arial"/>
          <w:sz w:val="18"/>
          <w:szCs w:val="18"/>
          <w:color w:val="auto"/>
        </w:rPr>
        <w:t>adolescents (12-17 years of age) in a PK run-in study for pediatric patients with FA. Adolescents received a weight-based dose expected to match PK of adults receiving the 50 mg dose. Following assessment of safety and PK data, participants will be eligible to screen for the OLE study. The data from this cohort are expected to be presented during the nomlabofusp program update in September 2025.</w:t>
      </w:r>
    </w:p>
    <w:p>
      <w:pPr>
        <w:spacing w:after="0" w:line="210" w:lineRule="exact"/>
        <w:rPr>
          <w:rFonts w:ascii="Times New Roman" w:cs="Times New Roman" w:eastAsia="Times New Roman" w:hAnsi="Times New Roman"/>
          <w:sz w:val="18"/>
          <w:szCs w:val="18"/>
          <w:color w:val="auto"/>
        </w:rPr>
      </w:pPr>
    </w:p>
    <w:p>
      <w:pPr>
        <w:ind w:left="760" w:right="12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Potential for Accelerated Approval Pathway Based on Skin FXN Concentrations: </w:t>
      </w:r>
      <w:r>
        <w:rPr>
          <w:rFonts w:ascii="Arial" w:cs="Arial" w:eastAsia="Arial" w:hAnsi="Arial"/>
          <w:sz w:val="18"/>
          <w:szCs w:val="18"/>
          <w:color w:val="auto"/>
        </w:rPr>
        <w:t>In March 2025, Larimar announced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FDA is open to the use of FXN concentrations as a reasonably likely surrogate endpoint (RLSE) and the acceptability of FXN concentrations as an RLSE to support approval will be a matter of review in a future marketing application. FDA recommended focusing on assessments of skin FXN concentrations and acknowledged that submitted data appear to support a relationship between increased FXN concentrations in skin cells and relevant tissues such as the heart, dorsal root ganglion, and skeletal muscle. FDA also acknowledged that the nonclinical studies we submitted were performed at relevant human doses. FDA suggested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760" w:right="60"/>
        <w:spacing w:after="0" w:line="271" w:lineRule="auto"/>
        <w:rPr>
          <w:sz w:val="20"/>
          <w:szCs w:val="20"/>
          <w:color w:val="auto"/>
        </w:rPr>
      </w:pPr>
      <w:r>
        <w:rPr>
          <w:rFonts w:ascii="Arial" w:cs="Arial" w:eastAsia="Arial" w:hAnsi="Arial"/>
          <w:sz w:val="18"/>
          <w:szCs w:val="18"/>
          <w:color w:val="auto"/>
        </w:rPr>
        <w:t>exploring the relationship between increases in FXN in skin and changes in pharmacodynamic markers such as lipid profiles and/or clinical measures to provide additional support for the use of FXN as a RLSE.</w:t>
      </w:r>
    </w:p>
    <w:p>
      <w:pPr>
        <w:spacing w:after="0" w:line="397" w:lineRule="exact"/>
        <w:rPr>
          <w:sz w:val="20"/>
          <w:szCs w:val="20"/>
          <w:color w:val="auto"/>
        </w:rPr>
      </w:pPr>
    </w:p>
    <w:p>
      <w:pPr>
        <w:ind w:left="760" w:right="24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Planned Upcoming Regulatory Discussions: </w:t>
      </w:r>
      <w:r>
        <w:rPr>
          <w:rFonts w:ascii="Arial" w:cs="Arial" w:eastAsia="Arial" w:hAnsi="Arial"/>
          <w:sz w:val="18"/>
          <w:szCs w:val="18"/>
          <w:color w:val="auto"/>
        </w:rPr>
        <w:t>Larimar continues to interact with FDA under the START pilot program,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seeking feedback on the adequacy of the safety data set required to support BLA submission.</w:t>
      </w:r>
    </w:p>
    <w:p>
      <w:pPr>
        <w:spacing w:after="0" w:line="140" w:lineRule="exact"/>
        <w:rPr>
          <w:rFonts w:ascii="Times New Roman" w:cs="Times New Roman" w:eastAsia="Times New Roman" w:hAnsi="Times New Roman"/>
          <w:sz w:val="18"/>
          <w:szCs w:val="18"/>
          <w:color w:val="auto"/>
        </w:rPr>
      </w:pPr>
    </w:p>
    <w:p>
      <w:pPr>
        <w:jc w:val="both"/>
        <w:ind w:left="760" w:right="420" w:hanging="378"/>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50 mg OLE Data Expected in September 2025: </w:t>
      </w:r>
      <w:r>
        <w:rPr>
          <w:rFonts w:ascii="Arial" w:cs="Arial" w:eastAsia="Arial" w:hAnsi="Arial"/>
          <w:sz w:val="18"/>
          <w:szCs w:val="18"/>
          <w:color w:val="auto"/>
        </w:rPr>
        <w:t>The ongoing OLE study continues to enroll, and active study participants are</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receiving the 50 mg dose of nomlabofusp. Larimar plans to provide an update on OLE data on at least 30 to 40 study participants, including 50 mg dose data, in September 2025.</w:t>
      </w:r>
    </w:p>
    <w:p>
      <w:pPr>
        <w:spacing w:after="0" w:line="157" w:lineRule="exact"/>
        <w:rPr>
          <w:rFonts w:ascii="Times New Roman" w:cs="Times New Roman" w:eastAsia="Times New Roman" w:hAnsi="Times New Roman"/>
          <w:sz w:val="18"/>
          <w:szCs w:val="18"/>
          <w:color w:val="auto"/>
        </w:rPr>
      </w:pPr>
    </w:p>
    <w:p>
      <w:pPr>
        <w:ind w:left="760" w:right="72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Planned Transition to Lyophilized Form of Nomlabofusp: </w:t>
      </w:r>
      <w:r>
        <w:rPr>
          <w:rFonts w:ascii="Arial" w:cs="Arial" w:eastAsia="Arial" w:hAnsi="Arial"/>
          <w:sz w:val="18"/>
          <w:szCs w:val="18"/>
          <w:color w:val="auto"/>
        </w:rPr>
        <w:t>Larimar plans to introduce the lyophilized product formulation</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for commercialization into the clinical development program in mid-2025.</w:t>
      </w:r>
    </w:p>
    <w:p>
      <w:pPr>
        <w:spacing w:after="0" w:line="140" w:lineRule="exact"/>
        <w:rPr>
          <w:rFonts w:ascii="Times New Roman" w:cs="Times New Roman" w:eastAsia="Times New Roman" w:hAnsi="Times New Roman"/>
          <w:sz w:val="18"/>
          <w:szCs w:val="18"/>
          <w:color w:val="auto"/>
        </w:rPr>
      </w:pPr>
    </w:p>
    <w:p>
      <w:pPr>
        <w:ind w:left="760" w:right="140" w:hanging="378"/>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BLA Submission and Initiation of Global Phase 3 Study on Track: </w:t>
      </w:r>
      <w:r>
        <w:rPr>
          <w:rFonts w:ascii="Arial" w:cs="Arial" w:eastAsia="Arial" w:hAnsi="Arial"/>
          <w:sz w:val="18"/>
          <w:szCs w:val="18"/>
          <w:color w:val="auto"/>
        </w:rPr>
        <w:t>Global Phase 3 study is on track to initiate in mid-2025 with</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sites in the U.S., Europe, U.K., Canada, and Australia. Larimar plans to submit the BLA submission seeking accelerated approval by the end of 2025 to seek accelerated approval.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2025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2025, the Company had cash, cash equivalents and marketable securities totaling $157.5 million.</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reported a net loss for the first quarter of 2025 of $29.3 million, or $0.46 per share, compared to a net loss of $14.7 million, or $0.27 per share, for the first quarter of 2024.</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Research and development expenses for the first quarter of 2025 were $26.6 million, compared to $12.9 million for the first quarter of 2024. The increase in research and development expenses was primarily driven by an increase of $7.1 million in nomlabofusp manufacturing costs, an increase of $ 2.8 million in clinical costs primarily associated with the PK run-in study and start-up costs related to the Company’s planned global Phase 3 study, an increase of $1.6 million in personnel expense due to increased headcount, and an increase of $1.2 million in consulting fees.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General and administrative expenses were $4.6 million in the first quarter of 2025, compared to $3.8 million in the first quarter of 2024. The increase in general and administrative expenses was primarily driven by an increase of $ 0.7 million in personnel expense, an increase of $0.5 million in consulting fees primarily associated with commercial activities, partially offset by a decrease of $0.3 million in stock compensation expense.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Larimar Therapeutics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Larimar Therapeutics, Inc. (Nasdaq: LRMR), is a clinical-stage biotechnology company focused on developing treatments for complex rare diseases. Larimar’s lead compound, nomlabofusp,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nomlabofusp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ind w:right="40"/>
        <w:spacing w:after="0" w:line="247" w:lineRule="auto"/>
        <w:rPr>
          <w:sz w:val="20"/>
          <w:szCs w:val="20"/>
          <w:color w:val="auto"/>
        </w:rPr>
      </w:pPr>
      <w:r>
        <w:rPr>
          <w:rFonts w:ascii="Arial" w:cs="Arial" w:eastAsia="Arial" w:hAnsi="Arial"/>
          <w:sz w:val="18"/>
          <w:szCs w:val="18"/>
          <w:color w:val="auto"/>
        </w:rPr>
        <w:t>other planned product candidates, Larimar’s planned research and development efforts, including the timing of its nomlabofusp clinical trials, interactions and filings with the FDA, expectations regarding potential for accelerated approval or accelerated access and time to market and overall development plans and other matters regarding Larimar’s business strategies, ability to raise capital, use of capital, results of operations and financial position, and plans and objectives for future operations.</w:t>
      </w:r>
    </w:p>
    <w:p>
      <w:pPr>
        <w:spacing w:after="0" w:line="16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that preliminary clinical trial results may differ from final clinical trial results, that earlier non-clinical and clinical data and testing of nomlabofusp may not be predictive of the results or success of later clinical trials, and assessments; that the FDA may not ultimately agree with Larimar’s nomlabofusp development strategy;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Joyce Allaire</w:t>
      </w:r>
    </w:p>
    <w:p>
      <w:pPr>
        <w:spacing w:after="0" w:line="234" w:lineRule="auto"/>
        <w:rPr>
          <w:sz w:val="20"/>
          <w:szCs w:val="20"/>
          <w:color w:val="auto"/>
        </w:rPr>
      </w:pPr>
      <w:r>
        <w:rPr>
          <w:rFonts w:ascii="Arial" w:cs="Arial" w:eastAsia="Arial" w:hAnsi="Arial"/>
          <w:sz w:val="18"/>
          <w:szCs w:val="18"/>
          <w:color w:val="auto"/>
        </w:rPr>
        <w:t>LifeSci Advisors</w:t>
      </w:r>
    </w:p>
    <w:p>
      <w:pPr>
        <w:spacing w:after="0" w:line="235" w:lineRule="auto"/>
        <w:rPr>
          <w:sz w:val="20"/>
          <w:szCs w:val="20"/>
          <w:color w:val="auto"/>
        </w:rPr>
      </w:pPr>
      <w:r>
        <w:rPr>
          <w:rFonts w:ascii="Arial" w:cs="Arial" w:eastAsia="Arial" w:hAnsi="Arial"/>
          <w:sz w:val="18"/>
          <w:szCs w:val="18"/>
          <w:color w:val="auto"/>
        </w:rPr>
        <w:t>jallaire@lifesciadvisors.com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(212) 915-2569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Celano</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235" w:lineRule="auto"/>
        <w:rPr>
          <w:sz w:val="20"/>
          <w:szCs w:val="20"/>
          <w:color w:val="auto"/>
        </w:rPr>
      </w:pPr>
      <w:r>
        <w:rPr>
          <w:rFonts w:ascii="Arial" w:cs="Arial" w:eastAsia="Arial" w:hAnsi="Arial"/>
          <w:sz w:val="18"/>
          <w:szCs w:val="18"/>
          <w:color w:val="auto"/>
        </w:rPr>
        <w:t>mcelano@larimartx.com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(484) 414-2715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1407795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 w:name="page7"/>
    <w:bookmarkEnd w:id="6"/>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Larimar Therapeutics,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6"/>
                <w:szCs w:val="16"/>
                <w:color w:val="auto"/>
              </w:rPr>
            </w:pPr>
          </w:p>
        </w:tc>
        <w:tc>
          <w:tcPr>
            <w:tcW w:w="17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7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tcPr>
          <w:p>
            <w:pPr>
              <w:spacing w:after="0"/>
              <w:rPr>
                <w:sz w:val="16"/>
                <w:szCs w:val="16"/>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8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7540" w:type="dxa"/>
            <w:vAlign w:val="bottom"/>
            <w:vMerge w:val="continue"/>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9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9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tcPr>
          <w:p>
            <w:pPr>
              <w:spacing w:after="0"/>
              <w:rPr>
                <w:sz w:val="17"/>
                <w:szCs w:val="17"/>
                <w:color w:val="auto"/>
              </w:rPr>
            </w:pPr>
          </w:p>
        </w:tc>
        <w:tc>
          <w:tcPr>
            <w:tcW w:w="1980" w:type="dxa"/>
            <w:vAlign w:val="bottom"/>
            <w:gridSpan w:val="2"/>
          </w:tcPr>
          <w:p>
            <w:pPr>
              <w:jc w:val="right"/>
              <w:ind w:right="912"/>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940" w:type="dxa"/>
            <w:vAlign w:val="bottom"/>
            <w:gridSpan w:val="2"/>
          </w:tcPr>
          <w:p>
            <w:pPr>
              <w:ind w:left="76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21,126</w:t>
            </w:r>
          </w:p>
        </w:tc>
        <w:tc>
          <w:tcPr>
            <w:tcW w:w="19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33,218</w:t>
            </w:r>
          </w:p>
        </w:tc>
        <w:tc>
          <w:tcPr>
            <w:tcW w:w="0" w:type="dxa"/>
            <w:vAlign w:val="bottom"/>
          </w:tcPr>
          <w:p>
            <w:pPr>
              <w:spacing w:after="0"/>
              <w:rPr>
                <w:sz w:val="1"/>
                <w:szCs w:val="1"/>
                <w:color w:val="auto"/>
              </w:rPr>
            </w:pPr>
          </w:p>
        </w:tc>
      </w:tr>
      <w:tr>
        <w:trPr>
          <w:trHeight w:val="198"/>
        </w:trPr>
        <w:tc>
          <w:tcPr>
            <w:tcW w:w="7940" w:type="dxa"/>
            <w:vAlign w:val="bottom"/>
            <w:gridSpan w:val="2"/>
            <w:shd w:val="clear" w:color="auto" w:fill="CFF0FC"/>
          </w:tcPr>
          <w:p>
            <w:pPr>
              <w:ind w:left="360"/>
              <w:spacing w:after="0" w:line="198" w:lineRule="exact"/>
              <w:rPr>
                <w:sz w:val="20"/>
                <w:szCs w:val="20"/>
                <w:color w:val="auto"/>
              </w:rPr>
            </w:pPr>
            <w:r>
              <w:rPr>
                <w:rFonts w:ascii="Times New Roman" w:cs="Times New Roman" w:eastAsia="Times New Roman" w:hAnsi="Times New Roman"/>
                <w:sz w:val="18"/>
                <w:szCs w:val="18"/>
                <w:color w:val="auto"/>
              </w:rPr>
              <w:t>Marketable securities</w:t>
            </w:r>
          </w:p>
        </w:tc>
        <w:tc>
          <w:tcPr>
            <w:tcW w:w="1320" w:type="dxa"/>
            <w:vAlign w:val="bottom"/>
            <w:shd w:val="clear" w:color="auto" w:fill="CFF0FC"/>
          </w:tcPr>
          <w:p>
            <w:pPr>
              <w:spacing w:after="0"/>
              <w:rPr>
                <w:sz w:val="17"/>
                <w:szCs w:val="17"/>
                <w:color w:val="auto"/>
              </w:rPr>
            </w:pPr>
          </w:p>
        </w:tc>
        <w:tc>
          <w:tcPr>
            <w:tcW w:w="1980" w:type="dxa"/>
            <w:vAlign w:val="bottom"/>
            <w:gridSpan w:val="2"/>
            <w:shd w:val="clear" w:color="auto" w:fill="CFF0FC"/>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rPr>
              <w:t>150,23</w:t>
            </w:r>
          </w:p>
        </w:tc>
        <w:tc>
          <w:tcPr>
            <w:tcW w:w="0" w:type="dxa"/>
            <w:vAlign w:val="bottom"/>
          </w:tcPr>
          <w:p>
            <w:pPr>
              <w:spacing w:after="0"/>
              <w:rPr>
                <w:sz w:val="1"/>
                <w:szCs w:val="1"/>
                <w:color w:val="auto"/>
              </w:rPr>
            </w:pPr>
          </w:p>
        </w:tc>
      </w:tr>
      <w:tr>
        <w:trPr>
          <w:trHeight w:val="234"/>
        </w:trPr>
        <w:tc>
          <w:tcPr>
            <w:tcW w:w="75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136,400</w:t>
            </w:r>
          </w:p>
        </w:tc>
        <w:tc>
          <w:tcPr>
            <w:tcW w:w="198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79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20" w:type="dxa"/>
            <w:vAlign w:val="bottom"/>
          </w:tcPr>
          <w:p>
            <w:pPr>
              <w:spacing w:after="0"/>
              <w:rPr>
                <w:sz w:val="17"/>
                <w:szCs w:val="17"/>
                <w:color w:val="auto"/>
              </w:rPr>
            </w:pPr>
          </w:p>
        </w:tc>
        <w:tc>
          <w:tcPr>
            <w:tcW w:w="1980" w:type="dxa"/>
            <w:vAlign w:val="bottom"/>
            <w:gridSpan w:val="2"/>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7,959</w:t>
            </w:r>
          </w:p>
        </w:tc>
        <w:tc>
          <w:tcPr>
            <w:tcW w:w="260" w:type="dxa"/>
            <w:vAlign w:val="bottom"/>
          </w:tcPr>
          <w:p>
            <w:pPr>
              <w:spacing w:after="0"/>
              <w:rPr>
                <w:sz w:val="20"/>
                <w:szCs w:val="20"/>
                <w:color w:val="auto"/>
              </w:rPr>
            </w:pPr>
          </w:p>
        </w:tc>
        <w:tc>
          <w:tcPr>
            <w:tcW w:w="1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7940" w:type="dxa"/>
            <w:vAlign w:val="bottom"/>
            <w:gridSpan w:val="2"/>
            <w:shd w:val="clear" w:color="auto" w:fill="CFF0FC"/>
          </w:tcPr>
          <w:p>
            <w:pPr>
              <w:ind w:left="620"/>
              <w:spacing w:after="0" w:line="191" w:lineRule="exact"/>
              <w:rPr>
                <w:sz w:val="20"/>
                <w:szCs w:val="20"/>
                <w:color w:val="auto"/>
              </w:rPr>
            </w:pPr>
            <w:r>
              <w:rPr>
                <w:rFonts w:ascii="Times New Roman" w:cs="Times New Roman" w:eastAsia="Times New Roman" w:hAnsi="Times New Roman"/>
                <w:sz w:val="18"/>
                <w:szCs w:val="18"/>
                <w:color w:val="auto"/>
              </w:rPr>
              <w:t>Total current assets</w:t>
            </w:r>
          </w:p>
        </w:tc>
        <w:tc>
          <w:tcPr>
            <w:tcW w:w="1320" w:type="dxa"/>
            <w:vAlign w:val="bottom"/>
            <w:shd w:val="clear" w:color="auto" w:fill="CFF0FC"/>
          </w:tcPr>
          <w:p>
            <w:pPr>
              <w:spacing w:after="0"/>
              <w:rPr>
                <w:sz w:val="16"/>
                <w:szCs w:val="16"/>
                <w:color w:val="auto"/>
              </w:rPr>
            </w:pPr>
          </w:p>
        </w:tc>
        <w:tc>
          <w:tcPr>
            <w:tcW w:w="1980" w:type="dxa"/>
            <w:vAlign w:val="bottom"/>
            <w:gridSpan w:val="2"/>
            <w:shd w:val="clear" w:color="auto" w:fill="CFF0FC"/>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195,30</w:t>
            </w:r>
          </w:p>
        </w:tc>
        <w:tc>
          <w:tcPr>
            <w:tcW w:w="0" w:type="dxa"/>
            <w:vAlign w:val="bottom"/>
          </w:tcPr>
          <w:p>
            <w:pPr>
              <w:spacing w:after="0"/>
              <w:rPr>
                <w:sz w:val="1"/>
                <w:szCs w:val="1"/>
                <w:color w:val="auto"/>
              </w:rPr>
            </w:pPr>
          </w:p>
        </w:tc>
      </w:tr>
      <w:tr>
        <w:trPr>
          <w:trHeight w:val="234"/>
        </w:trPr>
        <w:tc>
          <w:tcPr>
            <w:tcW w:w="75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165,485</w:t>
            </w:r>
          </w:p>
        </w:tc>
        <w:tc>
          <w:tcPr>
            <w:tcW w:w="198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7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940" w:type="dxa"/>
            <w:vAlign w:val="bottom"/>
            <w:gridSpan w:val="2"/>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Property and equipment, net</w:t>
            </w:r>
          </w:p>
        </w:tc>
        <w:tc>
          <w:tcPr>
            <w:tcW w:w="1320" w:type="dxa"/>
            <w:vAlign w:val="bottom"/>
            <w:shd w:val="clear" w:color="auto" w:fill="CFF0FC"/>
          </w:tcPr>
          <w:p>
            <w:pPr>
              <w:spacing w:after="0"/>
              <w:rPr>
                <w:sz w:val="17"/>
                <w:szCs w:val="17"/>
                <w:color w:val="auto"/>
              </w:rPr>
            </w:pPr>
          </w:p>
        </w:tc>
        <w:tc>
          <w:tcPr>
            <w:tcW w:w="1980" w:type="dxa"/>
            <w:vAlign w:val="bottom"/>
            <w:gridSpan w:val="2"/>
            <w:shd w:val="clear" w:color="auto" w:fill="CFF0FC"/>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4"/>
        </w:trPr>
        <w:tc>
          <w:tcPr>
            <w:tcW w:w="75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855</w:t>
            </w:r>
          </w:p>
        </w:tc>
        <w:tc>
          <w:tcPr>
            <w:tcW w:w="198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79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1320" w:type="dxa"/>
            <w:vAlign w:val="bottom"/>
          </w:tcPr>
          <w:p>
            <w:pPr>
              <w:spacing w:after="0"/>
              <w:rPr>
                <w:sz w:val="17"/>
                <w:szCs w:val="17"/>
                <w:color w:val="auto"/>
              </w:rPr>
            </w:pPr>
          </w:p>
        </w:tc>
        <w:tc>
          <w:tcPr>
            <w:tcW w:w="1980" w:type="dxa"/>
            <w:vAlign w:val="bottom"/>
            <w:gridSpan w:val="2"/>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2,647</w:t>
            </w:r>
          </w:p>
        </w:tc>
        <w:tc>
          <w:tcPr>
            <w:tcW w:w="19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7940" w:type="dxa"/>
            <w:vAlign w:val="bottom"/>
            <w:gridSpan w:val="2"/>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Restricted cash</w:t>
            </w:r>
          </w:p>
        </w:tc>
        <w:tc>
          <w:tcPr>
            <w:tcW w:w="1320" w:type="dxa"/>
            <w:vAlign w:val="bottom"/>
            <w:shd w:val="clear" w:color="auto" w:fill="CFF0FC"/>
          </w:tcPr>
          <w:p>
            <w:pPr>
              <w:spacing w:after="0"/>
              <w:rPr>
                <w:sz w:val="17"/>
                <w:szCs w:val="17"/>
                <w:color w:val="auto"/>
              </w:rPr>
            </w:pPr>
          </w:p>
        </w:tc>
        <w:tc>
          <w:tcPr>
            <w:tcW w:w="1980" w:type="dxa"/>
            <w:vAlign w:val="bottom"/>
            <w:gridSpan w:val="2"/>
            <w:shd w:val="clear" w:color="auto" w:fill="CFF0FC"/>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4"/>
        </w:trPr>
        <w:tc>
          <w:tcPr>
            <w:tcW w:w="75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606</w:t>
            </w:r>
          </w:p>
        </w:tc>
        <w:tc>
          <w:tcPr>
            <w:tcW w:w="198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79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Other assets</w:t>
            </w:r>
          </w:p>
        </w:tc>
        <w:tc>
          <w:tcPr>
            <w:tcW w:w="1320" w:type="dxa"/>
            <w:vAlign w:val="bottom"/>
          </w:tcPr>
          <w:p>
            <w:pPr>
              <w:spacing w:after="0"/>
              <w:rPr>
                <w:sz w:val="17"/>
                <w:szCs w:val="17"/>
                <w:color w:val="auto"/>
              </w:rPr>
            </w:pPr>
          </w:p>
        </w:tc>
        <w:tc>
          <w:tcPr>
            <w:tcW w:w="1980" w:type="dxa"/>
            <w:vAlign w:val="bottom"/>
            <w:gridSpan w:val="2"/>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582</w:t>
            </w:r>
          </w:p>
        </w:tc>
        <w:tc>
          <w:tcPr>
            <w:tcW w:w="19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1"/>
        </w:trPr>
        <w:tc>
          <w:tcPr>
            <w:tcW w:w="7540" w:type="dxa"/>
            <w:vAlign w:val="bottom"/>
            <w:tcBorders>
              <w:top w:val="single" w:sz="8" w:color="CFF0FC"/>
            </w:tcBorders>
            <w:shd w:val="clear" w:color="auto" w:fill="CFF0FC"/>
          </w:tcPr>
          <w:p>
            <w:pPr>
              <w:ind w:left="360"/>
              <w:spacing w:after="0" w:line="191" w:lineRule="exact"/>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720" w:type="dxa"/>
            <w:vAlign w:val="bottom"/>
            <w:tcBorders>
              <w:top w:val="single" w:sz="8" w:color="auto"/>
            </w:tcBorders>
            <w:shd w:val="clear" w:color="auto" w:fill="CFF0FC"/>
          </w:tcPr>
          <w:p>
            <w:pPr>
              <w:ind w:left="7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4"/>
        </w:trPr>
        <w:tc>
          <w:tcPr>
            <w:tcW w:w="754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170,175</w:t>
            </w:r>
          </w:p>
        </w:tc>
        <w:tc>
          <w:tcPr>
            <w:tcW w:w="260" w:type="dxa"/>
            <w:vAlign w:val="bottom"/>
            <w:tcBorders>
              <w:bottom w:val="single" w:sz="8" w:color="CFF0FC"/>
            </w:tcBorders>
            <w:shd w:val="clear" w:color="auto" w:fill="CFF0FC"/>
          </w:tcPr>
          <w:p>
            <w:pPr>
              <w:spacing w:after="0"/>
              <w:rPr>
                <w:sz w:val="23"/>
                <w:szCs w:val="23"/>
                <w:color w:val="auto"/>
              </w:rPr>
            </w:pPr>
          </w:p>
        </w:tc>
        <w:tc>
          <w:tcPr>
            <w:tcW w:w="1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200,225</w:t>
            </w:r>
          </w:p>
        </w:tc>
        <w:tc>
          <w:tcPr>
            <w:tcW w:w="0" w:type="dxa"/>
            <w:vAlign w:val="bottom"/>
          </w:tcPr>
          <w:p>
            <w:pPr>
              <w:spacing w:after="0"/>
              <w:rPr>
                <w:sz w:val="1"/>
                <w:szCs w:val="1"/>
                <w:color w:val="auto"/>
              </w:rPr>
            </w:pPr>
          </w:p>
        </w:tc>
      </w:tr>
      <w:tr>
        <w:trPr>
          <w:trHeight w:val="221"/>
        </w:trPr>
        <w:tc>
          <w:tcPr>
            <w:tcW w:w="7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9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9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Accounts payable</w:t>
            </w:r>
          </w:p>
        </w:tc>
        <w:tc>
          <w:tcPr>
            <w:tcW w:w="1320" w:type="dxa"/>
            <w:vAlign w:val="bottom"/>
          </w:tcPr>
          <w:p>
            <w:pPr>
              <w:spacing w:after="0"/>
              <w:rPr>
                <w:sz w:val="17"/>
                <w:szCs w:val="17"/>
                <w:color w:val="auto"/>
              </w:rPr>
            </w:pPr>
          </w:p>
        </w:tc>
        <w:tc>
          <w:tcPr>
            <w:tcW w:w="1980" w:type="dxa"/>
            <w:vAlign w:val="bottom"/>
            <w:gridSpan w:val="2"/>
          </w:tcPr>
          <w:p>
            <w:pPr>
              <w:jc w:val="right"/>
              <w:ind w:right="992"/>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940" w:type="dxa"/>
            <w:vAlign w:val="bottom"/>
            <w:gridSpan w:val="2"/>
          </w:tcPr>
          <w:p>
            <w:pPr>
              <w:ind w:left="76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2,274</w:t>
            </w:r>
          </w:p>
        </w:tc>
        <w:tc>
          <w:tcPr>
            <w:tcW w:w="19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2,424</w:t>
            </w:r>
          </w:p>
        </w:tc>
        <w:tc>
          <w:tcPr>
            <w:tcW w:w="0" w:type="dxa"/>
            <w:vAlign w:val="bottom"/>
          </w:tcPr>
          <w:p>
            <w:pPr>
              <w:spacing w:after="0"/>
              <w:rPr>
                <w:sz w:val="1"/>
                <w:szCs w:val="1"/>
                <w:color w:val="auto"/>
              </w:rPr>
            </w:pPr>
          </w:p>
        </w:tc>
      </w:tr>
      <w:tr>
        <w:trPr>
          <w:trHeight w:val="198"/>
        </w:trPr>
        <w:tc>
          <w:tcPr>
            <w:tcW w:w="7940" w:type="dxa"/>
            <w:vAlign w:val="bottom"/>
            <w:gridSpan w:val="2"/>
            <w:shd w:val="clear" w:color="auto" w:fill="CFF0FC"/>
          </w:tcPr>
          <w:p>
            <w:pPr>
              <w:ind w:left="360"/>
              <w:spacing w:after="0" w:line="198" w:lineRule="exact"/>
              <w:rPr>
                <w:sz w:val="20"/>
                <w:szCs w:val="20"/>
                <w:color w:val="auto"/>
              </w:rPr>
            </w:pPr>
            <w:r>
              <w:rPr>
                <w:rFonts w:ascii="Times New Roman" w:cs="Times New Roman" w:eastAsia="Times New Roman" w:hAnsi="Times New Roman"/>
                <w:sz w:val="18"/>
                <w:szCs w:val="18"/>
                <w:color w:val="auto"/>
              </w:rPr>
              <w:t>Accrued expenses</w:t>
            </w:r>
          </w:p>
        </w:tc>
        <w:tc>
          <w:tcPr>
            <w:tcW w:w="1320" w:type="dxa"/>
            <w:vAlign w:val="bottom"/>
            <w:shd w:val="clear" w:color="auto" w:fill="CFF0FC"/>
          </w:tcPr>
          <w:p>
            <w:pPr>
              <w:spacing w:after="0"/>
              <w:rPr>
                <w:sz w:val="17"/>
                <w:szCs w:val="17"/>
                <w:color w:val="auto"/>
              </w:rPr>
            </w:pPr>
          </w:p>
        </w:tc>
        <w:tc>
          <w:tcPr>
            <w:tcW w:w="1980" w:type="dxa"/>
            <w:vAlign w:val="bottom"/>
            <w:gridSpan w:val="2"/>
            <w:shd w:val="clear" w:color="auto" w:fill="CFF0FC"/>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34"/>
        </w:trPr>
        <w:tc>
          <w:tcPr>
            <w:tcW w:w="75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18,764</w:t>
            </w:r>
          </w:p>
        </w:tc>
        <w:tc>
          <w:tcPr>
            <w:tcW w:w="198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79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Operating lease liabilities, current</w:t>
            </w:r>
          </w:p>
        </w:tc>
        <w:tc>
          <w:tcPr>
            <w:tcW w:w="1320" w:type="dxa"/>
            <w:vAlign w:val="bottom"/>
          </w:tcPr>
          <w:p>
            <w:pPr>
              <w:spacing w:after="0"/>
              <w:rPr>
                <w:sz w:val="17"/>
                <w:szCs w:val="17"/>
                <w:color w:val="auto"/>
              </w:rPr>
            </w:pPr>
          </w:p>
        </w:tc>
        <w:tc>
          <w:tcPr>
            <w:tcW w:w="1980" w:type="dxa"/>
            <w:vAlign w:val="bottom"/>
            <w:gridSpan w:val="2"/>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1,096</w:t>
            </w:r>
          </w:p>
        </w:tc>
        <w:tc>
          <w:tcPr>
            <w:tcW w:w="260" w:type="dxa"/>
            <w:vAlign w:val="bottom"/>
          </w:tcPr>
          <w:p>
            <w:pPr>
              <w:spacing w:after="0"/>
              <w:rPr>
                <w:sz w:val="20"/>
                <w:szCs w:val="20"/>
                <w:color w:val="auto"/>
              </w:rPr>
            </w:pPr>
          </w:p>
        </w:tc>
        <w:tc>
          <w:tcPr>
            <w:tcW w:w="1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7940" w:type="dxa"/>
            <w:vAlign w:val="bottom"/>
            <w:gridSpan w:val="2"/>
            <w:shd w:val="clear" w:color="auto" w:fill="CFF0FC"/>
          </w:tcPr>
          <w:p>
            <w:pPr>
              <w:ind w:left="620"/>
              <w:spacing w:after="0" w:line="191" w:lineRule="exact"/>
              <w:rPr>
                <w:sz w:val="20"/>
                <w:szCs w:val="20"/>
                <w:color w:val="auto"/>
              </w:rPr>
            </w:pPr>
            <w:r>
              <w:rPr>
                <w:rFonts w:ascii="Times New Roman" w:cs="Times New Roman" w:eastAsia="Times New Roman" w:hAnsi="Times New Roman"/>
                <w:sz w:val="18"/>
                <w:szCs w:val="18"/>
                <w:color w:val="auto"/>
              </w:rPr>
              <w:t>Total current liabilities</w:t>
            </w:r>
          </w:p>
        </w:tc>
        <w:tc>
          <w:tcPr>
            <w:tcW w:w="1320" w:type="dxa"/>
            <w:vAlign w:val="bottom"/>
            <w:shd w:val="clear" w:color="auto" w:fill="CFF0FC"/>
          </w:tcPr>
          <w:p>
            <w:pPr>
              <w:spacing w:after="0"/>
              <w:rPr>
                <w:sz w:val="16"/>
                <w:szCs w:val="16"/>
                <w:color w:val="auto"/>
              </w:rPr>
            </w:pPr>
          </w:p>
        </w:tc>
        <w:tc>
          <w:tcPr>
            <w:tcW w:w="1980" w:type="dxa"/>
            <w:vAlign w:val="bottom"/>
            <w:gridSpan w:val="2"/>
            <w:shd w:val="clear" w:color="auto" w:fill="CFF0FC"/>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24,35</w:t>
            </w:r>
          </w:p>
        </w:tc>
        <w:tc>
          <w:tcPr>
            <w:tcW w:w="0" w:type="dxa"/>
            <w:vAlign w:val="bottom"/>
          </w:tcPr>
          <w:p>
            <w:pPr>
              <w:spacing w:after="0"/>
              <w:rPr>
                <w:sz w:val="1"/>
                <w:szCs w:val="1"/>
                <w:color w:val="auto"/>
              </w:rPr>
            </w:pPr>
          </w:p>
        </w:tc>
      </w:tr>
      <w:tr>
        <w:trPr>
          <w:trHeight w:val="234"/>
        </w:trPr>
        <w:tc>
          <w:tcPr>
            <w:tcW w:w="75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22,134</w:t>
            </w:r>
          </w:p>
        </w:tc>
        <w:tc>
          <w:tcPr>
            <w:tcW w:w="198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79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Operating lease liabilities</w:t>
            </w:r>
          </w:p>
        </w:tc>
        <w:tc>
          <w:tcPr>
            <w:tcW w:w="1320" w:type="dxa"/>
            <w:vAlign w:val="bottom"/>
          </w:tcPr>
          <w:p>
            <w:pPr>
              <w:spacing w:after="0"/>
              <w:rPr>
                <w:sz w:val="17"/>
                <w:szCs w:val="17"/>
                <w:color w:val="auto"/>
              </w:rPr>
            </w:pPr>
          </w:p>
        </w:tc>
        <w:tc>
          <w:tcPr>
            <w:tcW w:w="1980" w:type="dxa"/>
            <w:vAlign w:val="bottom"/>
            <w:gridSpan w:val="2"/>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3,770</w:t>
            </w:r>
          </w:p>
        </w:tc>
        <w:tc>
          <w:tcPr>
            <w:tcW w:w="19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1"/>
        </w:trPr>
        <w:tc>
          <w:tcPr>
            <w:tcW w:w="7540" w:type="dxa"/>
            <w:vAlign w:val="bottom"/>
            <w:tcBorders>
              <w:top w:val="single" w:sz="8" w:color="CFF0FC"/>
            </w:tcBorders>
            <w:shd w:val="clear" w:color="auto" w:fill="CFF0FC"/>
          </w:tcPr>
          <w:p>
            <w:pPr>
              <w:ind w:left="620"/>
              <w:spacing w:after="0" w:line="191" w:lineRule="exact"/>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720" w:type="dxa"/>
            <w:vAlign w:val="bottom"/>
            <w:tcBorders>
              <w:top w:val="single" w:sz="8" w:color="auto"/>
            </w:tcBorders>
            <w:shd w:val="clear" w:color="auto" w:fill="CFF0FC"/>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34"/>
        </w:trPr>
        <w:tc>
          <w:tcPr>
            <w:tcW w:w="75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25,904</w:t>
            </w:r>
          </w:p>
        </w:tc>
        <w:tc>
          <w:tcPr>
            <w:tcW w:w="26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Stockholders’ equity:</w:t>
            </w: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9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per share; 5,000,000 shares authorized as of March 31, 2025</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December 31, 2024; no shares issued and outstanding as of March 31, 2025 and December</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31, 2024</w:t>
            </w:r>
          </w:p>
        </w:tc>
        <w:tc>
          <w:tcPr>
            <w:tcW w:w="400" w:type="dxa"/>
            <w:vAlign w:val="bottom"/>
          </w:tcPr>
          <w:p>
            <w:pPr>
              <w:spacing w:after="0"/>
              <w:rPr>
                <w:sz w:val="23"/>
                <w:szCs w:val="23"/>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940" w:type="dxa"/>
            <w:vAlign w:val="bottom"/>
            <w:gridSpan w:val="2"/>
            <w:shd w:val="clear" w:color="auto" w:fill="CFF0FC"/>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115,000,000 shares authorized as of March 31,</w:t>
            </w: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2025 and December 31, 2024; 64,027,892 and 63,815,065 shares issued and outstanding as of</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March 31, 2025 and December 31, 2024, respectively</w:t>
            </w:r>
          </w:p>
        </w:tc>
        <w:tc>
          <w:tcPr>
            <w:tcW w:w="1320" w:type="dxa"/>
            <w:vAlign w:val="bottom"/>
            <w:shd w:val="clear" w:color="auto" w:fill="CFF0FC"/>
          </w:tcPr>
          <w:p>
            <w:pPr>
              <w:spacing w:after="0"/>
              <w:rPr>
                <w:sz w:val="23"/>
                <w:szCs w:val="23"/>
                <w:color w:val="auto"/>
              </w:rPr>
            </w:pPr>
          </w:p>
        </w:tc>
        <w:tc>
          <w:tcPr>
            <w:tcW w:w="198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75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198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79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Additional paid-in capital</w:t>
            </w:r>
          </w:p>
        </w:tc>
        <w:tc>
          <w:tcPr>
            <w:tcW w:w="1320" w:type="dxa"/>
            <w:vAlign w:val="bottom"/>
          </w:tcPr>
          <w:p>
            <w:pPr>
              <w:spacing w:after="0"/>
              <w:rPr>
                <w:sz w:val="17"/>
                <w:szCs w:val="17"/>
                <w:color w:val="auto"/>
              </w:rPr>
            </w:pPr>
          </w:p>
        </w:tc>
        <w:tc>
          <w:tcPr>
            <w:tcW w:w="1980" w:type="dxa"/>
            <w:vAlign w:val="bottom"/>
            <w:gridSpan w:val="2"/>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rPr>
              <w:t>440,75</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442,592</w:t>
            </w:r>
          </w:p>
        </w:tc>
        <w:tc>
          <w:tcPr>
            <w:tcW w:w="19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411"/>
        </w:trPr>
        <w:tc>
          <w:tcPr>
            <w:tcW w:w="7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-4491355</wp:posOffset>
            </wp:positionV>
            <wp:extent cx="1625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-4474210</wp:posOffset>
            </wp:positionV>
            <wp:extent cx="1625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-4773930</wp:posOffset>
            </wp:positionV>
            <wp:extent cx="1625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-2797810</wp:posOffset>
            </wp:positionV>
            <wp:extent cx="187960" cy="316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7960" cy="3168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1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(298,439</w:t>
            </w:r>
          </w:p>
        </w:tc>
        <w:tc>
          <w:tcPr>
            <w:tcW w:w="19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(269,158</w:t>
            </w:r>
          </w:p>
        </w:tc>
      </w:tr>
      <w:tr>
        <w:trPr>
          <w:trHeight w:val="234"/>
        </w:trPr>
        <w:tc>
          <w:tcPr>
            <w:tcW w:w="75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1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Accumulated other comprehensive gain</w:t>
            </w:r>
          </w:p>
        </w:tc>
        <w:tc>
          <w:tcPr>
            <w:tcW w:w="1100" w:type="dxa"/>
            <w:vAlign w:val="bottom"/>
          </w:tcPr>
          <w:p>
            <w:pPr>
              <w:spacing w:after="0"/>
              <w:rPr>
                <w:sz w:val="17"/>
                <w:szCs w:val="17"/>
                <w:color w:val="auto"/>
              </w:rPr>
            </w:pPr>
          </w:p>
        </w:tc>
        <w:tc>
          <w:tcPr>
            <w:tcW w:w="1980" w:type="dxa"/>
            <w:vAlign w:val="bottom"/>
            <w:gridSpan w:val="2"/>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14</w:t>
            </w:r>
          </w:p>
        </w:tc>
      </w:tr>
      <w:tr>
        <w:trPr>
          <w:trHeight w:val="234"/>
        </w:trPr>
        <w:tc>
          <w:tcPr>
            <w:tcW w:w="75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20"/>
                <w:szCs w:val="20"/>
                <w:color w:val="auto"/>
              </w:rPr>
            </w:pPr>
          </w:p>
        </w:tc>
        <w:tc>
          <w:tcPr>
            <w:tcW w:w="1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r>
      <w:tr>
        <w:trPr>
          <w:trHeight w:val="191"/>
        </w:trPr>
        <w:tc>
          <w:tcPr>
            <w:tcW w:w="8160" w:type="dxa"/>
            <w:vAlign w:val="bottom"/>
            <w:gridSpan w:val="2"/>
            <w:shd w:val="clear" w:color="auto" w:fill="CFF0FC"/>
          </w:tcPr>
          <w:p>
            <w:pPr>
              <w:ind w:left="240"/>
              <w:spacing w:after="0" w:line="191" w:lineRule="exact"/>
              <w:rPr>
                <w:sz w:val="20"/>
                <w:szCs w:val="20"/>
                <w:color w:val="auto"/>
              </w:rPr>
            </w:pPr>
            <w:r>
              <w:rPr>
                <w:rFonts w:ascii="Times New Roman" w:cs="Times New Roman" w:eastAsia="Times New Roman" w:hAnsi="Times New Roman"/>
                <w:sz w:val="18"/>
                <w:szCs w:val="18"/>
                <w:color w:val="auto"/>
              </w:rPr>
              <w:t>Total stockholders’ equity</w:t>
            </w:r>
          </w:p>
        </w:tc>
        <w:tc>
          <w:tcPr>
            <w:tcW w:w="1100" w:type="dxa"/>
            <w:vAlign w:val="bottom"/>
            <w:shd w:val="clear" w:color="auto" w:fill="CFF0FC"/>
          </w:tcPr>
          <w:p>
            <w:pPr>
              <w:spacing w:after="0"/>
              <w:rPr>
                <w:sz w:val="16"/>
                <w:szCs w:val="16"/>
                <w:color w:val="auto"/>
              </w:rPr>
            </w:pPr>
          </w:p>
        </w:tc>
        <w:tc>
          <w:tcPr>
            <w:tcW w:w="1980" w:type="dxa"/>
            <w:vAlign w:val="bottom"/>
            <w:gridSpan w:val="2"/>
            <w:shd w:val="clear" w:color="auto" w:fill="CFF0FC"/>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171,81</w:t>
            </w:r>
          </w:p>
        </w:tc>
      </w:tr>
      <w:tr>
        <w:trPr>
          <w:trHeight w:val="234"/>
        </w:trPr>
        <w:tc>
          <w:tcPr>
            <w:tcW w:w="75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144,271</w:t>
            </w:r>
          </w:p>
        </w:tc>
        <w:tc>
          <w:tcPr>
            <w:tcW w:w="19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191"/>
        </w:trPr>
        <w:tc>
          <w:tcPr>
            <w:tcW w:w="754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6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Borders>
              <w:top w:val="single" w:sz="8" w:color="auto"/>
            </w:tcBorders>
          </w:tcPr>
          <w:p>
            <w:pPr>
              <w:jc w:val="right"/>
              <w:ind w:right="81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8160" w:type="dxa"/>
            <w:vAlign w:val="bottom"/>
            <w:gridSpan w:val="2"/>
          </w:tcPr>
          <w:p>
            <w:pPr>
              <w:ind w:left="76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170,175</w:t>
            </w:r>
          </w:p>
        </w:tc>
        <w:tc>
          <w:tcPr>
            <w:tcW w:w="1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200,225</w:t>
            </w:r>
          </w:p>
        </w:tc>
      </w:tr>
      <w:tr>
        <w:trPr>
          <w:trHeight w:val="20"/>
        </w:trPr>
        <w:tc>
          <w:tcPr>
            <w:tcW w:w="7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1608"/>
        </w:trPr>
        <w:tc>
          <w:tcPr>
            <w:tcW w:w="7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8" w:name="page9"/>
    <w:bookmarkEnd w:id="8"/>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Larimar Therapeutics,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71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7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29"/>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26,552</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12,939</w:t>
            </w:r>
          </w:p>
        </w:tc>
      </w:tr>
      <w:tr>
        <w:trPr>
          <w:trHeight w:val="216"/>
        </w:trPr>
        <w:tc>
          <w:tcPr>
            <w:tcW w:w="71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4,636</w:t>
            </w:r>
          </w:p>
        </w:tc>
        <w:tc>
          <w:tcPr>
            <w:tcW w:w="2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3,795</w:t>
            </w:r>
          </w:p>
        </w:tc>
      </w:tr>
      <w:tr>
        <w:trPr>
          <w:trHeight w:val="209"/>
        </w:trPr>
        <w:tc>
          <w:tcPr>
            <w:tcW w:w="7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31,188</w:t>
            </w:r>
          </w:p>
        </w:tc>
        <w:tc>
          <w:tcPr>
            <w:tcW w:w="2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16,734</w:t>
            </w:r>
          </w:p>
        </w:tc>
      </w:tr>
      <w:tr>
        <w:trPr>
          <w:trHeight w:val="223"/>
        </w:trPr>
        <w:tc>
          <w:tcPr>
            <w:tcW w:w="7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from operations</w:t>
            </w:r>
          </w:p>
        </w:tc>
        <w:tc>
          <w:tcPr>
            <w:tcW w:w="7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(31,188)</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(16,734)</w:t>
            </w:r>
          </w:p>
        </w:tc>
      </w:tr>
      <w:tr>
        <w:trPr>
          <w:trHeight w:val="216"/>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1,907</w:t>
            </w:r>
          </w:p>
        </w:tc>
        <w:tc>
          <w:tcPr>
            <w:tcW w:w="2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2,080</w:t>
            </w:r>
          </w:p>
        </w:tc>
      </w:tr>
      <w:tr>
        <w:trPr>
          <w:trHeight w:val="249"/>
        </w:trPr>
        <w:tc>
          <w:tcPr>
            <w:tcW w:w="7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(29,281)</w:t>
            </w:r>
          </w:p>
        </w:tc>
        <w:tc>
          <w:tcPr>
            <w:tcW w:w="2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(14,654)</w:t>
            </w:r>
          </w:p>
        </w:tc>
      </w:tr>
      <w:tr>
        <w:trPr>
          <w:trHeight w:val="197"/>
        </w:trPr>
        <w:tc>
          <w:tcPr>
            <w:tcW w:w="71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(0.46)</w:t>
            </w:r>
          </w:p>
        </w:tc>
        <w:tc>
          <w:tcPr>
            <w:tcW w:w="100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(0.27)</w:t>
            </w:r>
          </w:p>
        </w:tc>
      </w:tr>
      <w:tr>
        <w:trPr>
          <w:trHeight w:val="20"/>
        </w:trPr>
        <w:tc>
          <w:tcPr>
            <w:tcW w:w="7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180" w:type="dxa"/>
            <w:vAlign w:val="bottom"/>
            <w:tcBorders>
              <w:bottom w:val="single" w:sz="8" w:color="CFF0FC"/>
            </w:tcBorders>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7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63,964,008</w:t>
            </w:r>
          </w:p>
        </w:tc>
        <w:tc>
          <w:tcPr>
            <w:tcW w:w="28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53,553,707</w:t>
            </w:r>
          </w:p>
        </w:tc>
      </w:tr>
      <w:tr>
        <w:trPr>
          <w:trHeight w:val="219"/>
        </w:trPr>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Comprehensive loss:</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7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(29,281)</w:t>
            </w:r>
          </w:p>
        </w:tc>
        <w:tc>
          <w:tcPr>
            <w:tcW w:w="10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(14,654)</w:t>
            </w:r>
          </w:p>
        </w:tc>
      </w:tr>
      <w:tr>
        <w:trPr>
          <w:trHeight w:val="230"/>
        </w:trPr>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1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7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r>
      <w:tr>
        <w:trPr>
          <w:trHeight w:val="209"/>
        </w:trPr>
        <w:tc>
          <w:tcPr>
            <w:tcW w:w="7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r>
      <w:tr>
        <w:trPr>
          <w:trHeight w:val="250"/>
        </w:trPr>
        <w:tc>
          <w:tcPr>
            <w:tcW w:w="7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comprehensive loss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(29,375)</w:t>
            </w:r>
          </w:p>
        </w:tc>
        <w:tc>
          <w:tcPr>
            <w:tcW w:w="10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(14,760)</w:t>
            </w:r>
          </w:p>
        </w:tc>
      </w:tr>
      <w:tr>
        <w:trPr>
          <w:trHeight w:val="1823"/>
        </w:trPr>
        <w:tc>
          <w:tcPr>
            <w:tcW w:w="7180" w:type="dxa"/>
            <w:vAlign w:val="bottom"/>
            <w:tcBorders>
              <w:top w:val="single" w:sz="8" w:color="CFF0FC"/>
              <w:bottom w:val="single" w:sz="8" w:color="9A9A9A"/>
            </w:tcBorders>
          </w:tcPr>
          <w:p>
            <w:pPr>
              <w:spacing w:after="0"/>
              <w:rPr>
                <w:sz w:val="24"/>
                <w:szCs w:val="24"/>
                <w:color w:val="auto"/>
              </w:rPr>
            </w:pPr>
          </w:p>
        </w:tc>
        <w:tc>
          <w:tcPr>
            <w:tcW w:w="720" w:type="dxa"/>
            <w:vAlign w:val="bottom"/>
            <w:tcBorders>
              <w:top w:val="single" w:sz="8" w:color="auto"/>
              <w:bottom w:val="single" w:sz="8" w:color="9A9A9A"/>
            </w:tcBorders>
          </w:tcPr>
          <w:p>
            <w:pPr>
              <w:spacing w:after="0"/>
              <w:rPr>
                <w:sz w:val="24"/>
                <w:szCs w:val="24"/>
                <w:color w:val="auto"/>
              </w:rPr>
            </w:pPr>
          </w:p>
        </w:tc>
        <w:tc>
          <w:tcPr>
            <w:tcW w:w="118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720" w:type="dxa"/>
            <w:vAlign w:val="bottom"/>
            <w:tcBorders>
              <w:top w:val="single" w:sz="8" w:color="auto"/>
              <w:bottom w:val="single" w:sz="8" w:color="9A9A9A"/>
            </w:tcBorders>
          </w:tcPr>
          <w:p>
            <w:pPr>
              <w:spacing w:after="0"/>
              <w:rPr>
                <w:sz w:val="24"/>
                <w:szCs w:val="24"/>
                <w:color w:val="auto"/>
              </w:rPr>
            </w:pPr>
          </w:p>
        </w:tc>
        <w:tc>
          <w:tcPr>
            <w:tcW w:w="116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-3025140</wp:posOffset>
            </wp:positionV>
            <wp:extent cx="1803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-2442845</wp:posOffset>
            </wp:positionV>
            <wp:extent cx="1803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-2425065</wp:posOffset>
            </wp:positionV>
            <wp:extent cx="1803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-2116455</wp:posOffset>
            </wp:positionV>
            <wp:extent cx="1803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-2099945</wp:posOffset>
            </wp:positionV>
            <wp:extent cx="1803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5753100</wp:posOffset>
            </wp:positionH>
            <wp:positionV relativeFrom="paragraph">
              <wp:posOffset>-1512570</wp:posOffset>
            </wp:positionV>
            <wp:extent cx="20574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5740" cy="1797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-1207770</wp:posOffset>
            </wp:positionV>
            <wp:extent cx="1803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-1191260</wp:posOffset>
            </wp:positionV>
            <wp:extent cx="1803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2025-04-30T06:08:52Z</dcterms:created>
  <dcterms:modified xsi:type="dcterms:W3CDTF">2025-04-30T06:08:52Z</dcterms:modified>
</cp:coreProperties>
</file>