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-297815</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3,414,468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3,414,468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3,414,468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7.78%</w:t>
            </w:r>
            <w:r>
              <w:rPr>
                <w:rFonts w:ascii="Times New Roman" w:cs="Times New Roman" w:eastAsia="Times New Roman" w:hAnsi="Times New Roman"/>
                <w:sz w:val="29"/>
                <w:szCs w:val="29"/>
                <w:b w:val="1"/>
                <w:bCs w:val="1"/>
                <w:color w:val="auto"/>
                <w:vertAlign w:val="superscript"/>
              </w:rPr>
              <w:t>(1)</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43,905,903 shares of Common Stock outstanding as of November 12, 2023, as reported in the Issuer’s quarterly report on Form 10-Q filed with the Securities and Exchange Commission on 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86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Larimar Therapeutics, Inc.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Three Bala Plaza East. Suite 506,</w:t>
            </w:r>
          </w:p>
        </w:tc>
      </w:tr>
      <w:tr>
        <w:trPr>
          <w:trHeight w:val="234"/>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Bala Cynwyd, PA, 19004</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This statement is filed by Blue Owl Capital Holdings LP, referred to herein as the “Reporting Person.”</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14"/>
        </w:trPr>
        <w:tc>
          <w:tcPr>
            <w:tcW w:w="10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399 Park Avenue</w:t>
            </w:r>
          </w:p>
        </w:tc>
        <w:tc>
          <w:tcPr>
            <w:tcW w:w="86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86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 response to Item 4 on the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Common Stock, par value $0.001 per share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86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517125100</w:t>
            </w:r>
          </w:p>
        </w:tc>
        <w:tc>
          <w:tcPr>
            <w:tcW w:w="866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a(n):</w:t>
            </w:r>
          </w:p>
        </w:tc>
      </w:tr>
      <w:tr>
        <w:trPr>
          <w:trHeight w:val="460"/>
        </w:trPr>
        <w:tc>
          <w:tcPr>
            <w:tcW w:w="1040" w:type="dxa"/>
            <w:vAlign w:val="bottom"/>
          </w:tcPr>
          <w:p>
            <w:pPr>
              <w:spacing w:after="0"/>
              <w:rPr>
                <w:sz w:val="24"/>
                <w:szCs w:val="24"/>
                <w:color w:val="auto"/>
              </w:rPr>
            </w:pPr>
          </w:p>
        </w:tc>
        <w:tc>
          <w:tcPr>
            <w:tcW w:w="10200" w:type="dxa"/>
            <w:vAlign w:val="bottom"/>
            <w:gridSpan w:val="3"/>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tc>
      </w:tr>
      <w:tr>
        <w:trPr>
          <w:trHeight w:val="40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66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9 on the cover page.</w:t>
            </w: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11 on the cover page.</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5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6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7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8 on the cover page.</w:t>
            </w:r>
          </w:p>
        </w:tc>
      </w:tr>
      <w:tr>
        <w:trPr>
          <w:trHeight w:val="399"/>
        </w:trPr>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the Reporting Person is, for the purpose of Section 13(d) or 13(g)</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Exchange Act, the beneficial owner of any securities covered by this Statement.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having that purpose or effect, other than activities solely in connection with a nomination under § 240.14a–11.</w:t>
            </w:r>
          </w:p>
        </w:tc>
      </w:tr>
      <w:tr>
        <w:trPr>
          <w:trHeight w:val="39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Karen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Karen Hager</w:t>
      </w:r>
    </w:p>
    <w:p>
      <w:pPr>
        <w:spacing w:after="0" w:line="2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11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2024-02-14T20:05:12Z</dcterms:created>
  <dcterms:modified xsi:type="dcterms:W3CDTF">2024-02-14T20:05:12Z</dcterms:modified>
</cp:coreProperties>
</file>