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Clayton Russell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LARIMAR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THREE BALA PLAZA EAST, SUITE 506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BALA CYNWYD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Larimar Therapeutics, Inc.</w:t>
              </w:r>
            </w:hyperlink>
            <w:r>
              <w:rPr/>
              <w:t xml:space="preserve"> [ </w:t>
            </w:r>
            <w:r>
              <w:rPr>
                <w:rFonts w:ascii="Times;serif" w:hAnsi="Times;serif"/>
                <w:color w:val="0000FF"/>
                <w:sz w:val="24"/>
                <w:shd w:fill="FFFFFF" w:val="clear"/>
              </w:rPr>
              <w:t>LRMR</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01/17/2024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01/17/2024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22,500</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4.21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01/17/2024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01/17/2034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is represented by a restricted stock unit ("RSU"). Each RSU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25% on January 17, 2025, with the remaining 75% vesting in equal monthly installments on the last day of each of the 36 calendar months immediately following such date, subject to the Reporting Person's continued service with the Issuer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Johansson,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01/19/2024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30072" TargetMode="External"/><Relationship Id="rId4" Type="http://schemas.openxmlformats.org/officeDocument/2006/relationships/hyperlink" Target="http://www.sec.gov/cgi-bin/browse-edgar?action=getcompany&amp;CIK=00013746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654</Words>
  <Characters>3566</Characters>
  <CharactersWithSpaces>4149</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