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141605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2"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33"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May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194310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Larimar Therapeutics, Inc.</w:t>
      </w:r>
    </w:p>
    <w:p>
      <w:pPr>
        <w:spacing w:after="0" w:line="7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1305" w:type="dxa"/>
        <w:tblCellMar>
          <w:top w:w="0" w:type="dxa"/>
          <w:left w:w="0" w:type="dxa"/>
          <w:bottom w:w="0" w:type="dxa"/>
          <w:right w:w="0" w:type="dxa"/>
        </w:tblCellMar>
      </w:tblPr>
      <w:tr>
        <w:trPr>
          <w:trHeight w:val="204"/>
        </w:trPr>
        <w:tc>
          <w:tcPr>
            <w:tcW w:w="2840" w:type="dxa"/>
            <w:vAlign w:val="bottom"/>
          </w:tcPr>
          <w:p>
            <w:pPr>
              <w:jc w:val="center"/>
              <w:ind w:right="731"/>
              <w:spacing w:after="0"/>
              <w:rPr>
                <w:sz w:val="20"/>
                <w:szCs w:val="20"/>
                <w:color w:val="auto"/>
              </w:rPr>
            </w:pPr>
            <w:r>
              <w:rPr>
                <w:rFonts w:ascii="Arial" w:cs="Arial" w:eastAsia="Arial" w:hAnsi="Arial"/>
                <w:sz w:val="16"/>
                <w:szCs w:val="16"/>
                <w:b w:val="1"/>
                <w:bCs w:val="1"/>
                <w:color w:val="auto"/>
                <w:w w:val="91"/>
              </w:rPr>
              <w:t>Delaware</w:t>
            </w:r>
          </w:p>
        </w:tc>
        <w:tc>
          <w:tcPr>
            <w:tcW w:w="3280" w:type="dxa"/>
            <w:vAlign w:val="bottom"/>
          </w:tcPr>
          <w:p>
            <w:pPr>
              <w:jc w:val="right"/>
              <w:ind w:right="1371"/>
              <w:spacing w:after="0"/>
              <w:rPr>
                <w:sz w:val="20"/>
                <w:szCs w:val="20"/>
                <w:color w:val="auto"/>
              </w:rPr>
            </w:pPr>
            <w:r>
              <w:rPr>
                <w:rFonts w:ascii="Arial" w:cs="Arial" w:eastAsia="Arial" w:hAnsi="Arial"/>
                <w:sz w:val="16"/>
                <w:szCs w:val="16"/>
                <w:b w:val="1"/>
                <w:bCs w:val="1"/>
                <w:color w:val="auto"/>
              </w:rPr>
              <w:t>001-36510</w:t>
            </w:r>
          </w:p>
        </w:tc>
        <w:tc>
          <w:tcPr>
            <w:tcW w:w="2000" w:type="dxa"/>
            <w:vAlign w:val="bottom"/>
          </w:tcPr>
          <w:p>
            <w:pPr>
              <w:jc w:val="right"/>
              <w:ind w:right="13"/>
              <w:spacing w:after="0"/>
              <w:rPr>
                <w:sz w:val="20"/>
                <w:szCs w:val="20"/>
                <w:color w:val="auto"/>
              </w:rPr>
            </w:pPr>
            <w:r>
              <w:rPr>
                <w:rFonts w:ascii="Arial" w:cs="Arial" w:eastAsia="Arial" w:hAnsi="Arial"/>
                <w:sz w:val="16"/>
                <w:szCs w:val="16"/>
                <w:b w:val="1"/>
                <w:bCs w:val="1"/>
                <w:color w:val="auto"/>
              </w:rPr>
              <w:t>20-3857670</w:t>
            </w:r>
          </w:p>
        </w:tc>
      </w:tr>
      <w:tr>
        <w:trPr>
          <w:trHeight w:val="144"/>
        </w:trPr>
        <w:tc>
          <w:tcPr>
            <w:tcW w:w="2840" w:type="dxa"/>
            <w:vAlign w:val="bottom"/>
          </w:tcPr>
          <w:p>
            <w:pPr>
              <w:jc w:val="center"/>
              <w:ind w:right="731"/>
              <w:spacing w:after="0"/>
              <w:rPr>
                <w:sz w:val="20"/>
                <w:szCs w:val="20"/>
                <w:color w:val="auto"/>
              </w:rPr>
            </w:pPr>
            <w:r>
              <w:rPr>
                <w:rFonts w:ascii="Arial" w:cs="Arial" w:eastAsia="Arial" w:hAnsi="Arial"/>
                <w:sz w:val="12"/>
                <w:szCs w:val="12"/>
                <w:b w:val="1"/>
                <w:bCs w:val="1"/>
                <w:color w:val="auto"/>
                <w:w w:val="90"/>
              </w:rPr>
              <w:t>(State or Other Jurisdiction</w:t>
            </w:r>
          </w:p>
        </w:tc>
        <w:tc>
          <w:tcPr>
            <w:tcW w:w="3280" w:type="dxa"/>
            <w:vAlign w:val="bottom"/>
          </w:tcPr>
          <w:p>
            <w:pPr>
              <w:jc w:val="center"/>
              <w:ind w:right="191"/>
              <w:spacing w:after="0"/>
              <w:rPr>
                <w:sz w:val="20"/>
                <w:szCs w:val="20"/>
                <w:color w:val="auto"/>
              </w:rPr>
            </w:pPr>
            <w:r>
              <w:rPr>
                <w:rFonts w:ascii="Arial" w:cs="Arial" w:eastAsia="Arial" w:hAnsi="Arial"/>
                <w:sz w:val="12"/>
                <w:szCs w:val="12"/>
                <w:b w:val="1"/>
                <w:bCs w:val="1"/>
                <w:color w:val="auto"/>
                <w:w w:val="90"/>
              </w:rPr>
              <w:t>(Commission File Number)</w:t>
            </w:r>
          </w:p>
        </w:tc>
        <w:tc>
          <w:tcPr>
            <w:tcW w:w="2000" w:type="dxa"/>
            <w:vAlign w:val="bottom"/>
          </w:tcPr>
          <w:p>
            <w:pPr>
              <w:jc w:val="center"/>
              <w:ind w:left="1013"/>
              <w:spacing w:after="0"/>
              <w:rPr>
                <w:sz w:val="20"/>
                <w:szCs w:val="20"/>
                <w:color w:val="auto"/>
              </w:rPr>
            </w:pPr>
            <w:r>
              <w:rPr>
                <w:rFonts w:ascii="Arial" w:cs="Arial" w:eastAsia="Arial" w:hAnsi="Arial"/>
                <w:sz w:val="12"/>
                <w:szCs w:val="12"/>
                <w:b w:val="1"/>
                <w:bCs w:val="1"/>
                <w:color w:val="auto"/>
                <w:w w:val="92"/>
              </w:rPr>
              <w:t>(IRS Employer</w:t>
            </w:r>
          </w:p>
        </w:tc>
      </w:tr>
      <w:tr>
        <w:trPr>
          <w:trHeight w:val="151"/>
        </w:trPr>
        <w:tc>
          <w:tcPr>
            <w:tcW w:w="2840" w:type="dxa"/>
            <w:vAlign w:val="bottom"/>
          </w:tcPr>
          <w:p>
            <w:pPr>
              <w:jc w:val="center"/>
              <w:ind w:right="731"/>
              <w:spacing w:after="0"/>
              <w:rPr>
                <w:sz w:val="20"/>
                <w:szCs w:val="20"/>
                <w:color w:val="auto"/>
              </w:rPr>
            </w:pPr>
            <w:r>
              <w:rPr>
                <w:rFonts w:ascii="Arial" w:cs="Arial" w:eastAsia="Arial" w:hAnsi="Arial"/>
                <w:sz w:val="12"/>
                <w:szCs w:val="12"/>
                <w:b w:val="1"/>
                <w:bCs w:val="1"/>
                <w:color w:val="auto"/>
                <w:w w:val="91"/>
              </w:rPr>
              <w:t>of Incorporation)</w:t>
            </w:r>
          </w:p>
        </w:tc>
        <w:tc>
          <w:tcPr>
            <w:tcW w:w="3280" w:type="dxa"/>
            <w:vAlign w:val="bottom"/>
          </w:tcPr>
          <w:p>
            <w:pPr>
              <w:spacing w:after="0"/>
              <w:rPr>
                <w:sz w:val="13"/>
                <w:szCs w:val="13"/>
                <w:color w:val="auto"/>
              </w:rPr>
            </w:pPr>
          </w:p>
        </w:tc>
        <w:tc>
          <w:tcPr>
            <w:tcW w:w="2000" w:type="dxa"/>
            <w:vAlign w:val="bottom"/>
          </w:tcPr>
          <w:p>
            <w:pPr>
              <w:jc w:val="center"/>
              <w:ind w:left="1013"/>
              <w:spacing w:after="0"/>
              <w:rPr>
                <w:sz w:val="20"/>
                <w:szCs w:val="20"/>
                <w:color w:val="auto"/>
              </w:rPr>
            </w:pPr>
            <w:r>
              <w:rPr>
                <w:rFonts w:ascii="Arial" w:cs="Arial" w:eastAsia="Arial" w:hAnsi="Arial"/>
                <w:sz w:val="12"/>
                <w:szCs w:val="12"/>
                <w:b w:val="1"/>
                <w:bCs w:val="1"/>
                <w:color w:val="auto"/>
                <w:w w:val="90"/>
              </w:rPr>
              <w:t>Identification No.)</w:t>
            </w:r>
          </w:p>
        </w:tc>
      </w:tr>
      <w:tr>
        <w:trPr>
          <w:trHeight w:val="414"/>
        </w:trPr>
        <w:tc>
          <w:tcPr>
            <w:tcW w:w="2840" w:type="dxa"/>
            <w:vAlign w:val="bottom"/>
          </w:tcPr>
          <w:p>
            <w:pPr>
              <w:jc w:val="center"/>
              <w:ind w:right="751"/>
              <w:spacing w:after="0"/>
              <w:rPr>
                <w:sz w:val="20"/>
                <w:szCs w:val="20"/>
                <w:color w:val="auto"/>
              </w:rPr>
            </w:pPr>
            <w:r>
              <w:rPr>
                <w:rFonts w:ascii="Arial" w:cs="Arial" w:eastAsia="Arial" w:hAnsi="Arial"/>
                <w:sz w:val="16"/>
                <w:szCs w:val="16"/>
                <w:b w:val="1"/>
                <w:bCs w:val="1"/>
                <w:color w:val="auto"/>
                <w:w w:val="90"/>
              </w:rPr>
              <w:t>Three Bala Plaza East</w:t>
            </w:r>
          </w:p>
        </w:tc>
        <w:tc>
          <w:tcPr>
            <w:tcW w:w="3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3"/>
        </w:trPr>
        <w:tc>
          <w:tcPr>
            <w:tcW w:w="2840" w:type="dxa"/>
            <w:vAlign w:val="bottom"/>
          </w:tcPr>
          <w:p>
            <w:pPr>
              <w:jc w:val="center"/>
              <w:ind w:right="731"/>
              <w:spacing w:after="0"/>
              <w:rPr>
                <w:sz w:val="20"/>
                <w:szCs w:val="20"/>
                <w:color w:val="auto"/>
              </w:rPr>
            </w:pPr>
            <w:r>
              <w:rPr>
                <w:rFonts w:ascii="Arial" w:cs="Arial" w:eastAsia="Arial" w:hAnsi="Arial"/>
                <w:sz w:val="16"/>
                <w:szCs w:val="16"/>
                <w:b w:val="1"/>
                <w:bCs w:val="1"/>
                <w:color w:val="auto"/>
                <w:w w:val="89"/>
              </w:rPr>
              <w:t>Bala Cynwyd, Pennsylvania</w:t>
            </w:r>
          </w:p>
        </w:tc>
        <w:tc>
          <w:tcPr>
            <w:tcW w:w="3280" w:type="dxa"/>
            <w:vAlign w:val="bottom"/>
          </w:tcPr>
          <w:p>
            <w:pPr>
              <w:spacing w:after="0"/>
              <w:rPr>
                <w:sz w:val="18"/>
                <w:szCs w:val="18"/>
                <w:color w:val="auto"/>
              </w:rPr>
            </w:pPr>
          </w:p>
        </w:tc>
        <w:tc>
          <w:tcPr>
            <w:tcW w:w="2000" w:type="dxa"/>
            <w:vAlign w:val="bottom"/>
          </w:tcPr>
          <w:p>
            <w:pPr>
              <w:jc w:val="right"/>
              <w:ind w:right="193"/>
              <w:spacing w:after="0"/>
              <w:rPr>
                <w:sz w:val="20"/>
                <w:szCs w:val="20"/>
                <w:color w:val="auto"/>
              </w:rPr>
            </w:pPr>
            <w:r>
              <w:rPr>
                <w:rFonts w:ascii="Arial" w:cs="Arial" w:eastAsia="Arial" w:hAnsi="Arial"/>
                <w:sz w:val="16"/>
                <w:szCs w:val="16"/>
                <w:b w:val="1"/>
                <w:bCs w:val="1"/>
                <w:color w:val="auto"/>
              </w:rPr>
              <w:t>19004</w:t>
            </w:r>
          </w:p>
        </w:tc>
      </w:tr>
      <w:tr>
        <w:trPr>
          <w:trHeight w:val="165"/>
        </w:trPr>
        <w:tc>
          <w:tcPr>
            <w:tcW w:w="2840" w:type="dxa"/>
            <w:vAlign w:val="bottom"/>
          </w:tcPr>
          <w:p>
            <w:pPr>
              <w:jc w:val="center"/>
              <w:ind w:right="75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3280" w:type="dxa"/>
            <w:vAlign w:val="bottom"/>
          </w:tcPr>
          <w:p>
            <w:pPr>
              <w:spacing w:after="0"/>
              <w:rPr>
                <w:sz w:val="14"/>
                <w:szCs w:val="14"/>
                <w:color w:val="auto"/>
              </w:rPr>
            </w:pPr>
          </w:p>
        </w:tc>
        <w:tc>
          <w:tcPr>
            <w:tcW w:w="2000" w:type="dxa"/>
            <w:vAlign w:val="bottom"/>
          </w:tcPr>
          <w:p>
            <w:pPr>
              <w:jc w:val="center"/>
              <w:ind w:left="1013"/>
              <w:spacing w:after="0"/>
              <w:rPr>
                <w:sz w:val="20"/>
                <w:szCs w:val="20"/>
                <w:color w:val="auto"/>
              </w:rPr>
            </w:pPr>
            <w:r>
              <w:rPr>
                <w:rFonts w:ascii="Arial" w:cs="Arial" w:eastAsia="Arial" w:hAnsi="Arial"/>
                <w:sz w:val="12"/>
                <w:szCs w:val="12"/>
                <w:b w:val="1"/>
                <w:bCs w:val="1"/>
                <w:color w:val="auto"/>
                <w:w w:val="94"/>
              </w:rPr>
              <w:t>(Zip Code)</w:t>
            </w:r>
          </w:p>
        </w:tc>
      </w:tr>
    </w:tbl>
    <w:p>
      <w:pPr>
        <w:spacing w:after="0" w:line="399"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Registrant’s Telephone Number, Including Area Code: (844) 511-9056</w:t>
      </w:r>
    </w:p>
    <w:p>
      <w:pPr>
        <w:spacing w:after="0" w:line="200" w:lineRule="exact"/>
        <w:rPr>
          <w:sz w:val="24"/>
          <w:szCs w:val="24"/>
          <w:color w:val="auto"/>
        </w:rPr>
      </w:pPr>
    </w:p>
    <w:p>
      <w:pPr>
        <w:spacing w:after="0" w:line="379"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3" w:lineRule="exact"/>
        <w:rPr>
          <w:sz w:val="24"/>
          <w:szCs w:val="24"/>
          <w:color w:val="auto"/>
        </w:rPr>
      </w:pPr>
    </w:p>
    <w:tbl>
      <w:tblPr>
        <w:tblLayout w:type="fixed"/>
        <w:tblInd w:w="5"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7660" w:type="dxa"/>
            <w:vAlign w:val="bottom"/>
            <w:gridSpan w:val="5"/>
          </w:tcPr>
          <w:p>
            <w:pPr>
              <w:ind w:left="10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51"/>
        </w:trPr>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4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1"/>
        </w:trPr>
        <w:tc>
          <w:tcPr>
            <w:tcW w:w="360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b w:val="1"/>
                <w:bCs w:val="1"/>
                <w:color w:val="auto"/>
                <w:w w:val="85"/>
              </w:rPr>
              <w:t>Title of each class</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140" w:type="dxa"/>
            <w:vAlign w:val="bottom"/>
          </w:tcPr>
          <w:p>
            <w:pPr>
              <w:spacing w:after="0"/>
              <w:rPr>
                <w:sz w:val="18"/>
                <w:szCs w:val="18"/>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199"/>
        </w:trPr>
        <w:tc>
          <w:tcPr>
            <w:tcW w:w="3600" w:type="dxa"/>
            <w:vAlign w:val="bottom"/>
          </w:tcPr>
          <w:p>
            <w:pPr>
              <w:jc w:val="center"/>
              <w:ind w:left="561"/>
              <w:spacing w:after="0"/>
              <w:rPr>
                <w:sz w:val="20"/>
                <w:szCs w:val="20"/>
                <w:color w:val="auto"/>
              </w:rPr>
            </w:pPr>
            <w:r>
              <w:rPr>
                <w:rFonts w:ascii="Arial" w:cs="Arial" w:eastAsia="Arial" w:hAnsi="Arial"/>
                <w:sz w:val="16"/>
                <w:szCs w:val="16"/>
                <w:color w:val="auto"/>
                <w:w w:val="87"/>
              </w:rPr>
              <w:t>Common Stock, par value $0.001 per share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4"/>
              </w:rPr>
              <w:t>lrmr</w:t>
            </w:r>
          </w:p>
        </w:tc>
        <w:tc>
          <w:tcPr>
            <w:tcW w:w="14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0"/>
              </w:rPr>
              <w:t>Nasdaq Global Market</w:t>
            </w:r>
          </w:p>
        </w:tc>
      </w:tr>
    </w:tbl>
    <w:p>
      <w:pPr>
        <w:spacing w:after="0" w:line="189" w:lineRule="exact"/>
        <w:rPr>
          <w:sz w:val="24"/>
          <w:szCs w:val="24"/>
          <w:color w:val="auto"/>
        </w:rPr>
      </w:pPr>
    </w:p>
    <w:p>
      <w:pPr>
        <w:ind w:left="5" w:right="22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left="5"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294640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7"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04" w:lineRule="exact"/>
        <w:rPr>
          <w:sz w:val="20"/>
          <w:szCs w:val="20"/>
          <w:color w:val="auto"/>
        </w:rPr>
      </w:pPr>
    </w:p>
    <w:p>
      <w:pPr>
        <w:ind w:right="240"/>
        <w:spacing w:after="0" w:line="302" w:lineRule="auto"/>
        <w:rPr>
          <w:sz w:val="20"/>
          <w:szCs w:val="20"/>
          <w:color w:val="auto"/>
        </w:rPr>
      </w:pPr>
      <w:r>
        <w:rPr>
          <w:rFonts w:ascii="Arial" w:cs="Arial" w:eastAsia="Arial" w:hAnsi="Arial"/>
          <w:sz w:val="15"/>
          <w:szCs w:val="15"/>
          <w:color w:val="auto"/>
        </w:rPr>
        <w:t>On May 15, 2023, Larimar Therapeutics,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announced its financial results and operational highlights for the first quarter ended March 31, 2023. A copy of the Press Release (as defined in Item 8.01 below) is being filed as Exhibit 99.1 to this Current Report on Form 8-K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Press Release</w:t>
      </w:r>
    </w:p>
    <w:p>
      <w:pPr>
        <w:spacing w:after="0" w:line="19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On May 15, 2023, the Company issued a press release announcing preliminary top-line data from its phase 2 trial’s 25 mg cohort showing increases in frataxin levels in patients with Friedreich’s ataxia and first quarter 2023 financial results (the "</w:t>
      </w:r>
      <w:r>
        <w:rPr>
          <w:rFonts w:ascii="Arial" w:cs="Arial" w:eastAsia="Arial" w:hAnsi="Arial"/>
          <w:sz w:val="16"/>
          <w:szCs w:val="16"/>
          <w:b w:val="1"/>
          <w:bCs w:val="1"/>
          <w:i w:val="1"/>
          <w:iCs w:val="1"/>
          <w:color w:val="auto"/>
        </w:rPr>
        <w:t>Press Release</w:t>
      </w:r>
      <w:r>
        <w:rPr>
          <w:rFonts w:ascii="Arial" w:cs="Arial" w:eastAsia="Arial" w:hAnsi="Arial"/>
          <w:sz w:val="16"/>
          <w:szCs w:val="16"/>
          <w:color w:val="auto"/>
        </w:rPr>
        <w:t>"), which is attached as Exhibit 99.1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Investor Presentation</w:t>
      </w:r>
    </w:p>
    <w:p>
      <w:pPr>
        <w:spacing w:after="0" w:line="194" w:lineRule="exact"/>
        <w:rPr>
          <w:sz w:val="20"/>
          <w:szCs w:val="20"/>
          <w:color w:val="auto"/>
        </w:rPr>
      </w:pPr>
    </w:p>
    <w:p>
      <w:pPr>
        <w:ind w:right="300"/>
        <w:spacing w:after="0" w:line="340" w:lineRule="auto"/>
        <w:rPr>
          <w:sz w:val="20"/>
          <w:szCs w:val="20"/>
          <w:color w:val="auto"/>
        </w:rPr>
      </w:pPr>
      <w:r>
        <w:rPr>
          <w:rFonts w:ascii="Arial" w:cs="Arial" w:eastAsia="Arial" w:hAnsi="Arial"/>
          <w:sz w:val="14"/>
          <w:szCs w:val="14"/>
          <w:color w:val="auto"/>
        </w:rPr>
        <w:t>On May 15, 2023,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Below is a list of exhibits included with this Current Report on Form 8-K.</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380" w:type="dxa"/>
            <w:vAlign w:val="bottom"/>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Document</w:t>
            </w:r>
          </w:p>
        </w:tc>
      </w:tr>
      <w:tr>
        <w:trPr>
          <w:trHeight w:val="157"/>
        </w:trPr>
        <w:tc>
          <w:tcPr>
            <w:tcW w:w="1140" w:type="dxa"/>
            <w:vAlign w:val="bottom"/>
          </w:tcPr>
          <w:p>
            <w:pPr>
              <w:spacing w:after="0" w:line="158" w:lineRule="exact"/>
              <w:rPr>
                <w:sz w:val="20"/>
                <w:szCs w:val="20"/>
                <w:color w:val="auto"/>
              </w:rPr>
            </w:pPr>
            <w:r>
              <w:rPr>
                <w:rFonts w:ascii="Arial" w:cs="Arial" w:eastAsia="Arial" w:hAnsi="Arial"/>
                <w:sz w:val="16"/>
                <w:szCs w:val="16"/>
                <w:color w:val="auto"/>
              </w:rPr>
              <w:t>99.1</w:t>
            </w:r>
          </w:p>
        </w:tc>
        <w:tc>
          <w:tcPr>
            <w:tcW w:w="380" w:type="dxa"/>
            <w:vAlign w:val="bottom"/>
          </w:tcPr>
          <w:p>
            <w:pPr>
              <w:spacing w:after="0"/>
              <w:rPr>
                <w:sz w:val="13"/>
                <w:szCs w:val="13"/>
                <w:color w:val="auto"/>
              </w:rPr>
            </w:pPr>
          </w:p>
        </w:tc>
        <w:tc>
          <w:tcPr>
            <w:tcW w:w="9740" w:type="dxa"/>
            <w:vAlign w:val="bottom"/>
            <w:gridSpan w:val="3"/>
          </w:tcPr>
          <w:p>
            <w:pPr>
              <w:spacing w:after="0" w:line="158" w:lineRule="exact"/>
              <w:rPr>
                <w:sz w:val="20"/>
                <w:szCs w:val="20"/>
                <w:color w:val="auto"/>
              </w:rPr>
            </w:pPr>
            <w:r>
              <w:rPr>
                <w:rFonts w:ascii="Arial" w:cs="Arial" w:eastAsia="Arial" w:hAnsi="Arial"/>
                <w:sz w:val="16"/>
                <w:szCs w:val="16"/>
                <w:color w:val="0000FF"/>
              </w:rPr>
              <w:t>Press Release issued by Larimar Therapeutics, Inc. on May 15, 2023*</w:t>
            </w:r>
          </w:p>
        </w:tc>
      </w:tr>
      <w:tr>
        <w:trPr>
          <w:trHeight w:val="20"/>
        </w:trPr>
        <w:tc>
          <w:tcPr>
            <w:tcW w:w="1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93"/>
        </w:trPr>
        <w:tc>
          <w:tcPr>
            <w:tcW w:w="1140" w:type="dxa"/>
            <w:vAlign w:val="bottom"/>
          </w:tcPr>
          <w:p>
            <w:pPr>
              <w:spacing w:after="0"/>
              <w:rPr>
                <w:sz w:val="20"/>
                <w:szCs w:val="20"/>
                <w:color w:val="auto"/>
              </w:rPr>
            </w:pPr>
            <w:r>
              <w:rPr>
                <w:rFonts w:ascii="Arial" w:cs="Arial" w:eastAsia="Arial" w:hAnsi="Arial"/>
                <w:sz w:val="16"/>
                <w:szCs w:val="16"/>
                <w:color w:val="auto"/>
              </w:rPr>
              <w:t>99.2</w:t>
            </w:r>
          </w:p>
        </w:tc>
        <w:tc>
          <w:tcPr>
            <w:tcW w:w="380" w:type="dxa"/>
            <w:vAlign w:val="bottom"/>
          </w:tcPr>
          <w:p>
            <w:pPr>
              <w:spacing w:after="0"/>
              <w:rPr>
                <w:sz w:val="16"/>
                <w:szCs w:val="16"/>
                <w:color w:val="auto"/>
              </w:rPr>
            </w:pPr>
          </w:p>
        </w:tc>
        <w:tc>
          <w:tcPr>
            <w:tcW w:w="9740" w:type="dxa"/>
            <w:vAlign w:val="bottom"/>
            <w:gridSpan w:val="3"/>
          </w:tcPr>
          <w:p>
            <w:pPr>
              <w:spacing w:after="0"/>
              <w:rPr>
                <w:sz w:val="20"/>
                <w:szCs w:val="20"/>
                <w:color w:val="auto"/>
              </w:rPr>
            </w:pPr>
            <w:r>
              <w:rPr>
                <w:rFonts w:ascii="Arial" w:cs="Arial" w:eastAsia="Arial" w:hAnsi="Arial"/>
                <w:sz w:val="16"/>
                <w:szCs w:val="16"/>
                <w:color w:val="0000FF"/>
              </w:rPr>
              <w:t>Larimar Therapeutics, Inc. Corporate Presentation, dated May 15, 2023*</w:t>
            </w:r>
          </w:p>
        </w:tc>
      </w:tr>
      <w:tr>
        <w:trPr>
          <w:trHeight w:val="20"/>
        </w:trPr>
        <w:tc>
          <w:tcPr>
            <w:tcW w:w="1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bl>
    <w:p>
      <w:pPr>
        <w:spacing w:after="0" w:line="35" w:lineRule="exact"/>
        <w:rPr>
          <w:sz w:val="20"/>
          <w:szCs w:val="20"/>
          <w:color w:val="auto"/>
        </w:rPr>
      </w:pPr>
    </w:p>
    <w:p>
      <w:pPr>
        <w:ind w:left="1500" w:hanging="1494"/>
        <w:spacing w:after="0"/>
        <w:tabs>
          <w:tab w:leader="none" w:pos="1500" w:val="left"/>
        </w:tabs>
        <w:numPr>
          <w:ilvl w:val="1"/>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179070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07" w:right="319" w:bottom="1440" w:gutter="0" w:footer="0" w:header="0"/>
        </w:sectPr>
      </w:pPr>
    </w:p>
    <w:bookmarkStart w:id="2" w:name="page3"/>
    <w:bookmarkEnd w:id="2"/>
    <w:p>
      <w:pPr>
        <w:ind w:left="5120"/>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28"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Larimar Therapeutics, Inc.</w:t>
      </w:r>
    </w:p>
    <w:p>
      <w:pPr>
        <w:spacing w:after="0" w:line="372"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15,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19050</wp:posOffset>
            </wp:positionV>
            <wp:extent cx="32740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060" cy="7620"/>
                    </a:xfrm>
                    <a:prstGeom prst="rect">
                      <a:avLst/>
                    </a:prstGeom>
                    <a:noFill/>
                  </pic:spPr>
                </pic:pic>
              </a:graphicData>
            </a:graphic>
          </wp:anchor>
        </w:drawing>
      </w:r>
    </w:p>
    <w:p>
      <w:pPr>
        <w:spacing w:after="0" w:line="33"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Name: Carole S. Ben-Maimon, M.D.</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269240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00"/>
          </w:cols>
          <w:pgMar w:left="320" w:top="123" w:right="8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8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t>Exhibit 99.1</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Larimar Therapeutics Reports Preliminary Top-line Data from Phase 2 Trial’s 25 mg Cohort Showing Increases in Frataxin Levels in</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Patients with Friedreich’s Ataxia and First Quarter 2023 Financial Results</w:t>
      </w:r>
    </w:p>
    <w:p>
      <w:pPr>
        <w:spacing w:after="0" w:line="158" w:lineRule="exact"/>
        <w:rPr>
          <w:sz w:val="20"/>
          <w:szCs w:val="20"/>
          <w:color w:val="auto"/>
        </w:rPr>
      </w:pPr>
    </w:p>
    <w:p>
      <w:pPr>
        <w:ind w:left="740" w:hanging="370"/>
        <w:spacing w:after="0" w:line="241"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Safety data indicate that repeated subcutaneous injections of 25 mg CTI-1601 were generally well tolerated when administered daily for 14 days and then every-other-day thereafter until day 28</w:t>
      </w:r>
    </w:p>
    <w:p>
      <w:pPr>
        <w:spacing w:after="0" w:line="1" w:lineRule="exact"/>
        <w:rPr>
          <w:rFonts w:ascii="Arial" w:cs="Arial" w:eastAsia="Arial" w:hAnsi="Arial"/>
          <w:sz w:val="16"/>
          <w:szCs w:val="16"/>
          <w:color w:val="auto"/>
        </w:rPr>
      </w:pPr>
    </w:p>
    <w:p>
      <w:pPr>
        <w:ind w:left="740" w:hanging="370"/>
        <w:spacing w:after="0" w:line="231"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Daily subcutaneous injections of 25 mg CTI-1601 for 14 days led to increases in frataxin levels from baseline compared to placebo in all evaluated tissues (skin and buccal cells)</w:t>
      </w:r>
    </w:p>
    <w:p>
      <w:pPr>
        <w:ind w:left="740" w:hanging="370"/>
        <w:spacing w:after="0" w:line="231"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Median placebo-adjusted increases from baseline of 3.5 pg/µg and 0.9 pg/µg in frataxin levels observed in skin and buccal cells, respectively, with 14 days of daily dosing of CTI-1601</w:t>
      </w:r>
    </w:p>
    <w:p>
      <w:pPr>
        <w:ind w:left="740" w:hanging="37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Larimar has submitted data to FDA and will meet with the Agency to discuss next steps; update expected in Q3 2023</w:t>
      </w:r>
    </w:p>
    <w:p>
      <w:pPr>
        <w:spacing w:after="0" w:line="4" w:lineRule="exact"/>
        <w:rPr>
          <w:rFonts w:ascii="Arial" w:cs="Arial" w:eastAsia="Arial" w:hAnsi="Arial"/>
          <w:sz w:val="16"/>
          <w:szCs w:val="16"/>
          <w:color w:val="auto"/>
        </w:rPr>
      </w:pPr>
    </w:p>
    <w:p>
      <w:pPr>
        <w:ind w:left="740" w:hanging="37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Company management to host webcast and conference call today at 8:00 a.m. ET</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May 15, 2023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announced preliminary top-line data from the 25 mg cohort of its Phase 2, four-week, placebo-controlled, dose exploration trial of CTI-1601 in participants with Friedreich’s ataxia (FA). Participants in the trial’s 25 mg cohort (n=13) were randomized to receive subcutaneous injections of 25 mg CTI-1601 (n=9) or placebo (n=4) daily for 14 days and then every-other-day thereafter until day 28. Data from the cohort indicate CTI-1601 was generally well tolerated and showed increases in frataxin (FXN) levels from baseline compared to placebo in all evaluated tissues (skin and buccal cells) at day 14.</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skin, a median placebo-adjusted increase from baseline of 3.5 pg/µg in frataxin levels was observed on day 14 (frataxin concentration normalized to total protein). Of the seven CTI-1601-treated participants with quantifiable levels of frataxin in skin at both baseline and day 14, all seven had increases in skin frataxin concentrations, compared to none of the four placebo participants with quantifiable levels of frataxin in skin at both baseline and day 14. In buccal cells, a median placebo-adjusted increase from baseline of 0.9 pg/µg in frataxin levels was observed on day 14 (frataxin concentration normalized to total protein). Of the seven CTI-1601-treated participants with quantifiable levels of frataxin in buccal cells at both baseline and day 14, five had increases in buccal cell frataxin concentrations, compared to neither of the two placebo participants with quantifiable levels of frataxin in buccal cells at both baseline and day 14.</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a non-interventional study that used the same sampling technique and assay as Larimar’s Phase 2 trial to measure frataxin levels in 60 homozygous healthy volunteers, median frataxin concentrations observed in skin and buccal cells were 16 pg/µg and 8 pg/µg, respectively (frataxin concentration normalized to total protein). Larimar therefore estimates phenotypically healthy heterozygous carriers of the FA-causing gene to have median frataxin concentrations of approximately 8 pg/µg and 4 pg/µg in skin and buccal cells, respectively, based on published literature indicating heterozygous carriers have frataxin levels that are approximately 50% of those of homozygous healthy people.</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Larimar’s Phase 2 data and non-interventional study results follow Phase 1 data that showed dose-dependent increases in frataxin levels in peripheral tissue with daily dosing of 50 and 100 mg of CTI-1601 for at least 7 days, and no detectable increase in FXN levels with daily dosing of 25 mg of CTI-1601 for only 4 days.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Larimar has submitted the data from the trial’s 25 mg cohort to FDA and has a meeting scheduled with the Agency for later this quarter to discuss the information needed to gain clearance to initiate a 50 mg cohort in the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156210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42" w:right="31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16"/>
          <w:szCs w:val="16"/>
          <w:color w:val="auto"/>
        </w:rPr>
        <w:t>“Our preliminary Phase 2 data provide the first clinical indication that a 25 mg dose of CTI-1601 can increase frataxin levels in peripheral tissues, building upon our proof-of-concept Phase 1 results,” said Carole Ben-Maimon</w:t>
      </w:r>
      <w:r>
        <w:rPr>
          <w:rFonts w:ascii="Arial" w:cs="Arial" w:eastAsia="Arial" w:hAnsi="Arial"/>
          <w:sz w:val="16"/>
          <w:szCs w:val="16"/>
          <w:b w:val="1"/>
          <w:bCs w:val="1"/>
          <w:color w:val="auto"/>
        </w:rPr>
        <w:t>,</w:t>
      </w:r>
      <w:r>
        <w:rPr>
          <w:rFonts w:ascii="Arial" w:cs="Arial" w:eastAsia="Arial" w:hAnsi="Arial"/>
          <w:sz w:val="16"/>
          <w:szCs w:val="16"/>
          <w:color w:val="auto"/>
        </w:rPr>
        <w:t xml:space="preserve"> MD, President and Chief Executive Officer of Larimar. “Importantly, the frataxin increases achieved with a relatively low 25 mg dose in our Phase 2 trial suggest a continuous daily dosing regimen is preferred for maintaining increases achieved with 25 mg CTI-1601. I would like to thank all those who participated in our trials and look forward to our upcoming meeting with the FDA later this quarter.”</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median change from baseline in FXN levels at day 14 (last day of daily dosing) and day 28 (end of treatment and after switching to every other day dosing) in the Phase 2 trial are shown in the table below.</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1: FXN Change from Baseline in Skin Biopsies</w:t>
      </w:r>
      <w:r>
        <w:rPr>
          <w:rFonts w:ascii="Arial" w:cs="Arial" w:eastAsia="Arial" w:hAnsi="Arial"/>
          <w:sz w:val="21"/>
          <w:szCs w:val="21"/>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54545" cy="761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4545" cy="761365"/>
                    </a:xfrm>
                    <a:prstGeom prst="rect">
                      <a:avLst/>
                    </a:prstGeom>
                    <a:noFill/>
                  </pic:spPr>
                </pic:pic>
              </a:graphicData>
            </a:graphic>
          </wp:anchor>
        </w:drawing>
      </w:r>
    </w:p>
    <w:p>
      <w:pPr>
        <w:jc w:val="center"/>
        <w:spacing w:after="0" w:line="204" w:lineRule="auto"/>
        <w:rPr>
          <w:sz w:val="20"/>
          <w:szCs w:val="20"/>
          <w:color w:val="auto"/>
        </w:rPr>
      </w:pPr>
      <w:r>
        <w:rPr>
          <w:rFonts w:ascii="Arial" w:cs="Arial" w:eastAsia="Arial" w:hAnsi="Arial"/>
          <w:sz w:val="14"/>
          <w:szCs w:val="14"/>
          <w:color w:val="auto"/>
        </w:rPr>
        <w:t>Units: pg FXN / μg total protein</w:t>
      </w:r>
    </w:p>
    <w:p>
      <w:pPr>
        <w:jc w:val="center"/>
        <w:ind w:left="3520"/>
        <w:spacing w:after="0"/>
        <w:rPr>
          <w:sz w:val="20"/>
          <w:szCs w:val="20"/>
          <w:color w:val="auto"/>
        </w:rPr>
      </w:pPr>
      <w:r>
        <w:rPr>
          <w:rFonts w:ascii="Arial" w:cs="Arial" w:eastAsia="Arial" w:hAnsi="Arial"/>
          <w:sz w:val="14"/>
          <w:szCs w:val="14"/>
          <w:color w:val="auto"/>
        </w:rPr>
        <w:t>Data presented as: median (25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75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Dose Group</w:t>
            </w:r>
          </w:p>
        </w:tc>
        <w:tc>
          <w:tcPr>
            <w:tcW w:w="2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Day 14</w:t>
            </w: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Day 28</w:t>
            </w:r>
          </w:p>
        </w:tc>
        <w:tc>
          <w:tcPr>
            <w:tcW w:w="1100" w:type="dxa"/>
            <w:vAlign w:val="bottom"/>
            <w:tcBorders>
              <w:bottom w:val="single" w:sz="8" w:color="auto"/>
            </w:tcBorders>
          </w:tcPr>
          <w:p>
            <w:pPr>
              <w:spacing w:after="0"/>
              <w:rPr>
                <w:sz w:val="16"/>
                <w:szCs w:val="16"/>
                <w:color w:val="auto"/>
              </w:rPr>
            </w:pPr>
          </w:p>
        </w:tc>
      </w:tr>
      <w:tr>
        <w:trPr>
          <w:trHeight w:val="192"/>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Placebo</w:t>
            </w:r>
          </w:p>
        </w:tc>
        <w:tc>
          <w:tcPr>
            <w:tcW w:w="20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-0.66</w:t>
            </w:r>
          </w:p>
        </w:tc>
        <w:tc>
          <w:tcPr>
            <w:tcW w:w="17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(-1.08, -0.37)</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(n=4)</w:t>
            </w: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-0.30</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(-0.90, 0.77)</w:t>
            </w: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(n=4)</w:t>
            </w:r>
          </w:p>
        </w:tc>
      </w:tr>
      <w:tr>
        <w:trPr>
          <w:trHeight w:val="192"/>
        </w:trPr>
        <w:tc>
          <w:tcPr>
            <w:tcW w:w="2540" w:type="dxa"/>
            <w:vAlign w:val="bottom"/>
          </w:tcPr>
          <w:p>
            <w:pPr>
              <w:ind w:left="100"/>
              <w:spacing w:after="0"/>
              <w:rPr>
                <w:sz w:val="20"/>
                <w:szCs w:val="20"/>
                <w:color w:val="auto"/>
              </w:rPr>
            </w:pPr>
            <w:r>
              <w:rPr>
                <w:rFonts w:ascii="Arial" w:cs="Arial" w:eastAsia="Arial" w:hAnsi="Arial"/>
                <w:sz w:val="16"/>
                <w:szCs w:val="16"/>
                <w:color w:val="auto"/>
              </w:rPr>
              <w:t>25 mg CTI-1601</w:t>
            </w:r>
          </w:p>
        </w:tc>
        <w:tc>
          <w:tcPr>
            <w:tcW w:w="2060" w:type="dxa"/>
            <w:vAlign w:val="bottom"/>
          </w:tcPr>
          <w:p>
            <w:pPr>
              <w:jc w:val="right"/>
              <w:ind w:right="341"/>
              <w:spacing w:after="0"/>
              <w:rPr>
                <w:sz w:val="20"/>
                <w:szCs w:val="20"/>
                <w:color w:val="auto"/>
              </w:rPr>
            </w:pPr>
            <w:r>
              <w:rPr>
                <w:rFonts w:ascii="Arial" w:cs="Arial" w:eastAsia="Arial" w:hAnsi="Arial"/>
                <w:sz w:val="16"/>
                <w:szCs w:val="16"/>
                <w:color w:val="auto"/>
              </w:rPr>
              <w:t>2.81</w:t>
            </w:r>
          </w:p>
        </w:tc>
        <w:tc>
          <w:tcPr>
            <w:tcW w:w="1700" w:type="dxa"/>
            <w:vAlign w:val="bottom"/>
          </w:tcPr>
          <w:p>
            <w:pPr>
              <w:jc w:val="right"/>
              <w:ind w:right="381"/>
              <w:spacing w:after="0"/>
              <w:rPr>
                <w:sz w:val="20"/>
                <w:szCs w:val="20"/>
                <w:color w:val="auto"/>
              </w:rPr>
            </w:pPr>
            <w:r>
              <w:rPr>
                <w:rFonts w:ascii="Arial" w:cs="Arial" w:eastAsia="Arial" w:hAnsi="Arial"/>
                <w:sz w:val="16"/>
                <w:szCs w:val="16"/>
                <w:color w:val="auto"/>
              </w:rPr>
              <w:t>(2.16, 3.32)</w:t>
            </w:r>
          </w:p>
        </w:tc>
        <w:tc>
          <w:tcPr>
            <w:tcW w:w="1080" w:type="dxa"/>
            <w:vAlign w:val="bottom"/>
          </w:tcPr>
          <w:p>
            <w:pPr>
              <w:ind w:left="380"/>
              <w:spacing w:after="0"/>
              <w:rPr>
                <w:sz w:val="20"/>
                <w:szCs w:val="20"/>
                <w:color w:val="auto"/>
              </w:rPr>
            </w:pPr>
            <w:r>
              <w:rPr>
                <w:rFonts w:ascii="Arial" w:cs="Arial" w:eastAsia="Arial" w:hAnsi="Arial"/>
                <w:sz w:val="16"/>
                <w:szCs w:val="16"/>
                <w:color w:val="auto"/>
              </w:rPr>
              <w:t>(n=7)</w:t>
            </w:r>
          </w:p>
        </w:tc>
        <w:tc>
          <w:tcPr>
            <w:tcW w:w="1080" w:type="dxa"/>
            <w:vAlign w:val="bottom"/>
          </w:tcPr>
          <w:p>
            <w:pPr>
              <w:jc w:val="right"/>
              <w:ind w:right="361"/>
              <w:spacing w:after="0"/>
              <w:rPr>
                <w:sz w:val="20"/>
                <w:szCs w:val="20"/>
                <w:color w:val="auto"/>
              </w:rPr>
            </w:pPr>
            <w:r>
              <w:rPr>
                <w:rFonts w:ascii="Arial" w:cs="Arial" w:eastAsia="Arial" w:hAnsi="Arial"/>
                <w:sz w:val="16"/>
                <w:szCs w:val="16"/>
                <w:color w:val="auto"/>
              </w:rPr>
              <w:t>2.28</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(-0.03, 2.71)</w:t>
            </w:r>
          </w:p>
        </w:tc>
        <w:tc>
          <w:tcPr>
            <w:tcW w:w="1100" w:type="dxa"/>
            <w:vAlign w:val="bottom"/>
          </w:tcPr>
          <w:p>
            <w:pPr>
              <w:ind w:left="420"/>
              <w:spacing w:after="0"/>
              <w:rPr>
                <w:sz w:val="20"/>
                <w:szCs w:val="20"/>
                <w:color w:val="auto"/>
              </w:rPr>
            </w:pPr>
            <w:r>
              <w:rPr>
                <w:rFonts w:ascii="Arial" w:cs="Arial" w:eastAsia="Arial" w:hAnsi="Arial"/>
                <w:sz w:val="16"/>
                <w:szCs w:val="16"/>
                <w:color w:val="auto"/>
              </w:rPr>
              <w:t>(n=7)</w:t>
            </w:r>
          </w:p>
        </w:tc>
      </w:tr>
    </w:tbl>
    <w:p>
      <w:pPr>
        <w:spacing w:after="0" w:line="4" w:lineRule="exact"/>
        <w:rPr>
          <w:sz w:val="20"/>
          <w:szCs w:val="20"/>
          <w:color w:val="auto"/>
        </w:rPr>
      </w:pPr>
    </w:p>
    <w:p>
      <w:pPr>
        <w:ind w:left="80" w:right="100"/>
        <w:spacing w:after="0" w:line="226" w:lineRule="auto"/>
        <w:rPr>
          <w:sz w:val="20"/>
          <w:szCs w:val="20"/>
          <w:color w:val="auto"/>
        </w:rPr>
      </w:pPr>
      <w:r>
        <w:rPr>
          <w:rFonts w:ascii="Arial" w:cs="Arial" w:eastAsia="Arial" w:hAnsi="Arial"/>
          <w:sz w:val="19"/>
          <w:szCs w:val="19"/>
          <w:color w:val="auto"/>
          <w:vertAlign w:val="superscript"/>
        </w:rPr>
        <w:t>#</w:t>
      </w:r>
      <w:r>
        <w:rPr>
          <w:rFonts w:ascii="Arial" w:cs="Arial" w:eastAsia="Arial" w:hAnsi="Arial"/>
          <w:sz w:val="14"/>
          <w:szCs w:val="14"/>
          <w:color w:val="auto"/>
        </w:rPr>
        <w:t>Day 14 and 28 skin biopsies were not collected from one CTI-1601 treated participant who discontinued treatment and one CTI-1601 treated participant had FXN levels below quantifiable levels at day 14 and day 28</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2: FXN Change from Baseline in Buccal Cells</w:t>
      </w:r>
      <w:r>
        <w:rPr>
          <w:rFonts w:ascii="Arial" w:cs="Arial" w:eastAsia="Arial" w:hAnsi="Arial"/>
          <w:sz w:val="21"/>
          <w:szCs w:val="21"/>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54545" cy="761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4545" cy="761365"/>
                    </a:xfrm>
                    <a:prstGeom prst="rect">
                      <a:avLst/>
                    </a:prstGeom>
                    <a:noFill/>
                  </pic:spPr>
                </pic:pic>
              </a:graphicData>
            </a:graphic>
          </wp:anchor>
        </w:drawing>
      </w:r>
    </w:p>
    <w:p>
      <w:pPr>
        <w:jc w:val="center"/>
        <w:spacing w:after="0" w:line="221" w:lineRule="auto"/>
        <w:rPr>
          <w:sz w:val="20"/>
          <w:szCs w:val="20"/>
          <w:color w:val="auto"/>
        </w:rPr>
      </w:pPr>
      <w:r>
        <w:rPr>
          <w:rFonts w:ascii="Arial" w:cs="Arial" w:eastAsia="Arial" w:hAnsi="Arial"/>
          <w:sz w:val="14"/>
          <w:szCs w:val="14"/>
          <w:color w:val="auto"/>
        </w:rPr>
        <w:t>Units: pg FXN / μg total protein</w:t>
      </w:r>
    </w:p>
    <w:p>
      <w:pPr>
        <w:jc w:val="center"/>
        <w:ind w:left="3520"/>
        <w:spacing w:after="0" w:line="237" w:lineRule="auto"/>
        <w:rPr>
          <w:sz w:val="20"/>
          <w:szCs w:val="20"/>
          <w:color w:val="auto"/>
        </w:rPr>
      </w:pPr>
      <w:r>
        <w:rPr>
          <w:rFonts w:ascii="Arial" w:cs="Arial" w:eastAsia="Arial" w:hAnsi="Arial"/>
          <w:sz w:val="14"/>
          <w:szCs w:val="14"/>
          <w:color w:val="auto"/>
        </w:rPr>
        <w:t>Data presented as: median (25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75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(n)</w:t>
      </w:r>
    </w:p>
    <w:tbl>
      <w:tblPr>
        <w:tblLayout w:type="fixed"/>
        <w:tblInd w:w="0" w:type="dxa"/>
        <w:tblCellMar>
          <w:top w:w="0" w:type="dxa"/>
          <w:left w:w="0" w:type="dxa"/>
          <w:bottom w:w="0" w:type="dxa"/>
          <w:right w:w="0" w:type="dxa"/>
        </w:tblCellMar>
      </w:tblPr>
      <w:tr>
        <w:trPr>
          <w:trHeight w:val="190"/>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Dose Group</w:t>
            </w:r>
          </w:p>
        </w:tc>
        <w:tc>
          <w:tcPr>
            <w:tcW w:w="20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Day 14</w:t>
            </w: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Day 28</w:t>
            </w:r>
          </w:p>
        </w:tc>
        <w:tc>
          <w:tcPr>
            <w:tcW w:w="1100" w:type="dxa"/>
            <w:vAlign w:val="bottom"/>
            <w:tcBorders>
              <w:bottom w:val="single" w:sz="8" w:color="auto"/>
            </w:tcBorders>
          </w:tcPr>
          <w:p>
            <w:pPr>
              <w:spacing w:after="0"/>
              <w:rPr>
                <w:sz w:val="16"/>
                <w:szCs w:val="16"/>
                <w:color w:val="auto"/>
              </w:rPr>
            </w:pPr>
          </w:p>
        </w:tc>
      </w:tr>
      <w:tr>
        <w:trPr>
          <w:trHeight w:val="192"/>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Placebo</w:t>
            </w:r>
          </w:p>
        </w:tc>
        <w:tc>
          <w:tcPr>
            <w:tcW w:w="208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rPr>
              <w:t>-0.35</w:t>
            </w:r>
          </w:p>
        </w:tc>
        <w:tc>
          <w:tcPr>
            <w:tcW w:w="17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(-0.58, -0.13)</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(n=2)</w:t>
            </w: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0.01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(-0.52, 0.53)</w:t>
            </w: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(n=2)</w:t>
            </w:r>
          </w:p>
        </w:tc>
      </w:tr>
      <w:tr>
        <w:trPr>
          <w:trHeight w:val="192"/>
        </w:trPr>
        <w:tc>
          <w:tcPr>
            <w:tcW w:w="2540" w:type="dxa"/>
            <w:vAlign w:val="bottom"/>
          </w:tcPr>
          <w:p>
            <w:pPr>
              <w:ind w:left="100"/>
              <w:spacing w:after="0"/>
              <w:rPr>
                <w:sz w:val="20"/>
                <w:szCs w:val="20"/>
                <w:color w:val="auto"/>
              </w:rPr>
            </w:pPr>
            <w:r>
              <w:rPr>
                <w:rFonts w:ascii="Arial" w:cs="Arial" w:eastAsia="Arial" w:hAnsi="Arial"/>
                <w:sz w:val="16"/>
                <w:szCs w:val="16"/>
                <w:color w:val="auto"/>
              </w:rPr>
              <w:t>25 mg CTI-1601</w:t>
            </w:r>
          </w:p>
        </w:tc>
        <w:tc>
          <w:tcPr>
            <w:tcW w:w="2080" w:type="dxa"/>
            <w:vAlign w:val="bottom"/>
          </w:tcPr>
          <w:p>
            <w:pPr>
              <w:ind w:left="1320"/>
              <w:spacing w:after="0"/>
              <w:rPr>
                <w:sz w:val="20"/>
                <w:szCs w:val="20"/>
                <w:color w:val="auto"/>
              </w:rPr>
            </w:pPr>
            <w:r>
              <w:rPr>
                <w:rFonts w:ascii="Arial" w:cs="Arial" w:eastAsia="Arial" w:hAnsi="Arial"/>
                <w:sz w:val="16"/>
                <w:szCs w:val="16"/>
                <w:color w:val="auto"/>
              </w:rPr>
              <w:t>0.56</w:t>
            </w:r>
          </w:p>
        </w:tc>
        <w:tc>
          <w:tcPr>
            <w:tcW w:w="1720" w:type="dxa"/>
            <w:vAlign w:val="bottom"/>
          </w:tcPr>
          <w:p>
            <w:pPr>
              <w:jc w:val="right"/>
              <w:ind w:right="341"/>
              <w:spacing w:after="0"/>
              <w:rPr>
                <w:sz w:val="20"/>
                <w:szCs w:val="20"/>
                <w:color w:val="auto"/>
              </w:rPr>
            </w:pPr>
            <w:r>
              <w:rPr>
                <w:rFonts w:ascii="Arial" w:cs="Arial" w:eastAsia="Arial" w:hAnsi="Arial"/>
                <w:sz w:val="16"/>
                <w:szCs w:val="16"/>
                <w:color w:val="auto"/>
              </w:rPr>
              <w:t>(-0.28, 0.64)</w:t>
            </w:r>
          </w:p>
        </w:tc>
        <w:tc>
          <w:tcPr>
            <w:tcW w:w="1060" w:type="dxa"/>
            <w:vAlign w:val="bottom"/>
          </w:tcPr>
          <w:p>
            <w:pPr>
              <w:ind w:left="400"/>
              <w:spacing w:after="0"/>
              <w:rPr>
                <w:sz w:val="20"/>
                <w:szCs w:val="20"/>
                <w:color w:val="auto"/>
              </w:rPr>
            </w:pPr>
            <w:r>
              <w:rPr>
                <w:rFonts w:ascii="Arial" w:cs="Arial" w:eastAsia="Arial" w:hAnsi="Arial"/>
                <w:sz w:val="16"/>
                <w:szCs w:val="16"/>
                <w:color w:val="auto"/>
              </w:rPr>
              <w:t>(n=7)</w:t>
            </w:r>
          </w:p>
        </w:tc>
        <w:tc>
          <w:tcPr>
            <w:tcW w:w="1040" w:type="dxa"/>
            <w:vAlign w:val="bottom"/>
          </w:tcPr>
          <w:p>
            <w:pPr>
              <w:jc w:val="right"/>
              <w:ind w:right="341"/>
              <w:spacing w:after="0"/>
              <w:rPr>
                <w:sz w:val="20"/>
                <w:szCs w:val="20"/>
                <w:color w:val="auto"/>
              </w:rPr>
            </w:pPr>
            <w:r>
              <w:rPr>
                <w:rFonts w:ascii="Arial" w:cs="Arial" w:eastAsia="Arial" w:hAnsi="Arial"/>
                <w:sz w:val="16"/>
                <w:szCs w:val="16"/>
                <w:color w:val="auto"/>
              </w:rPr>
              <w:t>0.03</w:t>
            </w:r>
          </w:p>
        </w:tc>
        <w:tc>
          <w:tcPr>
            <w:tcW w:w="1720" w:type="dxa"/>
            <w:vAlign w:val="bottom"/>
          </w:tcPr>
          <w:p>
            <w:pPr>
              <w:jc w:val="center"/>
              <w:spacing w:after="0"/>
              <w:rPr>
                <w:sz w:val="20"/>
                <w:szCs w:val="20"/>
                <w:color w:val="auto"/>
              </w:rPr>
            </w:pPr>
            <w:r>
              <w:rPr>
                <w:rFonts w:ascii="Arial" w:cs="Arial" w:eastAsia="Arial" w:hAnsi="Arial"/>
                <w:sz w:val="16"/>
                <w:szCs w:val="16"/>
                <w:color w:val="auto"/>
                <w:w w:val="98"/>
              </w:rPr>
              <w:t>(-0.66, 0.86)</w:t>
            </w:r>
          </w:p>
        </w:tc>
        <w:tc>
          <w:tcPr>
            <w:tcW w:w="1100" w:type="dxa"/>
            <w:vAlign w:val="bottom"/>
          </w:tcPr>
          <w:p>
            <w:pPr>
              <w:ind w:left="420"/>
              <w:spacing w:after="0"/>
              <w:rPr>
                <w:sz w:val="20"/>
                <w:szCs w:val="20"/>
                <w:color w:val="auto"/>
              </w:rPr>
            </w:pPr>
            <w:r>
              <w:rPr>
                <w:rFonts w:ascii="Arial" w:cs="Arial" w:eastAsia="Arial" w:hAnsi="Arial"/>
                <w:sz w:val="16"/>
                <w:szCs w:val="16"/>
                <w:color w:val="auto"/>
              </w:rPr>
              <w:t>(n=6)</w:t>
            </w:r>
          </w:p>
        </w:tc>
      </w:tr>
    </w:tbl>
    <w:p>
      <w:pPr>
        <w:spacing w:after="0" w:line="17" w:lineRule="exact"/>
        <w:rPr>
          <w:sz w:val="20"/>
          <w:szCs w:val="20"/>
          <w:color w:val="auto"/>
        </w:rPr>
      </w:pPr>
    </w:p>
    <w:p>
      <w:pPr>
        <w:ind w:left="80" w:right="160"/>
        <w:spacing w:after="0" w:line="215" w:lineRule="auto"/>
        <w:tabs>
          <w:tab w:leader="none" w:pos="172"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For the placebo group, one participant had buccal cell FXN levels below quantifiable levels at baseline and one participant had buccal cell FXN levels below quantifiable levels at day 14 and day 28</w:t>
      </w:r>
    </w:p>
    <w:p>
      <w:pPr>
        <w:spacing w:after="0" w:line="1" w:lineRule="exact"/>
        <w:rPr>
          <w:rFonts w:ascii="Arial" w:cs="Arial" w:eastAsia="Arial" w:hAnsi="Arial"/>
          <w:sz w:val="19"/>
          <w:szCs w:val="19"/>
          <w:color w:val="auto"/>
          <w:vertAlign w:val="superscript"/>
        </w:rPr>
      </w:pPr>
    </w:p>
    <w:p>
      <w:pPr>
        <w:ind w:left="80" w:right="220"/>
        <w:spacing w:after="0" w:line="212"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w:t>
      </w:r>
      <w:r>
        <w:rPr>
          <w:rFonts w:ascii="Arial" w:cs="Arial" w:eastAsia="Arial" w:hAnsi="Arial"/>
          <w:sz w:val="14"/>
          <w:szCs w:val="14"/>
          <w:color w:val="auto"/>
        </w:rPr>
        <w:t>For 25 mg group, day 28 buccal FXN were not collected from one participant who discontinued treatment and two participants had buccal FXN levels below quantifiable levels at baseline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Pharmacokinetic data suggest that steady state was achieved by day 14 in the Phase 2 trial’s 25 mg cohort, which was the last day of daily dosing. Safety data indicate that CTI-1601 was generally well tolerated in the Phase 2 trial’s 25 mg cohort. A summary of safety data from the cohort is shown below:</w:t>
      </w:r>
    </w:p>
    <w:p>
      <w:pPr>
        <w:spacing w:after="0" w:line="149" w:lineRule="exact"/>
        <w:rPr>
          <w:sz w:val="20"/>
          <w:szCs w:val="20"/>
          <w:color w:val="auto"/>
        </w:rPr>
      </w:pPr>
    </w:p>
    <w:p>
      <w:pPr>
        <w:ind w:left="660" w:hanging="38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serious adverse events were reported</w:t>
      </w:r>
    </w:p>
    <w:p>
      <w:pPr>
        <w:spacing w:after="0" w:line="99" w:lineRule="exact"/>
        <w:rPr>
          <w:rFonts w:ascii="Arial" w:cs="Arial" w:eastAsia="Arial" w:hAnsi="Arial"/>
          <w:sz w:val="16"/>
          <w:szCs w:val="16"/>
          <w:color w:val="auto"/>
        </w:rPr>
      </w:pPr>
    </w:p>
    <w:p>
      <w:pPr>
        <w:ind w:left="660" w:hanging="38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important medical events were reported</w:t>
      </w:r>
    </w:p>
    <w:p>
      <w:pPr>
        <w:spacing w:after="0" w:line="99" w:lineRule="exact"/>
        <w:rPr>
          <w:rFonts w:ascii="Arial" w:cs="Arial" w:eastAsia="Arial" w:hAnsi="Arial"/>
          <w:sz w:val="16"/>
          <w:szCs w:val="16"/>
          <w:color w:val="auto"/>
        </w:rPr>
      </w:pPr>
    </w:p>
    <w:p>
      <w:pPr>
        <w:ind w:left="660" w:hanging="38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One severe adverse event was reported, which was an allergic reaction to study drug that resolved with standard treatment</w:t>
      </w:r>
    </w:p>
    <w:p>
      <w:pPr>
        <w:spacing w:after="0" w:line="99" w:lineRule="exact"/>
        <w:rPr>
          <w:rFonts w:ascii="Arial" w:cs="Arial" w:eastAsia="Arial" w:hAnsi="Arial"/>
          <w:sz w:val="16"/>
          <w:szCs w:val="16"/>
          <w:color w:val="auto"/>
        </w:rPr>
      </w:pPr>
    </w:p>
    <w:p>
      <w:pPr>
        <w:ind w:left="660" w:hanging="380"/>
        <w:spacing w:after="0" w:line="25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Of the nine participants dosed with CTI-1601, eight completed the trial, with one participant withdrawing due to the aforementioned allergic reaction that resolved with standard treatment</w:t>
      </w:r>
    </w:p>
    <w:p>
      <w:pPr>
        <w:spacing w:after="0" w:line="66" w:lineRule="exact"/>
        <w:rPr>
          <w:rFonts w:ascii="Arial" w:cs="Arial" w:eastAsia="Arial" w:hAnsi="Arial"/>
          <w:sz w:val="16"/>
          <w:szCs w:val="16"/>
          <w:color w:val="auto"/>
        </w:rPr>
      </w:pPr>
    </w:p>
    <w:p>
      <w:pPr>
        <w:ind w:left="660" w:hanging="380"/>
        <w:spacing w:after="0" w:line="25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most common adverse events were mild and moderate injection site reactions. At least one injection site reaction was seen in two of four placebo treated participants and in all CTI-1601 treated participants.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Dr. Ben-Maimon added, “Our Phase 2 results add to our safety database indicating that CTI-1601 is generally well tolerated. Thirty-seven adults with FA have been dosed with CTI-1601 across our Phase 1 and 2 trials, with 35 completing treatment, one withdrawing due to an allergic reaction, and another withdrawing after a single 50 mg dose in the multiple ascending dose trial due to mild to moderate nausea and vomiting. We believe the safety, pharmacokinetic, and pharmacodynamic data generated to date support evaluation of a 50 mg dose of CTI-1601 in our Phase 2 trial and look forward to discussing our findings with the U.S. Food and Drug Administration (FDA) at our meeting later this quarter.”</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initiation of additional cohorts in the Phase 2 trial and/or the initiation of other clinical trials of CTI-1601 are contingent on a review of data and analyses from the Phase 2 trial’s 25 mg cohort by the FDA,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36195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16"/>
          <w:szCs w:val="16"/>
          <w:color w:val="auto"/>
        </w:rPr>
        <w:t>accordance with a partial clinical hold on the CTI-1601 program first put into place after a full clinical hold was lifted in September 2022. Larimar has submitted the data from the trial’s 25 mg cohort to FDA and has a meeting scheduled with the Agency for later this quarter to discuss the information needed to gain clearance to initiate a 50 mg cohort in the Phase 2 trial. Larimar expects to provide an update on the next steps for the CTI-1601 program in the third quarter of 2023, after it has received feedback from the upcoming FDA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2023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preliminary top-line data from its Phase 2 trial’s 25 mg cohort, Larimar today announced financial results for the first quarter of 2023.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2023, the Company had cash and cash equivalents totaling $111.5 million.</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reported a net loss for the first quarter of 2023 of $6.5 million, or $0.15 per share, compared to a net loss of $8.9 million, or $0.49 per share, for the first quarter of 2022.</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6"/>
          <w:szCs w:val="16"/>
          <w:color w:val="auto"/>
        </w:rPr>
        <w:t>Research and development expenses for the first quarter of 2023 were $4.6 million compared to $5.8 million for the first quarter of 2022. The decrease in research and development expenses compared to the prior year period was primarily driven by a decrease of $0.7 million in nonclinical development costs a decrease of $0.4 million in drug manufacturing costs, and a decrease of $0.1 million in clinical trial expense.</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General and administrative expenses were $3.1 million in both the first quarter of 2023 and the first quarter of 2022. Decreases in recruiting and professional service fees were offset by increases in stock-based compensation expense and other personnel-related expenses.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Webcast</w:t>
      </w:r>
    </w:p>
    <w:p>
      <w:pPr>
        <w:spacing w:after="0" w:line="1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Larimar will host a conference call and webcast today, May 15, 2023 at 8:00 a.m. ET. To access the webcast, please visit this link to the event. To participate by phone, please dial 1-877-407-9716 (domestic) or 1-201-493-6779 (international) and refer to conference ID 13738708, or click on this link and request a return call. Following the live event, an archived webcast will be available on the “Events &amp; Presentations” page of the Larimar website.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CTI-1601</w:t>
      </w:r>
    </w:p>
    <w:p>
      <w:pPr>
        <w:spacing w:after="0" w:line="1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CTI-1601 is a recombinant fusion protein intended to deliver human frataxin to the mitochondria of patients with Friedreich’s ataxia who are unable to produce enough of this essential protein. CTI-1601 has been granted Rare Pediatric Disease designation, Fast Track designation and Orphan Drug designation by the U.S. Food and Drug Administration (FDA), Orphan Drug Designation by the European Commission, and a PRIME designation by the European Medicines Agency.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1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Larimar’s expectations regarding its ability to resolve the partial clinical hold imposed by the FDA related to CTI-1601, Larimar’s ability to develop and commercialize CTI-1601 and other planned product candidates, Larimar’s planned research and development efforts, including the timing of its CTI-1601 clinical development plan and other matters regarding Larimar’s business strategies, ability to raise capital, use of capital, results of operations and financial position, and plans and objectives for future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163195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7" w:name="page8"/>
    <w:bookmarkEnd w:id="7"/>
    <w:p>
      <w:pPr>
        <w:jc w:val="both"/>
        <w:spacing w:after="0" w:line="232" w:lineRule="auto"/>
        <w:rPr>
          <w:sz w:val="20"/>
          <w:szCs w:val="20"/>
          <w:color w:val="auto"/>
        </w:rPr>
      </w:pPr>
      <w:r>
        <w:rPr>
          <w:rFonts w:ascii="Arial" w:cs="Arial" w:eastAsia="Arial" w:hAnsi="Arial"/>
          <w:sz w:val="16"/>
          <w:szCs w:val="16"/>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the CTI-1601 clinical trial including the FDA review of data from cohort one from the Phase 2 dose exploration trial and FDA‘s agreement to escalate the dosing in cohort two, the timing and outcomes of Larimar’s interactions with the FDA concerning the partial clinical hold, the success, cost and timing of Larimar’s product development activities, nonclinical studies and clinical trials, including CTI-1601 clinical milestones; that preliminary and top-line clinical trial results may differ from final clinical trial results, that earlier non-clinical and clinical data and testing of CTI-1601 may not be predictive of the results or success of later clinical trials, and assessments; manufacturing, regulatory, nonclinical study timelines and operations, and general economic conditions; Larimar’s ability and the ability of third-party manufacturers Larimar engages, to optimize and scale CTI-1601’s manufacturing process; Larimar’s ability to obtain regulatory approvals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31" w:lineRule="auto"/>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line="231" w:lineRule="auto"/>
        <w:rPr>
          <w:sz w:val="20"/>
          <w:szCs w:val="20"/>
          <w:color w:val="auto"/>
        </w:rPr>
      </w:pPr>
      <w:r>
        <w:rPr>
          <w:rFonts w:ascii="Arial" w:cs="Arial" w:eastAsia="Arial" w:hAnsi="Arial"/>
          <w:sz w:val="16"/>
          <w:szCs w:val="16"/>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163830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9"/>
          <w:szCs w:val="19"/>
          <w:b w:val="1"/>
          <w:bCs w:val="1"/>
          <w:color w:val="auto"/>
        </w:rPr>
        <w:t>Larimar Therapeutics,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500" w:type="dxa"/>
            <w:vAlign w:val="bottom"/>
          </w:tcPr>
          <w:p>
            <w:pPr>
              <w:spacing w:after="0"/>
              <w:rPr>
                <w:sz w:val="14"/>
                <w:szCs w:val="14"/>
                <w:color w:val="auto"/>
              </w:rPr>
            </w:pPr>
          </w:p>
        </w:tc>
        <w:tc>
          <w:tcPr>
            <w:tcW w:w="1760" w:type="dxa"/>
            <w:vAlign w:val="bottom"/>
            <w:gridSpan w:val="2"/>
          </w:tcPr>
          <w:p>
            <w:pPr>
              <w:ind w:left="600"/>
              <w:spacing w:after="0"/>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4"/>
                <w:szCs w:val="14"/>
                <w:color w:val="auto"/>
              </w:rPr>
            </w:pPr>
          </w:p>
        </w:tc>
        <w:tc>
          <w:tcPr>
            <w:tcW w:w="1740" w:type="dxa"/>
            <w:vAlign w:val="bottom"/>
            <w:gridSpan w:val="2"/>
          </w:tcPr>
          <w:p>
            <w:pPr>
              <w:jc w:val="right"/>
              <w:ind w:right="442"/>
              <w:spacing w:after="0"/>
              <w:rPr>
                <w:sz w:val="20"/>
                <w:szCs w:val="20"/>
                <w:color w:val="auto"/>
              </w:rPr>
            </w:pPr>
            <w:r>
              <w:rPr>
                <w:rFonts w:ascii="Arial" w:cs="Arial" w:eastAsia="Arial" w:hAnsi="Arial"/>
                <w:sz w:val="13"/>
                <w:szCs w:val="13"/>
                <w:b w:val="1"/>
                <w:bCs w:val="1"/>
                <w:color w:val="auto"/>
              </w:rPr>
              <w:t>December 31,</w:t>
            </w:r>
          </w:p>
        </w:tc>
      </w:tr>
      <w:tr>
        <w:trPr>
          <w:trHeight w:val="199"/>
        </w:trPr>
        <w:tc>
          <w:tcPr>
            <w:tcW w:w="75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w w:val="89"/>
              </w:rPr>
              <w:t>2023</w:t>
            </w:r>
          </w:p>
        </w:tc>
        <w:tc>
          <w:tcPr>
            <w:tcW w:w="2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w w:val="89"/>
              </w:rPr>
              <w:t>2022</w:t>
            </w:r>
          </w:p>
        </w:tc>
      </w:tr>
      <w:tr>
        <w:trPr>
          <w:trHeight w:val="198"/>
        </w:trPr>
        <w:tc>
          <w:tcPr>
            <w:tcW w:w="7500" w:type="dxa"/>
            <w:vAlign w:val="bottom"/>
          </w:tcPr>
          <w:p>
            <w:pPr>
              <w:ind w:left="80"/>
              <w:spacing w:after="0"/>
              <w:rPr>
                <w:sz w:val="20"/>
                <w:szCs w:val="20"/>
                <w:color w:val="auto"/>
              </w:rPr>
            </w:pPr>
            <w:r>
              <w:rPr>
                <w:rFonts w:ascii="Arial" w:cs="Arial" w:eastAsia="Arial" w:hAnsi="Arial"/>
                <w:sz w:val="16"/>
                <w:szCs w:val="16"/>
                <w:b w:val="1"/>
                <w:bCs w:val="1"/>
                <w:color w:val="auto"/>
              </w:rPr>
              <w:t>Assets</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 assets:</w:t>
            </w:r>
          </w:p>
        </w:tc>
        <w:tc>
          <w:tcPr>
            <w:tcW w:w="7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07"/>
        </w:trPr>
        <w:tc>
          <w:tcPr>
            <w:tcW w:w="7500" w:type="dxa"/>
            <w:vAlign w:val="bottom"/>
          </w:tcPr>
          <w:p>
            <w:pPr>
              <w:ind w:left="400"/>
              <w:spacing w:after="0"/>
              <w:rPr>
                <w:sz w:val="20"/>
                <w:szCs w:val="20"/>
                <w:color w:val="auto"/>
              </w:rPr>
            </w:pPr>
            <w:r>
              <w:rPr>
                <w:rFonts w:ascii="Arial" w:cs="Arial" w:eastAsia="Arial" w:hAnsi="Arial"/>
                <w:sz w:val="16"/>
                <w:szCs w:val="16"/>
                <w:color w:val="auto"/>
              </w:rPr>
              <w:t>Cash and cash equivalents</w:t>
            </w:r>
          </w:p>
        </w:tc>
        <w:tc>
          <w:tcPr>
            <w:tcW w:w="720" w:type="dxa"/>
            <w:vAlign w:val="bottom"/>
          </w:tcPr>
          <w:p>
            <w:pPr>
              <w:ind w:left="6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111,524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26,825</w:t>
            </w:r>
          </w:p>
        </w:tc>
      </w:tr>
      <w:tr>
        <w:trPr>
          <w:trHeight w:val="219"/>
        </w:trPr>
        <w:tc>
          <w:tcPr>
            <w:tcW w:w="7500" w:type="dxa"/>
            <w:vAlign w:val="bottom"/>
            <w:shd w:val="clear" w:color="auto" w:fill="CFF0FC"/>
          </w:tcPr>
          <w:p>
            <w:pPr>
              <w:ind w:left="400"/>
              <w:spacing w:after="0"/>
              <w:rPr>
                <w:sz w:val="20"/>
                <w:szCs w:val="20"/>
                <w:color w:val="auto"/>
              </w:rPr>
            </w:pPr>
            <w:r>
              <w:rPr>
                <w:rFonts w:ascii="Arial" w:cs="Arial" w:eastAsia="Arial" w:hAnsi="Arial"/>
                <w:sz w:val="16"/>
                <w:szCs w:val="16"/>
                <w:color w:val="auto"/>
              </w:rPr>
              <w:t>Marketable securities</w:t>
            </w:r>
          </w:p>
        </w:tc>
        <w:tc>
          <w:tcPr>
            <w:tcW w:w="7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91,603</w:t>
            </w:r>
          </w:p>
        </w:tc>
      </w:tr>
      <w:tr>
        <w:trPr>
          <w:trHeight w:val="207"/>
        </w:trPr>
        <w:tc>
          <w:tcPr>
            <w:tcW w:w="7500" w:type="dxa"/>
            <w:vAlign w:val="bottom"/>
          </w:tcPr>
          <w:p>
            <w:pPr>
              <w:ind w:left="400"/>
              <w:spacing w:after="0"/>
              <w:rPr>
                <w:sz w:val="20"/>
                <w:szCs w:val="20"/>
                <w:color w:val="auto"/>
              </w:rPr>
            </w:pPr>
            <w:r>
              <w:rPr>
                <w:rFonts w:ascii="Arial" w:cs="Arial" w:eastAsia="Arial" w:hAnsi="Arial"/>
                <w:sz w:val="16"/>
                <w:szCs w:val="16"/>
                <w:color w:val="auto"/>
              </w:rPr>
              <w:t>Prepaid expenses and other current assets</w:t>
            </w: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1,940</w:t>
            </w:r>
          </w:p>
        </w:tc>
        <w:tc>
          <w:tcPr>
            <w:tcW w:w="2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2,311</w:t>
            </w:r>
          </w:p>
        </w:tc>
      </w:tr>
      <w:tr>
        <w:trPr>
          <w:trHeight w:val="211"/>
        </w:trPr>
        <w:tc>
          <w:tcPr>
            <w:tcW w:w="75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Total current assets</w:t>
            </w: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113,464</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120,739</w:t>
            </w:r>
          </w:p>
        </w:tc>
      </w:tr>
      <w:tr>
        <w:trPr>
          <w:trHeight w:val="207"/>
        </w:trPr>
        <w:tc>
          <w:tcPr>
            <w:tcW w:w="7500" w:type="dxa"/>
            <w:vAlign w:val="bottom"/>
          </w:tcPr>
          <w:p>
            <w:pPr>
              <w:ind w:left="80"/>
              <w:spacing w:after="0"/>
              <w:rPr>
                <w:sz w:val="20"/>
                <w:szCs w:val="20"/>
                <w:color w:val="auto"/>
              </w:rPr>
            </w:pPr>
            <w:r>
              <w:rPr>
                <w:rFonts w:ascii="Arial" w:cs="Arial" w:eastAsia="Arial" w:hAnsi="Arial"/>
                <w:sz w:val="16"/>
                <w:szCs w:val="16"/>
                <w:color w:val="auto"/>
              </w:rPr>
              <w:t>Property and equipment, net</w:t>
            </w:r>
          </w:p>
        </w:tc>
        <w:tc>
          <w:tcPr>
            <w:tcW w:w="72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753</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831</w:t>
            </w:r>
          </w:p>
        </w:tc>
      </w:tr>
      <w:tr>
        <w:trPr>
          <w:trHeight w:val="21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Operating lease right-of-use assets</w:t>
            </w:r>
          </w:p>
        </w:tc>
        <w:tc>
          <w:tcPr>
            <w:tcW w:w="7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2,719</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2,858</w:t>
            </w:r>
          </w:p>
        </w:tc>
      </w:tr>
      <w:tr>
        <w:trPr>
          <w:trHeight w:val="207"/>
        </w:trPr>
        <w:tc>
          <w:tcPr>
            <w:tcW w:w="7500" w:type="dxa"/>
            <w:vAlign w:val="bottom"/>
          </w:tcPr>
          <w:p>
            <w:pPr>
              <w:ind w:left="80"/>
              <w:spacing w:after="0"/>
              <w:rPr>
                <w:sz w:val="20"/>
                <w:szCs w:val="20"/>
                <w:color w:val="auto"/>
              </w:rPr>
            </w:pPr>
            <w:r>
              <w:rPr>
                <w:rFonts w:ascii="Arial" w:cs="Arial" w:eastAsia="Arial" w:hAnsi="Arial"/>
                <w:sz w:val="16"/>
                <w:szCs w:val="16"/>
                <w:color w:val="auto"/>
              </w:rPr>
              <w:t>Restricted cash</w:t>
            </w:r>
          </w:p>
        </w:tc>
        <w:tc>
          <w:tcPr>
            <w:tcW w:w="72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1,339</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1,339</w:t>
            </w:r>
          </w:p>
        </w:tc>
      </w:tr>
      <w:tr>
        <w:trPr>
          <w:trHeight w:val="21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Other assets</w:t>
            </w:r>
          </w:p>
        </w:tc>
        <w:tc>
          <w:tcPr>
            <w:tcW w:w="7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632</w:t>
            </w:r>
          </w:p>
        </w:tc>
        <w:tc>
          <w:tcPr>
            <w:tcW w:w="2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638</w:t>
            </w:r>
          </w:p>
        </w:tc>
      </w:tr>
      <w:tr>
        <w:trPr>
          <w:trHeight w:val="198"/>
        </w:trPr>
        <w:tc>
          <w:tcPr>
            <w:tcW w:w="7500" w:type="dxa"/>
            <w:vAlign w:val="bottom"/>
          </w:tcPr>
          <w:p>
            <w:pPr>
              <w:ind w:left="400"/>
              <w:spacing w:after="0" w:line="181" w:lineRule="exact"/>
              <w:rPr>
                <w:sz w:val="20"/>
                <w:szCs w:val="20"/>
                <w:color w:val="auto"/>
              </w:rPr>
            </w:pPr>
            <w:r>
              <w:rPr>
                <w:rFonts w:ascii="Arial" w:cs="Arial" w:eastAsia="Arial" w:hAnsi="Arial"/>
                <w:sz w:val="16"/>
                <w:szCs w:val="16"/>
                <w:color w:val="auto"/>
              </w:rPr>
              <w:t>Total assets</w:t>
            </w:r>
          </w:p>
        </w:tc>
        <w:tc>
          <w:tcPr>
            <w:tcW w:w="7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118,907</w:t>
            </w:r>
          </w:p>
        </w:tc>
        <w:tc>
          <w:tcPr>
            <w:tcW w:w="2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126,405</w:t>
            </w:r>
          </w:p>
        </w:tc>
      </w:tr>
      <w:tr>
        <w:trPr>
          <w:trHeight w:val="20"/>
        </w:trPr>
        <w:tc>
          <w:tcPr>
            <w:tcW w:w="7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5"/>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b w:val="1"/>
                <w:bCs w:val="1"/>
                <w:color w:val="auto"/>
              </w:rPr>
              <w:t>Liabilities and Stockholders’ Equity</w:t>
            </w:r>
          </w:p>
        </w:tc>
        <w:tc>
          <w:tcPr>
            <w:tcW w:w="7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207"/>
        </w:trPr>
        <w:tc>
          <w:tcPr>
            <w:tcW w:w="7500" w:type="dxa"/>
            <w:vAlign w:val="bottom"/>
          </w:tcPr>
          <w:p>
            <w:pPr>
              <w:ind w:left="80"/>
              <w:spacing w:after="0"/>
              <w:rPr>
                <w:sz w:val="20"/>
                <w:szCs w:val="20"/>
                <w:color w:val="auto"/>
              </w:rPr>
            </w:pPr>
            <w:r>
              <w:rPr>
                <w:rFonts w:ascii="Arial" w:cs="Arial" w:eastAsia="Arial" w:hAnsi="Arial"/>
                <w:sz w:val="16"/>
                <w:szCs w:val="16"/>
                <w:color w:val="auto"/>
              </w:rPr>
              <w:t>Current liabilities:</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750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Accounts payable</w:t>
            </w:r>
          </w:p>
        </w:tc>
        <w:tc>
          <w:tcPr>
            <w:tcW w:w="7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695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1,686</w:t>
            </w:r>
          </w:p>
        </w:tc>
      </w:tr>
      <w:tr>
        <w:trPr>
          <w:trHeight w:val="207"/>
        </w:trPr>
        <w:tc>
          <w:tcPr>
            <w:tcW w:w="7500" w:type="dxa"/>
            <w:vAlign w:val="bottom"/>
          </w:tcPr>
          <w:p>
            <w:pPr>
              <w:ind w:left="400"/>
              <w:spacing w:after="0"/>
              <w:rPr>
                <w:sz w:val="20"/>
                <w:szCs w:val="20"/>
                <w:color w:val="auto"/>
              </w:rPr>
            </w:pPr>
            <w:r>
              <w:rPr>
                <w:rFonts w:ascii="Arial" w:cs="Arial" w:eastAsia="Arial" w:hAnsi="Arial"/>
                <w:sz w:val="16"/>
                <w:szCs w:val="16"/>
                <w:color w:val="auto"/>
              </w:rPr>
              <w:t>Accrued expenses</w:t>
            </w:r>
          </w:p>
        </w:tc>
        <w:tc>
          <w:tcPr>
            <w:tcW w:w="72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6,726</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8,408</w:t>
            </w:r>
          </w:p>
        </w:tc>
      </w:tr>
      <w:tr>
        <w:trPr>
          <w:trHeight w:val="213"/>
        </w:trPr>
        <w:tc>
          <w:tcPr>
            <w:tcW w:w="75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6"/>
                <w:szCs w:val="16"/>
                <w:color w:val="auto"/>
              </w:rPr>
              <w:t>Operating lease liabilities, current</w:t>
            </w:r>
          </w:p>
        </w:tc>
        <w:tc>
          <w:tcPr>
            <w:tcW w:w="7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589</w:t>
            </w:r>
          </w:p>
        </w:tc>
        <w:tc>
          <w:tcPr>
            <w:tcW w:w="2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611</w:t>
            </w:r>
          </w:p>
        </w:tc>
      </w:tr>
      <w:tr>
        <w:trPr>
          <w:trHeight w:val="205"/>
        </w:trPr>
        <w:tc>
          <w:tcPr>
            <w:tcW w:w="750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72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8,010</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10,705</w:t>
            </w:r>
          </w:p>
        </w:tc>
      </w:tr>
      <w:tr>
        <w:trPr>
          <w:trHeight w:val="219"/>
        </w:trPr>
        <w:tc>
          <w:tcPr>
            <w:tcW w:w="7500" w:type="dxa"/>
            <w:vAlign w:val="bottom"/>
            <w:shd w:val="clear" w:color="auto" w:fill="CFF0FC"/>
          </w:tcPr>
          <w:p>
            <w:pPr>
              <w:ind w:left="400"/>
              <w:spacing w:after="0"/>
              <w:rPr>
                <w:sz w:val="20"/>
                <w:szCs w:val="20"/>
                <w:color w:val="auto"/>
              </w:rPr>
            </w:pPr>
            <w:r>
              <w:rPr>
                <w:rFonts w:ascii="Arial" w:cs="Arial" w:eastAsia="Arial" w:hAnsi="Arial"/>
                <w:sz w:val="16"/>
                <w:szCs w:val="16"/>
                <w:color w:val="auto"/>
              </w:rPr>
              <w:t>Operating lease liabilities</w:t>
            </w:r>
          </w:p>
        </w:tc>
        <w:tc>
          <w:tcPr>
            <w:tcW w:w="7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4,656</w:t>
            </w:r>
          </w:p>
        </w:tc>
        <w:tc>
          <w:tcPr>
            <w:tcW w:w="2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4,797</w:t>
            </w:r>
          </w:p>
        </w:tc>
      </w:tr>
      <w:tr>
        <w:trPr>
          <w:trHeight w:val="198"/>
        </w:trPr>
        <w:tc>
          <w:tcPr>
            <w:tcW w:w="7500" w:type="dxa"/>
            <w:vAlign w:val="bottom"/>
          </w:tcPr>
          <w:p>
            <w:pPr>
              <w:ind w:left="720"/>
              <w:spacing w:after="0" w:line="181" w:lineRule="exact"/>
              <w:rPr>
                <w:sz w:val="20"/>
                <w:szCs w:val="20"/>
                <w:color w:val="auto"/>
              </w:rPr>
            </w:pPr>
            <w:r>
              <w:rPr>
                <w:rFonts w:ascii="Arial" w:cs="Arial" w:eastAsia="Arial" w:hAnsi="Arial"/>
                <w:sz w:val="16"/>
                <w:szCs w:val="16"/>
                <w:color w:val="auto"/>
              </w:rPr>
              <w:t>Total liabilities</w:t>
            </w: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12,666</w:t>
            </w:r>
          </w:p>
        </w:tc>
        <w:tc>
          <w:tcPr>
            <w:tcW w:w="2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15,502</w:t>
            </w:r>
          </w:p>
        </w:tc>
      </w:tr>
      <w:tr>
        <w:trPr>
          <w:trHeight w:val="211"/>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Commitments and contingencies (See Note 8)</w:t>
            </w: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07"/>
        </w:trPr>
        <w:tc>
          <w:tcPr>
            <w:tcW w:w="7500" w:type="dxa"/>
            <w:vAlign w:val="bottom"/>
          </w:tcPr>
          <w:p>
            <w:pPr>
              <w:ind w:left="80"/>
              <w:spacing w:after="0"/>
              <w:rPr>
                <w:sz w:val="20"/>
                <w:szCs w:val="20"/>
                <w:color w:val="auto"/>
              </w:rPr>
            </w:pPr>
            <w:r>
              <w:rPr>
                <w:rFonts w:ascii="Arial" w:cs="Arial" w:eastAsia="Arial" w:hAnsi="Arial"/>
                <w:sz w:val="16"/>
                <w:szCs w:val="16"/>
                <w:color w:val="auto"/>
              </w:rPr>
              <w:t>Stockholders’ equity:</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5"/>
        </w:trPr>
        <w:tc>
          <w:tcPr>
            <w:tcW w:w="750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Preferred stock; $0.001 par value per share; 5,000,000 shares authorized</w:t>
            </w:r>
          </w:p>
        </w:tc>
        <w:tc>
          <w:tcPr>
            <w:tcW w:w="7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9"/>
        </w:trPr>
        <w:tc>
          <w:tcPr>
            <w:tcW w:w="7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 of March 31, 2023 and December 31, 2022; no shares issued and</w:t>
            </w:r>
          </w:p>
        </w:tc>
        <w:tc>
          <w:tcPr>
            <w:tcW w:w="7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214"/>
        </w:trPr>
        <w:tc>
          <w:tcPr>
            <w:tcW w:w="7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outstanding as of March 31, 2023 and December 31, 2022</w:t>
            </w: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r>
      <w:tr>
        <w:trPr>
          <w:trHeight w:val="189"/>
        </w:trPr>
        <w:tc>
          <w:tcPr>
            <w:tcW w:w="7500" w:type="dxa"/>
            <w:vAlign w:val="bottom"/>
          </w:tcPr>
          <w:p>
            <w:pPr>
              <w:ind w:left="400"/>
              <w:spacing w:after="0"/>
              <w:rPr>
                <w:sz w:val="20"/>
                <w:szCs w:val="20"/>
                <w:color w:val="auto"/>
              </w:rPr>
            </w:pPr>
            <w:r>
              <w:rPr>
                <w:rFonts w:ascii="Arial" w:cs="Arial" w:eastAsia="Arial" w:hAnsi="Arial"/>
                <w:sz w:val="16"/>
                <w:szCs w:val="16"/>
                <w:color w:val="auto"/>
              </w:rPr>
              <w:t>Common stock, $0.001 par value per share; 115,000,000 shares</w:t>
            </w: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500" w:type="dxa"/>
            <w:vAlign w:val="bottom"/>
          </w:tcPr>
          <w:p>
            <w:pPr>
              <w:ind w:left="200"/>
              <w:spacing w:after="0"/>
              <w:rPr>
                <w:sz w:val="20"/>
                <w:szCs w:val="20"/>
                <w:color w:val="auto"/>
              </w:rPr>
            </w:pPr>
            <w:r>
              <w:rPr>
                <w:rFonts w:ascii="Arial" w:cs="Arial" w:eastAsia="Arial" w:hAnsi="Arial"/>
                <w:sz w:val="16"/>
                <w:szCs w:val="16"/>
                <w:color w:val="auto"/>
              </w:rPr>
              <w:t>authorized as of March 31, 2023 and December 31, 2022;</w:t>
            </w: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500" w:type="dxa"/>
            <w:vAlign w:val="bottom"/>
          </w:tcPr>
          <w:p>
            <w:pPr>
              <w:ind w:left="200"/>
              <w:spacing w:after="0"/>
              <w:rPr>
                <w:sz w:val="20"/>
                <w:szCs w:val="20"/>
                <w:color w:val="auto"/>
              </w:rPr>
            </w:pPr>
            <w:r>
              <w:rPr>
                <w:rFonts w:ascii="Arial" w:cs="Arial" w:eastAsia="Arial" w:hAnsi="Arial"/>
                <w:sz w:val="16"/>
                <w:szCs w:val="16"/>
                <w:color w:val="auto"/>
              </w:rPr>
              <w:t>43,269,200 shares issued and outstanding as of</w:t>
            </w: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7"/>
        </w:trPr>
        <w:tc>
          <w:tcPr>
            <w:tcW w:w="7500" w:type="dxa"/>
            <w:vAlign w:val="bottom"/>
          </w:tcPr>
          <w:p>
            <w:pPr>
              <w:ind w:left="200"/>
              <w:spacing w:after="0"/>
              <w:rPr>
                <w:sz w:val="20"/>
                <w:szCs w:val="20"/>
                <w:color w:val="auto"/>
              </w:rPr>
            </w:pPr>
            <w:r>
              <w:rPr>
                <w:rFonts w:ascii="Arial" w:cs="Arial" w:eastAsia="Arial" w:hAnsi="Arial"/>
                <w:sz w:val="16"/>
                <w:szCs w:val="16"/>
                <w:color w:val="auto"/>
              </w:rPr>
              <w:t>March 31, 2023 and December 31, 2022</w:t>
            </w:r>
          </w:p>
        </w:tc>
        <w:tc>
          <w:tcPr>
            <w:tcW w:w="72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43</w:t>
            </w:r>
          </w:p>
        </w:tc>
      </w:tr>
      <w:tr>
        <w:trPr>
          <w:trHeight w:val="219"/>
        </w:trPr>
        <w:tc>
          <w:tcPr>
            <w:tcW w:w="75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Additional paid-in capital</w:t>
            </w:r>
          </w:p>
        </w:tc>
        <w:tc>
          <w:tcPr>
            <w:tcW w:w="7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264,329</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262,496</w:t>
            </w:r>
          </w:p>
        </w:tc>
      </w:tr>
      <w:tr>
        <w:trPr>
          <w:trHeight w:val="207"/>
        </w:trPr>
        <w:tc>
          <w:tcPr>
            <w:tcW w:w="7500" w:type="dxa"/>
            <w:vAlign w:val="bottom"/>
          </w:tcPr>
          <w:p>
            <w:pPr>
              <w:ind w:left="80"/>
              <w:spacing w:after="0"/>
              <w:rPr>
                <w:sz w:val="20"/>
                <w:szCs w:val="20"/>
                <w:color w:val="auto"/>
              </w:rPr>
            </w:pPr>
            <w:r>
              <w:rPr>
                <w:rFonts w:ascii="Arial" w:cs="Arial" w:eastAsia="Arial" w:hAnsi="Arial"/>
                <w:sz w:val="16"/>
                <w:szCs w:val="16"/>
                <w:color w:val="auto"/>
              </w:rPr>
              <w:t>Accumulated deficit</w:t>
            </w:r>
          </w:p>
        </w:tc>
        <w:tc>
          <w:tcPr>
            <w:tcW w:w="72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(158,131)</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(151,605)</w:t>
            </w:r>
          </w:p>
        </w:tc>
      </w:tr>
      <w:tr>
        <w:trPr>
          <w:trHeight w:val="213"/>
        </w:trPr>
        <w:tc>
          <w:tcPr>
            <w:tcW w:w="75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Accumulated other comprehensive loss</w:t>
            </w:r>
          </w:p>
        </w:tc>
        <w:tc>
          <w:tcPr>
            <w:tcW w:w="7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(31)</w:t>
            </w:r>
          </w:p>
        </w:tc>
      </w:tr>
      <w:tr>
        <w:trPr>
          <w:trHeight w:val="96"/>
        </w:trPr>
        <w:tc>
          <w:tcPr>
            <w:tcW w:w="75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-2056765</wp:posOffset>
            </wp:positionV>
            <wp:extent cx="1651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-1791970</wp:posOffset>
            </wp:positionV>
            <wp:extent cx="190500" cy="175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500" cy="1758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-81915</wp:posOffset>
            </wp:positionV>
            <wp:extent cx="1651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5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stockholders’ equity</w:t>
            </w:r>
          </w:p>
        </w:tc>
        <w:tc>
          <w:tcPr>
            <w:tcW w:w="9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106,241</w:t>
            </w:r>
          </w:p>
        </w:tc>
        <w:tc>
          <w:tcPr>
            <w:tcW w:w="26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110,903</w:t>
            </w:r>
          </w:p>
        </w:tc>
      </w:tr>
      <w:tr>
        <w:trPr>
          <w:trHeight w:val="245"/>
        </w:trPr>
        <w:tc>
          <w:tcPr>
            <w:tcW w:w="7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liabilities and stockholders’ equity</w:t>
            </w:r>
          </w:p>
        </w:tc>
        <w:tc>
          <w:tcPr>
            <w:tcW w:w="90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118,907</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126,405</w:t>
            </w:r>
          </w:p>
        </w:tc>
      </w:tr>
      <w:tr>
        <w:trPr>
          <w:trHeight w:val="482"/>
        </w:trPr>
        <w:tc>
          <w:tcPr>
            <w:tcW w:w="7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-352425</wp:posOffset>
            </wp:positionV>
            <wp:extent cx="1651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-337185</wp:posOffset>
            </wp:positionV>
            <wp:extent cx="1651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-495300</wp:posOffset>
            </wp:positionV>
            <wp:extent cx="1651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9"/>
          <w:szCs w:val="19"/>
          <w:b w:val="1"/>
          <w:bCs w:val="1"/>
          <w:color w:val="auto"/>
        </w:rPr>
        <w:t>Larimar Therapeutics, Inc.</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Statements of Operations</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share and per share data)</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92"/>
              </w:rPr>
              <w:t>Three Months Ended March 31,</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93"/>
        </w:trPr>
        <w:tc>
          <w:tcPr>
            <w:tcW w:w="6340" w:type="dxa"/>
            <w:vAlign w:val="bottom"/>
          </w:tcPr>
          <w:p>
            <w:pPr>
              <w:spacing w:after="0"/>
              <w:rPr>
                <w:sz w:val="16"/>
                <w:szCs w:val="16"/>
                <w:color w:val="auto"/>
              </w:rPr>
            </w:pPr>
          </w:p>
        </w:tc>
        <w:tc>
          <w:tcPr>
            <w:tcW w:w="13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2023</w:t>
            </w:r>
          </w:p>
        </w:tc>
        <w:tc>
          <w:tcPr>
            <w:tcW w:w="9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62"/>
              <w:spacing w:after="0"/>
              <w:rPr>
                <w:sz w:val="20"/>
                <w:szCs w:val="20"/>
                <w:color w:val="auto"/>
              </w:rPr>
            </w:pPr>
            <w:r>
              <w:rPr>
                <w:rFonts w:ascii="Arial" w:cs="Arial" w:eastAsia="Arial" w:hAnsi="Arial"/>
                <w:sz w:val="13"/>
                <w:szCs w:val="13"/>
                <w:b w:val="1"/>
                <w:bCs w:val="1"/>
                <w:color w:val="auto"/>
                <w:w w:val="89"/>
              </w:rPr>
              <w:t>2022</w:t>
            </w:r>
          </w:p>
        </w:tc>
      </w:tr>
      <w:tr>
        <w:trPr>
          <w:trHeight w:val="220"/>
        </w:trPr>
        <w:tc>
          <w:tcPr>
            <w:tcW w:w="63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Operating expenses:</w:t>
            </w:r>
          </w:p>
        </w:tc>
        <w:tc>
          <w:tcPr>
            <w:tcW w:w="13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r>
      <w:tr>
        <w:trPr>
          <w:trHeight w:val="230"/>
        </w:trPr>
        <w:tc>
          <w:tcPr>
            <w:tcW w:w="6340" w:type="dxa"/>
            <w:vAlign w:val="bottom"/>
          </w:tcPr>
          <w:p>
            <w:pPr>
              <w:ind w:left="400"/>
              <w:spacing w:after="0"/>
              <w:rPr>
                <w:sz w:val="20"/>
                <w:szCs w:val="20"/>
                <w:color w:val="auto"/>
              </w:rPr>
            </w:pPr>
            <w:r>
              <w:rPr>
                <w:rFonts w:ascii="Arial" w:cs="Arial" w:eastAsia="Arial" w:hAnsi="Arial"/>
                <w:sz w:val="16"/>
                <w:szCs w:val="16"/>
                <w:color w:val="auto"/>
              </w:rPr>
              <w:t>Research and development</w:t>
            </w:r>
          </w:p>
        </w:tc>
        <w:tc>
          <w:tcPr>
            <w:tcW w:w="1380" w:type="dxa"/>
            <w:vAlign w:val="bottom"/>
          </w:tcPr>
          <w:p>
            <w:pPr>
              <w:jc w:val="right"/>
              <w:ind w:right="34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4,562</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5,806</w:t>
            </w:r>
          </w:p>
        </w:tc>
      </w:tr>
      <w:tr>
        <w:trPr>
          <w:trHeight w:val="225"/>
        </w:trPr>
        <w:tc>
          <w:tcPr>
            <w:tcW w:w="63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6"/>
                <w:szCs w:val="16"/>
                <w:color w:val="auto"/>
              </w:rPr>
              <w:t>General and administrative</w:t>
            </w:r>
          </w:p>
        </w:tc>
        <w:tc>
          <w:tcPr>
            <w:tcW w:w="13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3,075</w:t>
            </w:r>
          </w:p>
        </w:tc>
        <w:tc>
          <w:tcPr>
            <w:tcW w:w="2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3,081</w:t>
            </w:r>
          </w:p>
        </w:tc>
      </w:tr>
      <w:tr>
        <w:trPr>
          <w:trHeight w:val="217"/>
        </w:trPr>
        <w:tc>
          <w:tcPr>
            <w:tcW w:w="634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7,637</w:t>
            </w: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8,887</w:t>
            </w:r>
          </w:p>
        </w:tc>
      </w:tr>
      <w:tr>
        <w:trPr>
          <w:trHeight w:val="235"/>
        </w:trPr>
        <w:tc>
          <w:tcPr>
            <w:tcW w:w="6340" w:type="dxa"/>
            <w:vAlign w:val="bottom"/>
            <w:shd w:val="clear" w:color="auto" w:fill="CFF0FC"/>
          </w:tcPr>
          <w:p>
            <w:pPr>
              <w:ind w:left="80"/>
              <w:spacing w:after="0"/>
              <w:rPr>
                <w:sz w:val="20"/>
                <w:szCs w:val="20"/>
                <w:color w:val="auto"/>
              </w:rPr>
            </w:pPr>
            <w:r>
              <w:rPr>
                <w:rFonts w:ascii="Arial" w:cs="Arial" w:eastAsia="Arial" w:hAnsi="Arial"/>
                <w:sz w:val="16"/>
                <w:szCs w:val="16"/>
                <w:color w:val="auto"/>
              </w:rPr>
              <w:t>Loss from operations</w:t>
            </w:r>
          </w:p>
        </w:tc>
        <w:tc>
          <w:tcPr>
            <w:tcW w:w="1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(7,637)</w:t>
            </w: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(8,887)</w:t>
            </w:r>
          </w:p>
        </w:tc>
      </w:tr>
      <w:tr>
        <w:trPr>
          <w:trHeight w:val="218"/>
        </w:trPr>
        <w:tc>
          <w:tcPr>
            <w:tcW w:w="6340" w:type="dxa"/>
            <w:vAlign w:val="bottom"/>
          </w:tcPr>
          <w:p>
            <w:pPr>
              <w:ind w:left="400"/>
              <w:spacing w:after="0"/>
              <w:rPr>
                <w:sz w:val="20"/>
                <w:szCs w:val="20"/>
                <w:color w:val="auto"/>
              </w:rPr>
            </w:pPr>
            <w:r>
              <w:rPr>
                <w:rFonts w:ascii="Arial" w:cs="Arial" w:eastAsia="Arial" w:hAnsi="Arial"/>
                <w:sz w:val="16"/>
                <w:szCs w:val="16"/>
                <w:color w:val="auto"/>
              </w:rPr>
              <w:t>Other income (expense), net</w:t>
            </w: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1,111</w:t>
            </w: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(56)</w:t>
            </w:r>
          </w:p>
        </w:tc>
      </w:tr>
      <w:tr>
        <w:trPr>
          <w:trHeight w:val="245"/>
        </w:trPr>
        <w:tc>
          <w:tcPr>
            <w:tcW w:w="63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shd w:val="clear" w:color="auto" w:fill="CFF0FC"/>
          </w:tcPr>
          <w:p>
            <w:pPr>
              <w:jc w:val="right"/>
              <w:ind w:right="324"/>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(6,526)</w:t>
            </w: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(8,943)</w:t>
            </w:r>
          </w:p>
        </w:tc>
      </w:tr>
      <w:tr>
        <w:trPr>
          <w:trHeight w:val="200"/>
        </w:trPr>
        <w:tc>
          <w:tcPr>
            <w:tcW w:w="6340" w:type="dxa"/>
            <w:vAlign w:val="bottom"/>
          </w:tcPr>
          <w:p>
            <w:pPr>
              <w:ind w:left="80"/>
              <w:spacing w:after="0"/>
              <w:rPr>
                <w:sz w:val="20"/>
                <w:szCs w:val="20"/>
                <w:color w:val="auto"/>
              </w:rPr>
            </w:pPr>
            <w:r>
              <w:rPr>
                <w:rFonts w:ascii="Arial" w:cs="Arial" w:eastAsia="Arial" w:hAnsi="Arial"/>
                <w:sz w:val="16"/>
                <w:szCs w:val="16"/>
                <w:color w:val="auto"/>
              </w:rPr>
              <w:t>Net loss per share, basic and diluted</w:t>
            </w:r>
          </w:p>
        </w:tc>
        <w:tc>
          <w:tcPr>
            <w:tcW w:w="138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(0.15)</w:t>
            </w:r>
          </w:p>
        </w:tc>
        <w:tc>
          <w:tcPr>
            <w:tcW w:w="2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(0.49)</w:t>
            </w:r>
          </w:p>
        </w:tc>
      </w:tr>
      <w:tr>
        <w:trPr>
          <w:trHeight w:val="20"/>
        </w:trPr>
        <w:tc>
          <w:tcPr>
            <w:tcW w:w="6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0"/>
        </w:trPr>
        <w:tc>
          <w:tcPr>
            <w:tcW w:w="63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Weighted average common shares outstanding, basic and diluted</w:t>
            </w:r>
          </w:p>
        </w:tc>
        <w:tc>
          <w:tcPr>
            <w:tcW w:w="13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99"/>
              </w:rPr>
              <w:t>43,897,603</w:t>
            </w:r>
          </w:p>
        </w:tc>
        <w:tc>
          <w:tcPr>
            <w:tcW w:w="2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18,338,853</w:t>
            </w:r>
          </w:p>
        </w:tc>
      </w:tr>
      <w:tr>
        <w:trPr>
          <w:trHeight w:val="183"/>
        </w:trPr>
        <w:tc>
          <w:tcPr>
            <w:tcW w:w="6340" w:type="dxa"/>
            <w:vAlign w:val="bottom"/>
          </w:tcPr>
          <w:p>
            <w:pPr>
              <w:ind w:left="80"/>
              <w:spacing w:after="0" w:line="183" w:lineRule="exact"/>
              <w:rPr>
                <w:sz w:val="20"/>
                <w:szCs w:val="20"/>
                <w:color w:val="auto"/>
              </w:rPr>
            </w:pPr>
            <w:r>
              <w:rPr>
                <w:rFonts w:ascii="Arial" w:cs="Arial" w:eastAsia="Arial" w:hAnsi="Arial"/>
                <w:sz w:val="16"/>
                <w:szCs w:val="16"/>
                <w:color w:val="auto"/>
              </w:rPr>
              <w:t>Comprehensive loss:</w:t>
            </w: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60"/>
        </w:trPr>
        <w:tc>
          <w:tcPr>
            <w:tcW w:w="6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37"/>
        </w:trPr>
        <w:tc>
          <w:tcPr>
            <w:tcW w:w="634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loss</w:t>
            </w:r>
          </w:p>
        </w:tc>
        <w:tc>
          <w:tcPr>
            <w:tcW w:w="1380" w:type="dxa"/>
            <w:vAlign w:val="bottom"/>
            <w:shd w:val="clear" w:color="auto" w:fill="CFF0FC"/>
          </w:tcPr>
          <w:p>
            <w:pPr>
              <w:jc w:val="right"/>
              <w:ind w:right="324"/>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(6,526)</w:t>
            </w: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(8,943)</w:t>
            </w:r>
          </w:p>
        </w:tc>
      </w:tr>
      <w:tr>
        <w:trPr>
          <w:trHeight w:val="200"/>
        </w:trPr>
        <w:tc>
          <w:tcPr>
            <w:tcW w:w="6340" w:type="dxa"/>
            <w:vAlign w:val="bottom"/>
          </w:tcPr>
          <w:p>
            <w:pPr>
              <w:ind w:left="80"/>
              <w:spacing w:after="0"/>
              <w:rPr>
                <w:sz w:val="20"/>
                <w:szCs w:val="20"/>
                <w:color w:val="auto"/>
              </w:rPr>
            </w:pPr>
            <w:r>
              <w:rPr>
                <w:rFonts w:ascii="Arial" w:cs="Arial" w:eastAsia="Arial" w:hAnsi="Arial"/>
                <w:sz w:val="16"/>
                <w:szCs w:val="16"/>
                <w:color w:val="auto"/>
              </w:rPr>
              <w:t>Other comprehensive gain:</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6"/>
        </w:trPr>
        <w:tc>
          <w:tcPr>
            <w:tcW w:w="6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7"/>
        </w:trPr>
        <w:tc>
          <w:tcPr>
            <w:tcW w:w="63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Unrealized gain on marketable securities</w:t>
            </w:r>
          </w:p>
        </w:tc>
        <w:tc>
          <w:tcPr>
            <w:tcW w:w="13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r>
      <w:tr>
        <w:trPr>
          <w:trHeight w:val="198"/>
        </w:trPr>
        <w:tc>
          <w:tcPr>
            <w:tcW w:w="6340" w:type="dxa"/>
            <w:vAlign w:val="bottom"/>
          </w:tcPr>
          <w:p>
            <w:pPr>
              <w:ind w:left="720"/>
              <w:spacing w:after="0" w:line="181" w:lineRule="exact"/>
              <w:rPr>
                <w:sz w:val="20"/>
                <w:szCs w:val="20"/>
                <w:color w:val="auto"/>
              </w:rPr>
            </w:pPr>
            <w:r>
              <w:rPr>
                <w:rFonts w:ascii="Arial" w:cs="Arial" w:eastAsia="Arial" w:hAnsi="Arial"/>
                <w:sz w:val="16"/>
                <w:szCs w:val="16"/>
                <w:color w:val="auto"/>
              </w:rPr>
              <w:t>Total other comprehensive gain</w:t>
            </w: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r>
      <w:tr>
        <w:trPr>
          <w:trHeight w:val="245"/>
        </w:trPr>
        <w:tc>
          <w:tcPr>
            <w:tcW w:w="63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Total comprehensive loss</w:t>
            </w:r>
          </w:p>
        </w:tc>
        <w:tc>
          <w:tcPr>
            <w:tcW w:w="1380" w:type="dxa"/>
            <w:vAlign w:val="bottom"/>
            <w:tcBorders>
              <w:bottom w:val="single" w:sz="8" w:color="auto"/>
            </w:tcBorders>
            <w:shd w:val="clear" w:color="auto" w:fill="CFF0FC"/>
          </w:tcPr>
          <w:p>
            <w:pPr>
              <w:jc w:val="right"/>
              <w:ind w:right="324"/>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(6,495)</w:t>
            </w: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(8,943)</w:t>
            </w:r>
          </w:p>
        </w:tc>
      </w:tr>
      <w:tr>
        <w:trPr>
          <w:trHeight w:val="269"/>
        </w:trPr>
        <w:tc>
          <w:tcPr>
            <w:tcW w:w="634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3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-2064385</wp:posOffset>
            </wp:positionV>
            <wp:extent cx="1803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-1471295</wp:posOffset>
            </wp:positionV>
            <wp:extent cx="1803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-1456055</wp:posOffset>
            </wp:positionV>
            <wp:extent cx="1803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-1141095</wp:posOffset>
            </wp:positionV>
            <wp:extent cx="1803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-1125855</wp:posOffset>
            </wp:positionV>
            <wp:extent cx="1803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-514985</wp:posOffset>
            </wp:positionV>
            <wp:extent cx="205740"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17589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-217170</wp:posOffset>
            </wp:positionV>
            <wp:extent cx="1803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-201930</wp:posOffset>
            </wp:positionV>
            <wp:extent cx="1803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98" w:right="31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45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185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185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9155" cy="4055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0915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2023-05-15T06:22:42Z</dcterms:created>
  <dcterms:modified xsi:type="dcterms:W3CDTF">2023-05-15T06:22:42Z</dcterms:modified>
</cp:coreProperties>
</file>