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Date of Report (Date of Earliest Event Reported): April 2,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6997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Zafgen, Inc.</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6997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1060" w:type="dxa"/>
        <w:tblCellMar>
          <w:top w:w="0" w:type="dxa"/>
          <w:left w:w="0" w:type="dxa"/>
          <w:bottom w:w="0" w:type="dxa"/>
          <w:right w:w="0" w:type="dxa"/>
        </w:tblCellMar>
      </w:tblPr>
      <w:tr>
        <w:trPr>
          <w:trHeight w:val="212"/>
        </w:trPr>
        <w:tc>
          <w:tcPr>
            <w:tcW w:w="3540" w:type="dxa"/>
            <w:vAlign w:val="bottom"/>
          </w:tcPr>
          <w:p>
            <w:pPr>
              <w:jc w:val="center"/>
              <w:ind w:right="1839"/>
              <w:spacing w:after="0"/>
              <w:rPr>
                <w:sz w:val="20"/>
                <w:szCs w:val="20"/>
                <w:color w:val="auto"/>
              </w:rPr>
            </w:pPr>
            <w:r>
              <w:rPr>
                <w:rFonts w:ascii="Arial" w:cs="Arial" w:eastAsia="Arial" w:hAnsi="Arial"/>
                <w:sz w:val="18"/>
                <w:szCs w:val="18"/>
                <w:b w:val="1"/>
                <w:bCs w:val="1"/>
                <w:color w:val="auto"/>
                <w:w w:val="98"/>
              </w:rPr>
              <w:t>DELAWARE</w:t>
            </w:r>
          </w:p>
        </w:tc>
        <w:tc>
          <w:tcPr>
            <w:tcW w:w="2420" w:type="dxa"/>
            <w:vAlign w:val="bottom"/>
          </w:tcPr>
          <w:p>
            <w:pPr>
              <w:ind w:left="640"/>
              <w:spacing w:after="0"/>
              <w:rPr>
                <w:sz w:val="20"/>
                <w:szCs w:val="20"/>
                <w:color w:val="auto"/>
              </w:rPr>
            </w:pPr>
            <w:r>
              <w:rPr>
                <w:rFonts w:ascii="Arial" w:cs="Arial" w:eastAsia="Arial" w:hAnsi="Arial"/>
                <w:sz w:val="18"/>
                <w:szCs w:val="18"/>
                <w:b w:val="1"/>
                <w:bCs w:val="1"/>
                <w:color w:val="auto"/>
              </w:rPr>
              <w:t>001-36510</w:t>
            </w:r>
          </w:p>
        </w:tc>
        <w:tc>
          <w:tcPr>
            <w:tcW w:w="2800" w:type="dxa"/>
            <w:vAlign w:val="bottom"/>
          </w:tcPr>
          <w:p>
            <w:pPr>
              <w:jc w:val="center"/>
              <w:ind w:left="1601"/>
              <w:spacing w:after="0"/>
              <w:rPr>
                <w:sz w:val="20"/>
                <w:szCs w:val="20"/>
                <w:color w:val="auto"/>
              </w:rPr>
            </w:pPr>
            <w:r>
              <w:rPr>
                <w:rFonts w:ascii="Arial" w:cs="Arial" w:eastAsia="Arial" w:hAnsi="Arial"/>
                <w:sz w:val="18"/>
                <w:szCs w:val="18"/>
                <w:b w:val="1"/>
                <w:bCs w:val="1"/>
                <w:color w:val="auto"/>
                <w:w w:val="91"/>
              </w:rPr>
              <w:t>20-3857670</w:t>
            </w:r>
          </w:p>
        </w:tc>
      </w:tr>
      <w:tr>
        <w:trPr>
          <w:trHeight w:val="149"/>
        </w:trPr>
        <w:tc>
          <w:tcPr>
            <w:tcW w:w="354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6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540" w:type="dxa"/>
            <w:vAlign w:val="bottom"/>
          </w:tcPr>
          <w:p>
            <w:pPr>
              <w:jc w:val="center"/>
              <w:ind w:right="183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2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60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1"/>
              </w:rPr>
              <w:t>175 Portland Street, 4th Floor</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6"/>
              </w:rPr>
              <w:t>Boston, Massachusetts</w:t>
            </w:r>
          </w:p>
        </w:tc>
        <w:tc>
          <w:tcPr>
            <w:tcW w:w="2420" w:type="dxa"/>
            <w:vAlign w:val="bottom"/>
          </w:tcPr>
          <w:p>
            <w:pPr>
              <w:spacing w:after="0"/>
              <w:rPr>
                <w:sz w:val="19"/>
                <w:szCs w:val="19"/>
                <w:color w:val="auto"/>
              </w:rPr>
            </w:pPr>
          </w:p>
        </w:tc>
        <w:tc>
          <w:tcPr>
            <w:tcW w:w="2800" w:type="dxa"/>
            <w:vAlign w:val="bottom"/>
          </w:tcPr>
          <w:p>
            <w:pPr>
              <w:jc w:val="right"/>
              <w:ind w:right="1161"/>
              <w:spacing w:after="0"/>
              <w:rPr>
                <w:sz w:val="20"/>
                <w:szCs w:val="20"/>
                <w:color w:val="auto"/>
              </w:rPr>
            </w:pPr>
            <w:r>
              <w:rPr>
                <w:rFonts w:ascii="Arial" w:cs="Arial" w:eastAsia="Arial" w:hAnsi="Arial"/>
                <w:sz w:val="18"/>
                <w:szCs w:val="18"/>
                <w:b w:val="1"/>
                <w:bCs w:val="1"/>
                <w:color w:val="auto"/>
              </w:rPr>
              <w:t>02114</w:t>
            </w:r>
          </w:p>
        </w:tc>
      </w:tr>
      <w:tr>
        <w:trPr>
          <w:trHeight w:val="186"/>
        </w:trPr>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Registrant’s telephone number, including area code (617) 622-4003</w:t>
      </w:r>
    </w:p>
    <w:p>
      <w:pPr>
        <w:spacing w:after="0" w:line="22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6997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80"/>
          </w:cols>
          <w:pgMar w:left="440" w:top="225" w:right="67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On April 4, 2019, the Company issued a press release announcing that on April 2, 2019, the Company granted to Priya Singhal, M.D., M.P.H., the Company’s Head of Research and Development an option to purchase 375,000 shares of the Company’s common stock as a material inducement to Dr. Singhal’s acceptance of employment with the Company in accordance with NASDAQ Listing Rule 5635(c)(4). A copy of the press release is filed herewith as Exhibit 99.1 to this Report on Form 8-K and is incorporated herein by reference.</w:t>
      </w:r>
    </w:p>
    <w:p>
      <w:pPr>
        <w:spacing w:after="0" w:line="31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Exhibits</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ind w:left="120"/>
        <w:spacing w:after="0"/>
        <w:tabs>
          <w:tab w:leader="none" w:pos="94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wp:posOffset>
            </wp:positionV>
            <wp:extent cx="69977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81" w:lineRule="exact"/>
        <w:rPr>
          <w:sz w:val="20"/>
          <w:szCs w:val="20"/>
          <w:color w:val="auto"/>
        </w:rPr>
      </w:pPr>
    </w:p>
    <w:p>
      <w:pPr>
        <w:spacing w:after="0"/>
        <w:tabs>
          <w:tab w:leader="none" w:pos="9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Zafgen, Inc. on April 4, 2019.</w:t>
        </w:r>
      </w:hyperlink>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0" w:right="499" w:bottom="1440" w:gutter="0" w:footer="0" w:header="0"/>
        </w:sectPr>
      </w:pPr>
    </w:p>
    <w:bookmarkStart w:id="2" w:name="page3"/>
    <w:bookmarkEnd w:id="2"/>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 April 4, 2019</w:t>
      </w:r>
      <w:r>
        <w:rPr>
          <w:sz w:val="20"/>
          <w:szCs w:val="20"/>
          <w:color w:val="auto"/>
        </w:rPr>
        <w:tab/>
      </w:r>
      <w:r>
        <w:rPr>
          <w:rFonts w:ascii="Arial" w:cs="Arial" w:eastAsia="Arial" w:hAnsi="Arial"/>
          <w:sz w:val="18"/>
          <w:szCs w:val="18"/>
          <w:b w:val="1"/>
          <w:bCs w:val="1"/>
          <w:color w:val="auto"/>
        </w:rPr>
        <w:t>ZAFGEN, INC.</w:t>
      </w:r>
    </w:p>
    <w:p>
      <w:pPr>
        <w:spacing w:after="0" w:line="22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  /s/ Jeffrey S. Hatfield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Jeffrey S.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-130810</wp:posOffset>
            </wp:positionV>
            <wp:extent cx="3215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1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80"/>
          </w:cols>
          <w:pgMar w:left="440" w:top="270" w:right="11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2682240</wp:posOffset>
            </wp:positionH>
            <wp:positionV relativeFrom="paragraph">
              <wp:posOffset>326390</wp:posOffset>
            </wp:positionV>
            <wp:extent cx="1637665" cy="677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3766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Zafgen, Inc. Reports Inducement Grant Under Nasdaq Listing Rule 5635(c)(4)</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BOSTON, April 4, 2019 (GLOBE NEWSWIRE) </w:t>
      </w:r>
      <w:r>
        <w:rPr>
          <w:rFonts w:ascii="Arial" w:cs="Arial" w:eastAsia="Arial" w:hAnsi="Arial"/>
          <w:sz w:val="18"/>
          <w:szCs w:val="18"/>
          <w:color w:val="auto"/>
        </w:rPr>
        <w:t>– Zafgen, Inc. (Nasdaq:ZFGN) (the “Company”) a clinical-stage biopharmaceutical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leveraging its proprietary knowledge of MetAP2 systems biology to develop novel therapies for patients affected by a range of metabolic diseases, today announced that on April 2, 2019, the Company granted to Priya Singhal, M.D., M.P.H., the Company’s Head of Research and Development an option to purchase 375,000 shares of the Company’s common stock, with 25% of the option shares vesting on March 4, 2020 and the balance vesting in equal monthly installments over the next three years, subject to her continued service to the Company through each vesting date. The option is subject to acceleration upon a change in control. The grant was made as a stand-alone inducement award agreement outside of the 2014 Stock Option and Incentive Plan as a material inducement to Dr. Singhal’s acceptance of employment with the Company in accordance with NASDAQ Listing Rule 5635(c)(4).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Zafgen</w:t>
      </w:r>
    </w:p>
    <w:p>
      <w:pPr>
        <w:spacing w:after="0" w:line="12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Zafgen (Nasdaq:ZFGN) is a clinical-stage biopharmaceutical company leveraging its proprietary MetAP2 biology platform to develop novel therapies for patients affected by complex metabolic diseases. Zafgen has pioneered the study of MetAP2 inhibitors in both common and rare metabolic disorders and is currently advancing programs for type 2 diabetes, Prader-Willi syndrome and liver diseases. Learn more at www.zafgen.com.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Media/Investor Relations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Zafgen,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Patricia Allen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617-648-9792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Krystle Gibbs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krystle@tenbridgecommunications.com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508-479-6358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Woolford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Westwicke, An ICR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john.woolford@westwicke.com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443-213-0506</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2019-12-28T13:57:34Z</dcterms:created>
  <dcterms:modified xsi:type="dcterms:W3CDTF">2019-12-28T13:57:34Z</dcterms:modified>
</cp:coreProperties>
</file>