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040" w:type="dxa"/>
            <w:vAlign w:val="bottom"/>
          </w:tcPr>
          <w:p>
            <w:pPr>
              <w:jc w:val="center"/>
              <w:ind w:right="2319"/>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ind w:left="140"/>
              <w:spacing w:after="0"/>
              <w:rPr>
                <w:sz w:val="20"/>
                <w:szCs w:val="20"/>
                <w:color w:val="auto"/>
              </w:rPr>
            </w:pPr>
            <w:r>
              <w:rPr>
                <w:rFonts w:ascii="Arial" w:cs="Arial" w:eastAsia="Arial" w:hAnsi="Arial"/>
                <w:sz w:val="18"/>
                <w:szCs w:val="18"/>
                <w:b w:val="1"/>
                <w:bCs w:val="1"/>
                <w:color w:val="auto"/>
              </w:rPr>
              <w:t>001-36510</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20-3857670</w:t>
            </w:r>
          </w:p>
        </w:tc>
      </w:tr>
      <w:tr>
        <w:trPr>
          <w:trHeight w:val="148"/>
        </w:trPr>
        <w:tc>
          <w:tcPr>
            <w:tcW w:w="404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4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8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0"/>
              </w:rPr>
              <w:t>Three Bala Plaza East, Suite 506</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0"/>
              </w:rPr>
              <w:t>Bala Cynwyd, Pennsylvania</w:t>
            </w:r>
          </w:p>
        </w:tc>
        <w:tc>
          <w:tcPr>
            <w:tcW w:w="22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19004</w:t>
            </w:r>
          </w:p>
        </w:tc>
      </w:tr>
      <w:tr>
        <w:trPr>
          <w:trHeight w:val="186"/>
        </w:trPr>
        <w:tc>
          <w:tcPr>
            <w:tcW w:w="404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2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May 12, 2021, Larimar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held its 2021 Annual Meeting of Stockholders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virtually. As of April 1, 2021, the record date for the Annual Meeting, there were 15,367,730 outstanding shares of the Company’s common stock entitled to vote at the Annual Meeting. The following is a brief description of the final voting results for each of the proposals submitted to a vote of the stockholders at the Annual Meeting, which are described in detail in the Company’s definitive proxy statement for the Annual Meeting, filed with the U.S. Securities and Exchange Commission on April 14, 2021.</w:t>
      </w:r>
    </w:p>
    <w:p>
      <w:pPr>
        <w:spacing w:after="0" w:line="1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 xml:space="preserve">Proposal 1 – Election of Class I Directors. </w:t>
      </w:r>
      <w:r>
        <w:rPr>
          <w:rFonts w:ascii="Arial" w:cs="Arial" w:eastAsia="Arial" w:hAnsi="Arial"/>
          <w:sz w:val="18"/>
          <w:szCs w:val="18"/>
          <w:color w:val="auto"/>
        </w:rPr>
        <w:t>Each of Jonathan Leff and Peter Barrett, Ph.D. were elected to the Board of Directors as Class I directors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serve until the Company’s 2024 Annual Meeting of Stockholders and until their successors, if any, are duly elected and qualified or appointed, or their earlier death, resignation, or removal, as follows:</w:t>
      </w:r>
    </w:p>
    <w:p>
      <w:pPr>
        <w:spacing w:after="0" w:line="202"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Votes For</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Votes Against</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Abstentions</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Broker Non-Votes</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5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Jonathan Leff</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9,119,247</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2,479,981</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w w:val="84"/>
              </w:rPr>
              <w:t>1,199</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2,165,475</w:t>
            </w:r>
          </w:p>
        </w:tc>
        <w:tc>
          <w:tcPr>
            <w:tcW w:w="40" w:type="dxa"/>
            <w:vAlign w:val="bottom"/>
            <w:shd w:val="clear" w:color="auto" w:fill="CCEEFF"/>
          </w:tcPr>
          <w:p>
            <w:pPr>
              <w:spacing w:after="0"/>
              <w:rPr>
                <w:sz w:val="17"/>
                <w:szCs w:val="17"/>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Peter Barrett, Ph.D.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9,143,849</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2,455,379</w:t>
            </w: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1,199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2,165,475</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Proposal 2 – Approval, on an advisory basis, of the compensation of the Company’s named executive officers in 2020. </w:t>
      </w:r>
      <w:r>
        <w:rPr>
          <w:rFonts w:ascii="Arial" w:cs="Arial" w:eastAsia="Arial" w:hAnsi="Arial"/>
          <w:sz w:val="18"/>
          <w:szCs w:val="18"/>
          <w:color w:val="auto"/>
        </w:rPr>
        <w:t>The stockholders approved, on an</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basis, the compensation of the Company’s named executive officers in 2020,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244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w w:val="87"/>
              </w:rPr>
              <w:t>Votes Against</w:t>
            </w:r>
          </w:p>
        </w:tc>
        <w:tc>
          <w:tcPr>
            <w:tcW w:w="232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w w:val="86"/>
              </w:rPr>
              <w:t>Abstentions</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Broker Non-Votes</w:t>
            </w: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11,569,538</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29,764</w:t>
            </w:r>
          </w:p>
        </w:tc>
        <w:tc>
          <w:tcPr>
            <w:tcW w:w="16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1,125</w:t>
            </w:r>
          </w:p>
        </w:tc>
        <w:tc>
          <w:tcPr>
            <w:tcW w:w="1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2,165,475</w:t>
            </w:r>
          </w:p>
        </w:tc>
        <w:tc>
          <w:tcPr>
            <w:tcW w:w="6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i w:val="1"/>
          <w:iCs w:val="1"/>
          <w:color w:val="auto"/>
        </w:rPr>
        <w:t xml:space="preserve">Proposal 3 – Ratification of Independent Registered Public Accountants. </w:t>
      </w:r>
      <w:r>
        <w:rPr>
          <w:rFonts w:ascii="Arial" w:cs="Arial" w:eastAsia="Arial" w:hAnsi="Arial"/>
          <w:sz w:val="18"/>
          <w:szCs w:val="18"/>
          <w:color w:val="auto"/>
        </w:rPr>
        <w:t>The appointment of PricewaterhouseCoopers LLP as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registered public accounting firm for the 2021 fiscal year was ratified,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244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w w:val="87"/>
              </w:rPr>
              <w:t>Votes Against</w:t>
            </w:r>
          </w:p>
        </w:tc>
        <w:tc>
          <w:tcPr>
            <w:tcW w:w="232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w w:val="86"/>
              </w:rPr>
              <w:t>Abstentions</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Broker Non-Votes</w:t>
            </w: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13,762,719</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2,299</w:t>
            </w:r>
          </w:p>
        </w:tc>
        <w:tc>
          <w:tcPr>
            <w:tcW w:w="16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884</w:t>
            </w:r>
          </w:p>
        </w:tc>
        <w:tc>
          <w:tcPr>
            <w:tcW w:w="1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7"/>
                <w:szCs w:val="17"/>
                <w:color w:val="auto"/>
              </w:rPr>
            </w:pPr>
          </w:p>
        </w:tc>
      </w:tr>
    </w:tbl>
    <w:p>
      <w:pPr>
        <w:sectPr>
          <w:pgSz w:w="11900" w:h="16838" w:orient="portrait"/>
          <w:cols w:equalWidth="0" w:num="1">
            <w:col w:w="10960"/>
          </w:cols>
          <w:pgMar w:left="440" w:top="270"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Carole S. Ben-Maimon, M.D.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i w:val="1"/>
                <w:iCs w:val="1"/>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i w:val="1"/>
                <w:iCs w:val="1"/>
                <w:color w:val="auto"/>
              </w:rPr>
              <w:t>Carole S. Ben-Maimon, M.D.</w:t>
            </w:r>
          </w:p>
        </w:tc>
      </w:tr>
      <w:tr>
        <w:trPr>
          <w:trHeight w:val="230"/>
        </w:trPr>
        <w:tc>
          <w:tcPr>
            <w:tcW w:w="5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2021</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2021-05-17T06:06:59Z</dcterms:created>
  <dcterms:modified xsi:type="dcterms:W3CDTF">2021-05-17T06:06:59Z</dcterms:modified>
</cp:coreProperties>
</file>