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restart"/>
          </w:tcPr>
          <w:p>
            <w:pPr>
              <w:spacing w:after="0"/>
              <w:rPr>
                <w:rFonts w:ascii="Arial" w:cs="Arial" w:eastAsia="Arial" w:hAnsi="Arial"/>
                <w:sz w:val="21"/>
                <w:szCs w:val="21"/>
                <w:color w:val="0000EE"/>
                <w:w w:val="93"/>
              </w:rPr>
            </w:pPr>
            <w:hyperlink r:id="rId12">
              <w:r>
                <w:rPr>
                  <w:rFonts w:ascii="Arial" w:cs="Arial" w:eastAsia="Arial" w:hAnsi="Arial"/>
                  <w:sz w:val="21"/>
                  <w:szCs w:val="21"/>
                  <w:color w:val="0000EE"/>
                  <w:w w:val="93"/>
                </w:rPr>
                <w:t>Heller Frances K</w:t>
              </w:r>
            </w:hyperlink>
          </w:p>
        </w:tc>
        <w:tc>
          <w:tcPr>
            <w:tcW w:w="10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300" w:type="dxa"/>
            <w:vAlign w:val="bottom"/>
            <w:gridSpan w:val="7"/>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ZAFGEN,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ZFGN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10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3"/>
            <w:vMerge w:val="continue"/>
          </w:tcPr>
          <w:p>
            <w:pPr>
              <w:spacing w:after="0"/>
              <w:rPr>
                <w:sz w:val="2"/>
                <w:szCs w:val="2"/>
                <w:color w:val="auto"/>
              </w:rPr>
            </w:pPr>
          </w:p>
        </w:tc>
        <w:tc>
          <w:tcPr>
            <w:tcW w:w="1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tcBorders>
              <w:bottom w:val="single" w:sz="8" w:color="0000EE"/>
            </w:tcBorders>
            <w:gridSpan w:val="3"/>
            <w:vMerge w:val="continue"/>
          </w:tcPr>
          <w:p>
            <w:pPr>
              <w:spacing w:after="0"/>
              <w:rPr>
                <w:sz w:val="5"/>
                <w:szCs w:val="5"/>
                <w:color w:val="auto"/>
              </w:rPr>
            </w:pPr>
          </w:p>
        </w:tc>
        <w:tc>
          <w:tcPr>
            <w:tcW w:w="10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C/O ZAFGEN, INC., 175</w:t>
            </w:r>
          </w:p>
        </w:tc>
        <w:tc>
          <w:tcPr>
            <w:tcW w:w="1140" w:type="dxa"/>
            <w:vAlign w:val="bottom"/>
          </w:tcPr>
          <w:p>
            <w:pPr>
              <w:spacing w:after="0"/>
              <w:rPr>
                <w:sz w:val="19"/>
                <w:szCs w:val="19"/>
                <w:color w:val="auto"/>
              </w:rPr>
            </w:pP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06/30/2016</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gridSpan w:val="5"/>
            <w:vMerge w:val="restart"/>
          </w:tcPr>
          <w:p>
            <w:pPr>
              <w:spacing w:after="0"/>
              <w:rPr>
                <w:sz w:val="20"/>
                <w:szCs w:val="20"/>
                <w:color w:val="auto"/>
              </w:rPr>
            </w:pPr>
            <w:r>
              <w:rPr>
                <w:rFonts w:ascii="Arial" w:cs="Arial" w:eastAsia="Arial" w:hAnsi="Arial"/>
                <w:sz w:val="17"/>
                <w:szCs w:val="17"/>
                <w:color w:val="0000FF"/>
              </w:rPr>
              <w:t>PORTLAND STREET, 4TH FLOOR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1260" w:type="dxa"/>
            <w:vAlign w:val="bottom"/>
            <w:gridSpan w:val="2"/>
          </w:tcPr>
          <w:p>
            <w:pPr>
              <w:spacing w:after="0"/>
              <w:rPr>
                <w:sz w:val="20"/>
                <w:szCs w:val="20"/>
                <w:color w:val="auto"/>
              </w:rPr>
            </w:pPr>
            <w:r>
              <w:rPr>
                <w:rFonts w:ascii="Arial" w:cs="Arial" w:eastAsia="Arial" w:hAnsi="Arial"/>
                <w:sz w:val="17"/>
                <w:szCs w:val="17"/>
                <w:color w:val="0000FF"/>
              </w:rPr>
              <w:t>MA</w:t>
            </w:r>
          </w:p>
        </w:tc>
        <w:tc>
          <w:tcPr>
            <w:tcW w:w="1140" w:type="dxa"/>
            <w:vAlign w:val="bottom"/>
          </w:tcPr>
          <w:p>
            <w:pPr>
              <w:ind w:left="20"/>
              <w:spacing w:after="0"/>
              <w:rPr>
                <w:sz w:val="20"/>
                <w:szCs w:val="20"/>
                <w:color w:val="auto"/>
              </w:rPr>
            </w:pPr>
            <w:r>
              <w:rPr>
                <w:rFonts w:ascii="Arial" w:cs="Arial" w:eastAsia="Arial" w:hAnsi="Arial"/>
                <w:sz w:val="17"/>
                <w:szCs w:val="17"/>
                <w:color w:val="0000FF"/>
              </w:rPr>
              <w:t>02114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3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19"/>
          </w:tcPr>
          <w:p>
            <w:pPr>
              <w:ind w:left="8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5"/>
          </w:tcPr>
          <w:p>
            <w:pPr>
              <w:spacing w:after="0"/>
              <w:rPr>
                <w:sz w:val="7"/>
                <w:szCs w:val="7"/>
                <w:color w:val="auto"/>
              </w:rPr>
            </w:pPr>
          </w:p>
        </w:tc>
        <w:tc>
          <w:tcPr>
            <w:tcW w:w="1360" w:type="dxa"/>
            <w:vAlign w:val="bottom"/>
            <w:tcBorders>
              <w:bottom w:val="single" w:sz="8" w:color="2C2C2C"/>
            </w:tcBorders>
            <w:gridSpan w:val="3"/>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26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9"/>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5.99</w:t>
            </w:r>
          </w:p>
        </w:tc>
        <w:tc>
          <w:tcPr>
            <w:tcW w:w="200" w:type="dxa"/>
            <w:vAlign w:val="bottom"/>
          </w:tcPr>
          <w:p>
            <w:pPr>
              <w:spacing w:after="0"/>
              <w:rPr>
                <w:sz w:val="17"/>
                <w:szCs w:val="17"/>
                <w:color w:val="auto"/>
              </w:rPr>
            </w:pPr>
          </w:p>
        </w:tc>
        <w:tc>
          <w:tcPr>
            <w:tcW w:w="1060" w:type="dxa"/>
            <w:vAlign w:val="bottom"/>
          </w:tcPr>
          <w:p>
            <w:pPr>
              <w:ind w:left="200"/>
              <w:spacing w:after="0"/>
              <w:rPr>
                <w:sz w:val="20"/>
                <w:szCs w:val="20"/>
                <w:color w:val="auto"/>
              </w:rPr>
            </w:pPr>
            <w:r>
              <w:rPr>
                <w:rFonts w:ascii="Arial" w:cs="Arial" w:eastAsia="Arial" w:hAnsi="Arial"/>
                <w:sz w:val="13"/>
                <w:szCs w:val="13"/>
                <w:color w:val="0000FF"/>
              </w:rPr>
              <w:t>06/30/2016</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12,000</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06/30/2026</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12,000</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12,000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2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options were issued under the nonemployee director compensation policy and will vest in full upon the earlier of June 30, 2017 or the date of the 2017 annual meeting of stockholders, subject to the director's continued service on the board of directors.</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Laurie Burlingame,</w:t>
            </w:r>
          </w:p>
        </w:tc>
        <w:tc>
          <w:tcPr>
            <w:tcW w:w="7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07/01/2016</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Arial" w:cs="Arial" w:eastAsia="Arial" w:hAnsi="Arial"/>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41724"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2019-12-08T12:22:23Z</dcterms:created>
  <dcterms:modified xsi:type="dcterms:W3CDTF">2019-12-08T12:22:23Z</dcterms:modified>
</cp:coreProperties>
</file>