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460" w:type="dxa"/>
        <w:tblCellMar>
          <w:top w:w="0" w:type="dxa"/>
          <w:left w:w="0" w:type="dxa"/>
          <w:bottom w:w="0" w:type="dxa"/>
          <w:right w:w="0" w:type="dxa"/>
        </w:tblCellMar>
      </w:tblPr>
      <w:tr>
        <w:trPr>
          <w:trHeight w:val="142"/>
        </w:trPr>
        <w:tc>
          <w:tcPr>
            <w:tcW w:w="2040" w:type="dxa"/>
            <w:vAlign w:val="bottom"/>
          </w:tcPr>
          <w:p>
            <w:pPr>
              <w:jc w:val="center"/>
              <w:ind w:right="74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4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001-36510</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20-3857670</w:t>
            </w:r>
          </w:p>
        </w:tc>
      </w:tr>
      <w:tr>
        <w:trPr>
          <w:trHeight w:val="99"/>
        </w:trPr>
        <w:tc>
          <w:tcPr>
            <w:tcW w:w="2040" w:type="dxa"/>
            <w:vAlign w:val="bottom"/>
          </w:tcPr>
          <w:p>
            <w:pPr>
              <w:jc w:val="center"/>
              <w:ind w:right="748"/>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240" w:type="dxa"/>
            <w:vAlign w:val="bottom"/>
          </w:tcPr>
          <w:p>
            <w:pPr>
              <w:ind w:left="82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040" w:type="dxa"/>
            <w:vAlign w:val="bottom"/>
          </w:tcPr>
          <w:p>
            <w:pPr>
              <w:jc w:val="center"/>
              <w:ind w:right="748"/>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2240" w:type="dxa"/>
            <w:vAlign w:val="bottom"/>
          </w:tcPr>
          <w:p>
            <w:pPr>
              <w:ind w:left="8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28" w:lineRule="exact"/>
        <w:rPr>
          <w:sz w:val="24"/>
          <w:szCs w:val="24"/>
          <w:color w:val="auto"/>
        </w:rPr>
      </w:pPr>
    </w:p>
    <w:p>
      <w:pPr>
        <w:sectPr>
          <w:pgSz w:w="11900" w:h="16838" w:orient="portrait"/>
          <w:cols w:equalWidth="0" w:num="1">
            <w:col w:w="9019"/>
          </w:cols>
          <w:pgMar w:left="1440" w:top="288" w:right="1440" w:bottom="1440" w:gutter="0" w:footer="0" w:header="0"/>
        </w:sectPr>
      </w:pPr>
    </w:p>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Three Bala Plaza East. Suite 506</w:t>
      </w:r>
    </w:p>
    <w:p>
      <w:pPr>
        <w:spacing w:after="0" w:line="3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479"/>
        <w:spacing w:after="0"/>
        <w:rPr>
          <w:sz w:val="20"/>
          <w:szCs w:val="20"/>
          <w:color w:val="auto"/>
        </w:rPr>
      </w:pPr>
      <w:r>
        <w:rPr>
          <w:rFonts w:ascii="Times New Roman" w:cs="Times New Roman" w:eastAsia="Times New Roman" w:hAnsi="Times New Roman"/>
          <w:sz w:val="12"/>
          <w:szCs w:val="12"/>
          <w:b w:val="1"/>
          <w:bCs w:val="1"/>
          <w:color w:val="auto"/>
        </w:rPr>
        <w:t>19004</w:t>
      </w:r>
    </w:p>
    <w:p>
      <w:pPr>
        <w:spacing w:after="0" w:line="20" w:lineRule="exact"/>
        <w:rPr>
          <w:sz w:val="24"/>
          <w:szCs w:val="24"/>
          <w:color w:val="auto"/>
        </w:rPr>
      </w:pPr>
    </w:p>
    <w:p>
      <w:pPr>
        <w:sectPr>
          <w:pgSz w:w="11900" w:h="16838" w:orient="portrait"/>
          <w:cols w:equalWidth="0" w:num="2">
            <w:col w:w="5520" w:space="720"/>
            <w:col w:w="2779"/>
          </w:cols>
          <w:pgMar w:left="1440" w:top="288" w:right="1440"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109" w:lineRule="exact"/>
        <w:rPr>
          <w:sz w:val="24"/>
          <w:szCs w:val="24"/>
          <w:color w:val="auto"/>
        </w:rPr>
      </w:pPr>
    </w:p>
    <w:p>
      <w:pPr>
        <w:sectPr>
          <w:pgSz w:w="11900" w:h="16838" w:orient="portrait"/>
          <w:cols w:equalWidth="0" w:num="2">
            <w:col w:w="5460" w:space="720"/>
            <w:col w:w="2839"/>
          </w:cols>
          <w:pgMar w:left="1440" w:top="28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(844) 511-9056</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137160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7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Attached as Exhibit 99.1, and furnished for the purposes of Regulation FD, is a presentation that Larimar Therapeutics, Inc. (the “</w:t>
      </w:r>
      <w:r>
        <w:rPr>
          <w:rFonts w:ascii="Times New Roman" w:cs="Times New Roman" w:eastAsia="Times New Roman" w:hAnsi="Times New Roman"/>
          <w:sz w:val="12"/>
          <w:szCs w:val="12"/>
          <w:u w:val="single" w:color="auto"/>
          <w:color w:val="auto"/>
        </w:rPr>
        <w:t>Company”) will post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on its website on December 8, 2020. Representatives of the Company will use the presentation in various meetings with investors, analysts and other parties from time to time.</w:t>
      </w:r>
    </w:p>
    <w:p>
      <w:pPr>
        <w:spacing w:after="0" w:line="119" w:lineRule="exact"/>
        <w:rPr>
          <w:sz w:val="20"/>
          <w:szCs w:val="20"/>
          <w:color w:val="auto"/>
        </w:rPr>
      </w:pPr>
    </w:p>
    <w:p>
      <w:pPr>
        <w:ind w:left="840" w:right="959"/>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(including Exhibit 99.1) is being furnished solely to satisfy the requirements of Regulation FD and shall not be deemed to be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nor shall it be deemed to be incorporated by reference in any filing under the Securities Act of 1933, as amended, or the Exchange Act.</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2"/>
          <w:szCs w:val="12"/>
          <w:color w:val="auto"/>
        </w:rPr>
        <w:t>On December 8, 2020, the Company issued a press release announcing the completion of dosing of the Company’s Phase 1 single ascending dose (SAD) study evaluating CTI-1601 as a treatment for Friedreich’s Ataxia (FA) and provided additional updates regarding the status of a multiple ascending dose (MAD) FA study, the timing of Phase 1 topline results, and future activities planned for 2021. A copy of this press release is filed as Exhibit 99.2 hereto and incorporated herein by reference.</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Below is a list of exhibits included with this Current Report on Form 8-K.</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b w:val="1"/>
          <w:bCs w:val="1"/>
          <w:color w:val="auto"/>
        </w:rPr>
        <w:t>Exhibit</w:t>
      </w:r>
    </w:p>
    <w:p>
      <w:pPr>
        <w:ind w:left="920"/>
        <w:spacing w:after="0" w:line="236" w:lineRule="auto"/>
        <w:tabs>
          <w:tab w:leader="none" w:pos="140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1" w:lineRule="exact"/>
        <w:rPr>
          <w:sz w:val="20"/>
          <w:szCs w:val="20"/>
          <w:color w:val="auto"/>
        </w:rPr>
      </w:pPr>
    </w:p>
    <w:p>
      <w:pPr>
        <w:ind w:left="840"/>
        <w:spacing w:after="0"/>
        <w:tabs>
          <w:tab w:leader="none" w:pos="140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99.1</w:t>
      </w:r>
      <w:r>
        <w:rPr>
          <w:sz w:val="20"/>
          <w:szCs w:val="20"/>
          <w:color w:val="auto"/>
        </w:rPr>
        <w:tab/>
      </w:r>
      <w:hyperlink w:anchor="page4">
        <w:r>
          <w:rPr>
            <w:rFonts w:ascii="Times New Roman" w:cs="Times New Roman" w:eastAsia="Times New Roman" w:hAnsi="Times New Roman"/>
            <w:sz w:val="11"/>
            <w:szCs w:val="11"/>
            <w:u w:val="single" w:color="auto"/>
            <w:color w:val="0000EE"/>
          </w:rPr>
          <w:t>Larimar Therapeutics, Inc. Corporate Presentation, dated December 8, 2020**</w:t>
        </w:r>
      </w:hyperlink>
    </w:p>
    <w:p>
      <w:pPr>
        <w:spacing w:after="0" w:line="78" w:lineRule="exact"/>
        <w:rPr>
          <w:sz w:val="20"/>
          <w:szCs w:val="20"/>
          <w:color w:val="auto"/>
        </w:rPr>
      </w:pPr>
    </w:p>
    <w:p>
      <w:pPr>
        <w:ind w:left="840"/>
        <w:spacing w:after="0"/>
        <w:tabs>
          <w:tab w:leader="none" w:pos="140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99.2</w:t>
      </w:r>
      <w:r>
        <w:rPr>
          <w:sz w:val="20"/>
          <w:szCs w:val="20"/>
          <w:color w:val="auto"/>
        </w:rPr>
        <w:tab/>
      </w:r>
      <w:hyperlink w:anchor="page35">
        <w:r>
          <w:rPr>
            <w:rFonts w:ascii="Times New Roman" w:cs="Times New Roman" w:eastAsia="Times New Roman" w:hAnsi="Times New Roman"/>
            <w:sz w:val="11"/>
            <w:szCs w:val="11"/>
            <w:u w:val="single" w:color="auto"/>
            <w:color w:val="0000EE"/>
          </w:rPr>
          <w:t>Press Release of Larimar Therapeutics, Inc., dated December 8, 2020*</w:t>
        </w:r>
      </w:hyperlink>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Filed herewith.</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Furnished herewith.</w:t>
      </w:r>
    </w:p>
    <w:p>
      <w:pPr>
        <w:sectPr>
          <w:pgSz w:w="11900" w:h="16838" w:orient="portrait"/>
          <w:cols w:equalWidth="0" w:num="1">
            <w:col w:w="9019"/>
          </w:cols>
          <w:pgMar w:left="1440" w:top="22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Larimar Therapeutics, Inc.</w:t>
      </w:r>
    </w:p>
    <w:p>
      <w:pPr>
        <w:spacing w:after="0" w:line="150"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Carole S. Ben-Maimon, M.D.</w:t>
            </w:r>
          </w:p>
        </w:tc>
      </w:tr>
      <w:tr>
        <w:trPr>
          <w:trHeight w:val="129"/>
        </w:trPr>
        <w:tc>
          <w:tcPr>
            <w:tcW w:w="3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Name:</w:t>
            </w:r>
          </w:p>
        </w:tc>
        <w:tc>
          <w:tcPr>
            <w:tcW w:w="256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Carole S. Ben-Maimon, M.D.</w:t>
            </w:r>
          </w:p>
        </w:tc>
      </w:tr>
      <w:tr>
        <w:trPr>
          <w:trHeight w:val="157"/>
        </w:trPr>
        <w:tc>
          <w:tcPr>
            <w:tcW w:w="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bl>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December 8, 2020</w:t>
      </w:r>
    </w:p>
    <w:p>
      <w:pPr>
        <w:sectPr>
          <w:pgSz w:w="11900" w:h="16838" w:orient="portrait"/>
          <w:cols w:equalWidth="0" w:num="1">
            <w:col w:w="9019"/>
          </w:cols>
          <w:pgMar w:left="1440" w:top="224"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1062990" cy="371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2990"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Larimar Therapeutics Announces Completion of Dosing of the Single Ascending Dose Clinical Trial in Friedreich’s Ataxia Patients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Provides Program Update</w:t>
      </w:r>
    </w:p>
    <w:p>
      <w:pPr>
        <w:spacing w:after="0" w:line="155" w:lineRule="exact"/>
        <w:rPr>
          <w:sz w:val="20"/>
          <w:szCs w:val="20"/>
          <w:color w:val="auto"/>
        </w:rPr>
      </w:pPr>
    </w:p>
    <w:p>
      <w:pPr>
        <w:ind w:left="1480" w:hanging="360"/>
        <w:spacing w:after="0"/>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Preliminary data suggest that single subcutaneous injections of CTI-1601 were well tolerated at doses up to 100 mg</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Company remains on track to report topline data from placebo-controlled single and multiple ascending dose clinical trials in Q2 2021</w:t>
      </w:r>
    </w:p>
    <w:p>
      <w:pPr>
        <w:spacing w:after="0" w:line="148" w:lineRule="exact"/>
        <w:rPr>
          <w:sz w:val="20"/>
          <w:szCs w:val="20"/>
          <w:color w:val="auto"/>
        </w:rPr>
      </w:pPr>
    </w:p>
    <w:p>
      <w:pPr>
        <w:jc w:val="both"/>
        <w:ind w:left="840" w:right="91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Bala Cynwyd, PA, </w:t>
      </w:r>
      <w:r>
        <w:rPr>
          <w:rFonts w:ascii="Times New Roman" w:cs="Times New Roman" w:eastAsia="Times New Roman" w:hAnsi="Times New Roman"/>
          <w:sz w:val="12"/>
          <w:szCs w:val="12"/>
          <w:color w:val="auto"/>
        </w:rPr>
        <w:t>December 8, 2020 – Larimar Therapeutics, Inc. (“Larimar”) (Nasdaq: LRMR), a clinical-stage biotechnology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treatments for complex rare diseases, today announced the completion of dosing from the Company’s Phase 1 single ascending dose (SAD) clinical trial (n=28) evaluating CTI-1601 as a treatment for Friedreich’s ataxia (FA) and provided additional updates regarding the status of an ongoing multiple ascending dose (MAD) clinical trial, the timing of Phase 1 topline results, and future activities planned for 2021.</w:t>
      </w:r>
    </w:p>
    <w:p>
      <w:pPr>
        <w:spacing w:after="0" w:line="121" w:lineRule="exact"/>
        <w:rPr>
          <w:sz w:val="20"/>
          <w:szCs w:val="20"/>
          <w:color w:val="auto"/>
        </w:rPr>
      </w:pPr>
    </w:p>
    <w:p>
      <w:pPr>
        <w:ind w:left="840" w:right="959"/>
        <w:spacing w:after="0" w:line="260" w:lineRule="auto"/>
        <w:rPr>
          <w:sz w:val="20"/>
          <w:szCs w:val="20"/>
          <w:color w:val="auto"/>
        </w:rPr>
      </w:pPr>
      <w:r>
        <w:rPr>
          <w:rFonts w:ascii="Times New Roman" w:cs="Times New Roman" w:eastAsia="Times New Roman" w:hAnsi="Times New Roman"/>
          <w:sz w:val="12"/>
          <w:szCs w:val="12"/>
          <w:color w:val="auto"/>
        </w:rPr>
        <w:t>A Safety Review Committee reviewed preliminary blinded data after each cohort of the placebo-controlled SAD clinical trial and recommended continuation of the trial. Dosing has been completed and based on preliminary data, single subcutaneous injections of CTI-1601 at doses up to 100 mg are thought to have been well tolerated. Injection site adverse events were mild and transient, and no serious adverse events were reported. Analysis of clinical trial results remains ongoing.</w:t>
      </w:r>
    </w:p>
    <w:p>
      <w:pPr>
        <w:spacing w:after="0" w:line="122"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“At all doses tested, the Phase 1 SAD data support further investigation of CTI-1601,” said Nancy M. Ruiz, MD, Chief Medical Officer of Larimar. “FA is a rare and progressive disease that has a devastating impact on patient quality of life and mortality. Current treatment options are limited to symptom management. These preliminary Phase 1 findings represent a critical step forward in developing CTI-1601 as a potential frataxin replacement therapy for patients with FA and we look forward to its continued advancement through the clinic.”</w:t>
      </w:r>
    </w:p>
    <w:p>
      <w:pPr>
        <w:spacing w:after="0" w:line="122" w:lineRule="exact"/>
        <w:rPr>
          <w:sz w:val="20"/>
          <w:szCs w:val="20"/>
          <w:color w:val="auto"/>
        </w:rPr>
      </w:pPr>
    </w:p>
    <w:p>
      <w:pPr>
        <w:ind w:left="840" w:right="959"/>
        <w:spacing w:after="0" w:line="265" w:lineRule="auto"/>
        <w:rPr>
          <w:sz w:val="20"/>
          <w:szCs w:val="20"/>
          <w:color w:val="auto"/>
        </w:rPr>
      </w:pPr>
      <w:r>
        <w:rPr>
          <w:rFonts w:ascii="Times New Roman" w:cs="Times New Roman" w:eastAsia="Times New Roman" w:hAnsi="Times New Roman"/>
          <w:sz w:val="12"/>
          <w:szCs w:val="12"/>
          <w:color w:val="auto"/>
        </w:rPr>
        <w:t>Eligible participants from the SAD trial may enroll in an ongoing double-blind, placebo-controlled, MAD clinical trial. To date, dosing of the first two MAD cohorts has been completed, with dosing of the third cohort expected to begin in the first quarter of 2021. Larimar expects to report unblinded topline data from both the SAD and MAD trials in the second quarter of 2021.</w:t>
      </w:r>
    </w:p>
    <w:p>
      <w:pPr>
        <w:spacing w:after="0" w:line="119" w:lineRule="exact"/>
        <w:rPr>
          <w:sz w:val="20"/>
          <w:szCs w:val="20"/>
          <w:color w:val="auto"/>
        </w:rPr>
      </w:pPr>
    </w:p>
    <w:p>
      <w:pPr>
        <w:ind w:left="840" w:right="999"/>
        <w:spacing w:after="0" w:line="279" w:lineRule="auto"/>
        <w:rPr>
          <w:sz w:val="20"/>
          <w:szCs w:val="20"/>
          <w:color w:val="auto"/>
        </w:rPr>
      </w:pPr>
      <w:r>
        <w:rPr>
          <w:rFonts w:ascii="Times New Roman" w:cs="Times New Roman" w:eastAsia="Times New Roman" w:hAnsi="Times New Roman"/>
          <w:sz w:val="12"/>
          <w:szCs w:val="12"/>
          <w:color w:val="auto"/>
        </w:rPr>
        <w:t>Patients completing the SAD and/or MAD clinical trials are eligible to screen for an open-label extension clinical trial, which is expected to initiate in the second half of 2021. Larimar also expects to initiate a MAD clinical trial in patients under 18 years of age in the second half of 2021.</w:t>
      </w:r>
    </w:p>
    <w:p>
      <w:pPr>
        <w:spacing w:after="0" w:line="111" w:lineRule="exact"/>
        <w:rPr>
          <w:sz w:val="20"/>
          <w:szCs w:val="20"/>
          <w:color w:val="auto"/>
        </w:rPr>
      </w:pPr>
    </w:p>
    <w:p>
      <w:pPr>
        <w:ind w:left="840" w:right="879"/>
        <w:spacing w:after="0" w:line="256" w:lineRule="auto"/>
        <w:rPr>
          <w:sz w:val="20"/>
          <w:szCs w:val="20"/>
          <w:color w:val="auto"/>
        </w:rPr>
      </w:pPr>
      <w:r>
        <w:rPr>
          <w:rFonts w:ascii="Times New Roman" w:cs="Times New Roman" w:eastAsia="Times New Roman" w:hAnsi="Times New Roman"/>
          <w:sz w:val="12"/>
          <w:szCs w:val="12"/>
          <w:color w:val="auto"/>
        </w:rPr>
        <w:t>Carole Ben-Maimon, MD, President and Chief Executive Officer of Larimar, commented, “That our Phase 1 program remains on track for topline data in the second quarter of 2021 despite the industry-wide challenges posed by COVID-19 is a testament to the talent and unwavering commitment of our employees, partners, and investigators. Their hard work has allowed us to advance CTI-1601’s clinical development without compromising the safety of our patients. These patients have shown a steadfast dedication to our clinical trials despite the pandemic, and for this we are extremely grateful. Looking forward, the safety of patients and employees will remain our top priority as we work to execute on clinical and corporate milestones in pursuit of our goal of developing this FA therapy.”</w:t>
      </w:r>
    </w:p>
    <w:p>
      <w:pPr>
        <w:sectPr>
          <w:pgSz w:w="11900" w:h="16838" w:orient="portrait"/>
          <w:cols w:equalWidth="0" w:num="1">
            <w:col w:w="9019"/>
          </w:cols>
          <w:pgMar w:left="1440" w:top="125" w:right="1440"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7145"/>
                    </a:xfrm>
                    <a:prstGeom prst="rect">
                      <a:avLst/>
                    </a:prstGeom>
                    <a:noFill/>
                  </pic:spPr>
                </pic:pic>
              </a:graphicData>
            </a:graphic>
          </wp:anchor>
        </w:drawing>
        <w:t>About the Phase 1 Single Ascending Dose (SAD) Clinical Trial</w:t>
      </w:r>
    </w:p>
    <w:p>
      <w:pPr>
        <w:spacing w:after="0" w:line="82" w:lineRule="exact"/>
        <w:rPr>
          <w:sz w:val="20"/>
          <w:szCs w:val="20"/>
          <w:color w:val="auto"/>
        </w:rPr>
      </w:pPr>
    </w:p>
    <w:p>
      <w:pPr>
        <w:ind w:left="840" w:right="859"/>
        <w:spacing w:after="0" w:line="256" w:lineRule="auto"/>
        <w:rPr>
          <w:sz w:val="20"/>
          <w:szCs w:val="20"/>
          <w:color w:val="auto"/>
        </w:rPr>
      </w:pPr>
      <w:r>
        <w:rPr>
          <w:rFonts w:ascii="Times New Roman" w:cs="Times New Roman" w:eastAsia="Times New Roman" w:hAnsi="Times New Roman"/>
          <w:sz w:val="12"/>
          <w:szCs w:val="12"/>
          <w:color w:val="auto"/>
        </w:rPr>
        <w:t>The Phase 1 SAD clinical trial is a double-blind, placebo-controlled, randomized clinical trial to assess the safety of subcutaneously administered CTI-1601 versus placebo in adult subjects with Friedreich’s ataxia (FA). Subjects receive either placebo or treatment consisting of 25 mg, 50 mg, 75 mg, or 100 mg of CTI-1601. The primary objective is to assess the safety and tolerability of single ascending doses of CTI-1601 in subjects with FA. Key secondary endpoints include pharmacokinetic and pharmacodynamic analyses following increasing single doses of subcutaneously administered CTI-1601. Patients from the SAD trial are eligible to screen for an ongoing MAD clinical trial and/or an open-label extension trial that is expected to initiate in the second half of 2021.</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the Phase 1 Multiple Ascending Dose (MAD) Clinical Trial</w:t>
      </w:r>
    </w:p>
    <w:p>
      <w:pPr>
        <w:spacing w:after="0" w:line="82"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The Phase 1 MAD clinical trial is a double-blind, placebo-controlled, randomized clinical trial to assess the safety of subcutaneously administered CTI-1601 versus placebo in adult subjects with Friedreich’s ataxia (FA). The primary objective is to assess the safety and tolerability of multiple ascending doses of CTI-1601 in subjects with FA. Key secondary endpoints include pharmacokinetic and pharmacodynamic analyses following increasing multiple doses of subcutaneously administered CTI-1601. Two cohorts of dosing have been completed and the third cohort is expected to begin dosing in the first quarter of 2021. Patients from the MAD trial are eligible to screen for an open-label extension trial that is expected to initiate in the second half of 2021.</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CTI-1601</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CTI-1601 is a recombinant fusion protein intended to deliver human frataxin into the mitochondria of patients with Friedreich’s ataxia who are unable to produce enough of this essential protein. Currently in Phase 1 clinical trials in the U.S., CTI-1601 has been granted Rare Pediatric Disease designation, Fast Track designation and Orphan Drug designation by the U.S. Food and Drug Administration (FDA) and orphan drug designation by the European Commission. Topline results from the Phase 1 clinical program are planned for the second quarter of 2021.</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Larimar Therapeutics</w:t>
      </w:r>
    </w:p>
    <w:p>
      <w:pPr>
        <w:spacing w:after="0" w:line="82"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 xml:space="preserve">Larimar Therapeutics, Inc. (Nasdaq: LRMR), is a clinical-stage biotechnology company focused on developing treatments for complex rare diseases. The company’s lead compound, CTI-1601, is currently being evaluated in a Phase 1 clinical program in the U.S.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Times New Roman" w:cs="Times New Roman" w:eastAsia="Times New Roman" w:hAnsi="Times New Roman"/>
          <w:sz w:val="12"/>
          <w:szCs w:val="12"/>
          <w:u w:val="single" w:color="auto"/>
          <w:color w:val="auto"/>
        </w:rPr>
        <w:t>https://larimartx.com</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jc w:val="both"/>
        <w:ind w:left="840" w:right="899"/>
        <w:spacing w:after="0" w:line="257"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ectPr>
          <w:pgSz w:w="11900" w:h="16838" w:orient="portrait"/>
          <w:cols w:equalWidth="0" w:num="1">
            <w:col w:w="9019"/>
          </w:cols>
          <w:pgMar w:left="1440" w:top="224" w:right="1440" w:bottom="1440" w:gutter="0" w:footer="0" w:header="0"/>
        </w:sectPr>
      </w:pPr>
    </w:p>
    <w:bookmarkStart w:id="36" w:name="page37"/>
    <w:bookmarkEnd w:id="36"/>
    <w:p>
      <w:pPr>
        <w:ind w:left="840" w:right="839"/>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studies and clinical trials, including CTI-1601 clinical milestones, and risk that preliminary clinical data may not be indicative of final results or predict the results of later nonclinical or clinical trials; the ongoing impact of the COVID-19 pandemic on Larimar’s clinical trial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successfully commercialize any approved product candidates; Larimar’s ability to raise the necessary capital to conduct its product development activities; and other risks described in the filings made by the Company with the Securities and Exchange Commission (SEC), including but not limited to Larimar’s periodic reports, including the annual report on Form 10-K, quarterly reports on Form 10-Q and current reports on Form 8-K, filed with or furnished to the Securities and Exchange Commission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Joyce Allaire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LifeSci Advisors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jallaire@lifesciadvisors.com</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(212) 915-2569</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Gina Cestari</w:t>
      </w:r>
    </w:p>
    <w:p>
      <w:pPr>
        <w:spacing w:after="0" w:line="17" w:lineRule="exact"/>
        <w:rPr>
          <w:sz w:val="20"/>
          <w:szCs w:val="20"/>
          <w:color w:val="auto"/>
        </w:rPr>
      </w:pPr>
    </w:p>
    <w:p>
      <w:pPr>
        <w:ind w:left="840" w:right="6939" w:hanging="8"/>
        <w:spacing w:after="0" w:line="289" w:lineRule="auto"/>
        <w:tabs>
          <w:tab w:leader="none" w:pos="93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Degrees gcestari@6degreespr.com (917) 797-7904</w:t>
      </w:r>
    </w:p>
    <w:sectPr>
      <w:pgSz w:w="11900" w:h="16838" w:orient="portrait"/>
      <w:cols w:equalWidth="0" w:num="1">
        <w:col w:w="9019"/>
      </w:cols>
      <w:pgMar w:left="1440" w:top="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6"/>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2020-12-08T06:43:17Z</dcterms:created>
  <dcterms:modified xsi:type="dcterms:W3CDTF">2020-12-08T06:43:17Z</dcterms:modified>
</cp:coreProperties>
</file>