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SCHEDULE 13G</w:t>
      </w: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(Amendment No. 1)</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Larimar Therapeutics Inc.</w:t>
      </w:r>
    </w:p>
    <w:p>
      <w:pPr>
        <w:spacing w:after="0" w:line="60"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(Name of Issuer)</w:t>
      </w:r>
    </w:p>
    <w:p>
      <w:pPr>
        <w:spacing w:after="0" w:line="318"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Common Stock, par value $0.001 per share</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(Title of Class of Securities)</w:t>
      </w:r>
    </w:p>
    <w:p>
      <w:pPr>
        <w:spacing w:after="0" w:line="308"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517125100</w:t>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(CUSIP Number)</w:t>
      </w:r>
    </w:p>
    <w:p>
      <w:pPr>
        <w:spacing w:after="0" w:line="302"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December 31, 2021</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(Date of Event Which Requires Filing of this Statement)</w:t>
      </w:r>
    </w:p>
    <w:p>
      <w:pPr>
        <w:spacing w:after="0" w:line="308"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10" w:lineRule="exact"/>
        <w:rPr>
          <w:sz w:val="24"/>
          <w:szCs w:val="24"/>
          <w:color w:val="auto"/>
        </w:rPr>
      </w:pPr>
    </w:p>
    <w:p>
      <w:pPr>
        <w:spacing w:after="0"/>
        <w:tabs>
          <w:tab w:leader="none" w:pos="60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X</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Rule 13d-1(b)</w:t>
      </w:r>
    </w:p>
    <w:p>
      <w:pPr>
        <w:spacing w:after="0" w:line="222" w:lineRule="exact"/>
        <w:rPr>
          <w:sz w:val="24"/>
          <w:szCs w:val="24"/>
          <w:color w:val="auto"/>
        </w:rPr>
      </w:pPr>
    </w:p>
    <w:p>
      <w:pPr>
        <w:ind w:left="780" w:hanging="124"/>
        <w:spacing w:after="0"/>
        <w:tabs>
          <w:tab w:leader="none" w:pos="780" w:val="left"/>
        </w:tabs>
        <w:numPr>
          <w:ilvl w:val="1"/>
          <w:numId w:val="1"/>
        </w:numPr>
        <w:rPr>
          <w:rFonts w:ascii="Arial" w:cs="Arial" w:eastAsia="Arial" w:hAnsi="Arial"/>
          <w:sz w:val="20"/>
          <w:szCs w:val="20"/>
          <w:color w:val="auto"/>
        </w:rPr>
      </w:pPr>
      <w:r>
        <w:rPr>
          <w:rFonts w:ascii="Arial" w:cs="Arial" w:eastAsia="Arial" w:hAnsi="Arial"/>
          <w:sz w:val="20"/>
          <w:szCs w:val="20"/>
          <w:color w:val="auto"/>
        </w:rPr>
        <w:t>]    Rule 13d-1(c)</w:t>
      </w:r>
    </w:p>
    <w:p>
      <w:pPr>
        <w:spacing w:after="0" w:line="215" w:lineRule="exact"/>
        <w:rPr>
          <w:rFonts w:ascii="Arial" w:cs="Arial" w:eastAsia="Arial" w:hAnsi="Arial"/>
          <w:sz w:val="20"/>
          <w:szCs w:val="20"/>
          <w:color w:val="auto"/>
        </w:rPr>
      </w:pPr>
    </w:p>
    <w:p>
      <w:pPr>
        <w:ind w:left="780" w:hanging="124"/>
        <w:spacing w:after="0"/>
        <w:tabs>
          <w:tab w:leader="none" w:pos="780" w:val="left"/>
        </w:tabs>
        <w:numPr>
          <w:ilvl w:val="1"/>
          <w:numId w:val="1"/>
        </w:numPr>
        <w:rPr>
          <w:rFonts w:ascii="Arial" w:cs="Arial" w:eastAsia="Arial" w:hAnsi="Arial"/>
          <w:sz w:val="20"/>
          <w:szCs w:val="20"/>
          <w:color w:val="auto"/>
        </w:rPr>
      </w:pPr>
      <w:r>
        <w:rPr>
          <w:rFonts w:ascii="Arial" w:cs="Arial" w:eastAsia="Arial" w:hAnsi="Arial"/>
          <w:sz w:val="20"/>
          <w:szCs w:val="20"/>
          <w:color w:val="auto"/>
        </w:rPr>
        <w:t>]    Rule 13d-1(d)</w:t>
      </w:r>
    </w:p>
    <w:p>
      <w:pPr>
        <w:spacing w:after="0" w:line="215" w:lineRule="exact"/>
        <w:rPr>
          <w:rFonts w:ascii="Arial" w:cs="Arial" w:eastAsia="Arial" w:hAnsi="Arial"/>
          <w:sz w:val="20"/>
          <w:szCs w:val="20"/>
          <w:color w:val="auto"/>
        </w:rPr>
      </w:pPr>
    </w:p>
    <w:p>
      <w:pPr>
        <w:ind w:right="340"/>
        <w:spacing w:after="0" w:line="316" w:lineRule="auto"/>
        <w:rPr>
          <w:rFonts w:ascii="Arial" w:cs="Arial" w:eastAsia="Arial" w:hAnsi="Arial"/>
          <w:sz w:val="20"/>
          <w:szCs w:val="20"/>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0"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ind w:right="280"/>
        <w:spacing w:after="0" w:line="267" w:lineRule="auto"/>
        <w:rPr>
          <w:sz w:val="20"/>
          <w:szCs w:val="20"/>
          <w:color w:val="auto"/>
        </w:rPr>
      </w:pPr>
      <w:r>
        <w:rPr>
          <w:rFonts w:ascii="Arial" w:cs="Arial" w:eastAsia="Arial" w:hAnsi="Arial"/>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225"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517125100</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Acuta Capital Partners, LLC</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2"/>
        </w:numPr>
        <w:rPr>
          <w:rFonts w:ascii="Arial" w:cs="Arial" w:eastAsia="Arial" w:hAnsi="Arial"/>
          <w:sz w:val="20"/>
          <w:szCs w:val="20"/>
          <w:color w:val="auto"/>
        </w:rPr>
      </w:pPr>
      <w:r>
        <w:rPr>
          <w:rFonts w:ascii="Arial" w:cs="Arial" w:eastAsia="Arial" w:hAnsi="Arial"/>
          <w:sz w:val="20"/>
          <w:szCs w:val="20"/>
          <w:u w:val="single" w:color="auto"/>
          <w:color w:val="auto"/>
        </w:rPr>
        <w:t>X</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w:t>
      </w:r>
    </w:p>
    <w:p>
      <w:pPr>
        <w:spacing w:after="0" w:line="229"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11"/>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9"/>
                <w:szCs w:val="9"/>
                <w:color w:val="auto"/>
              </w:rPr>
            </w:pPr>
          </w:p>
        </w:tc>
        <w:tc>
          <w:tcPr>
            <w:tcW w:w="8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160" w:type="dxa"/>
            <w:vAlign w:val="bottom"/>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882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52"/>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Beneficially</w:t>
            </w:r>
          </w:p>
        </w:tc>
        <w:tc>
          <w:tcPr>
            <w:tcW w:w="260" w:type="dxa"/>
            <w:vAlign w:val="bottom"/>
            <w:vMerge w:val="continue"/>
          </w:tcPr>
          <w:p>
            <w:pPr>
              <w:spacing w:after="0"/>
              <w:rPr>
                <w:sz w:val="13"/>
                <w:szCs w:val="13"/>
                <w:color w:val="auto"/>
              </w:rPr>
            </w:pPr>
          </w:p>
        </w:tc>
        <w:tc>
          <w:tcPr>
            <w:tcW w:w="8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160" w:type="dxa"/>
            <w:vAlign w:val="bottom"/>
          </w:tcPr>
          <w:p>
            <w:pPr>
              <w:ind w:left="100"/>
              <w:spacing w:after="0" w:line="207" w:lineRule="exact"/>
              <w:rPr>
                <w:sz w:val="20"/>
                <w:szCs w:val="20"/>
                <w:color w:val="auto"/>
              </w:rPr>
            </w:pPr>
            <w:r>
              <w:rPr>
                <w:rFonts w:ascii="Arial" w:cs="Arial" w:eastAsia="Arial" w:hAnsi="Arial"/>
                <w:sz w:val="20"/>
                <w:szCs w:val="20"/>
                <w:color w:val="auto"/>
              </w:rPr>
              <w:t>Owned by</w:t>
            </w:r>
          </w:p>
        </w:tc>
        <w:tc>
          <w:tcPr>
            <w:tcW w:w="260" w:type="dxa"/>
            <w:vAlign w:val="bottom"/>
          </w:tcPr>
          <w:p>
            <w:pPr>
              <w:jc w:val="right"/>
              <w:spacing w:after="0" w:line="207" w:lineRule="exact"/>
              <w:rPr>
                <w:sz w:val="20"/>
                <w:szCs w:val="20"/>
                <w:color w:val="auto"/>
              </w:rPr>
            </w:pPr>
            <w:r>
              <w:rPr>
                <w:rFonts w:ascii="Arial" w:cs="Arial" w:eastAsia="Arial" w:hAnsi="Arial"/>
                <w:sz w:val="20"/>
                <w:szCs w:val="20"/>
                <w:color w:val="auto"/>
              </w:rPr>
              <w:t>7.</w:t>
            </w:r>
          </w:p>
        </w:tc>
        <w:tc>
          <w:tcPr>
            <w:tcW w:w="8820" w:type="dxa"/>
            <w:vAlign w:val="bottom"/>
          </w:tcPr>
          <w:p>
            <w:pPr>
              <w:ind w:left="20"/>
              <w:spacing w:after="0" w:line="207"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25"/>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160" w:type="dxa"/>
            <w:vAlign w:val="bottom"/>
            <w:vMerge w:val="continue"/>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8.</w:t>
            </w:r>
          </w:p>
        </w:tc>
        <w:tc>
          <w:tcPr>
            <w:tcW w:w="882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65"/>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6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0</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Check if the Aggregate Amount in Row (9) Excludes Certain Shares (See Instructions)</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0.0%</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OO, IA</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3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517125100</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Anupam Dalal</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5"/>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5"/>
        </w:numPr>
        <w:rPr>
          <w:rFonts w:ascii="Arial" w:cs="Arial" w:eastAsia="Arial" w:hAnsi="Arial"/>
          <w:sz w:val="20"/>
          <w:szCs w:val="20"/>
          <w:color w:val="auto"/>
        </w:rPr>
      </w:pPr>
      <w:r>
        <w:rPr>
          <w:rFonts w:ascii="Arial" w:cs="Arial" w:eastAsia="Arial" w:hAnsi="Arial"/>
          <w:sz w:val="20"/>
          <w:szCs w:val="20"/>
          <w:u w:val="single" w:color="auto"/>
          <w:color w:val="auto"/>
        </w:rPr>
        <w:t>X</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w:t>
      </w:r>
    </w:p>
    <w:p>
      <w:pPr>
        <w:spacing w:after="0" w:line="229"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United States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11"/>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9"/>
                <w:szCs w:val="9"/>
                <w:color w:val="auto"/>
              </w:rPr>
            </w:pPr>
          </w:p>
        </w:tc>
        <w:tc>
          <w:tcPr>
            <w:tcW w:w="8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160" w:type="dxa"/>
            <w:vAlign w:val="bottom"/>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882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52"/>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Beneficially</w:t>
            </w:r>
          </w:p>
        </w:tc>
        <w:tc>
          <w:tcPr>
            <w:tcW w:w="260" w:type="dxa"/>
            <w:vAlign w:val="bottom"/>
            <w:vMerge w:val="continue"/>
          </w:tcPr>
          <w:p>
            <w:pPr>
              <w:spacing w:after="0"/>
              <w:rPr>
                <w:sz w:val="13"/>
                <w:szCs w:val="13"/>
                <w:color w:val="auto"/>
              </w:rPr>
            </w:pPr>
          </w:p>
        </w:tc>
        <w:tc>
          <w:tcPr>
            <w:tcW w:w="8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160" w:type="dxa"/>
            <w:vAlign w:val="bottom"/>
          </w:tcPr>
          <w:p>
            <w:pPr>
              <w:ind w:left="100"/>
              <w:spacing w:after="0" w:line="207" w:lineRule="exact"/>
              <w:rPr>
                <w:sz w:val="20"/>
                <w:szCs w:val="20"/>
                <w:color w:val="auto"/>
              </w:rPr>
            </w:pPr>
            <w:r>
              <w:rPr>
                <w:rFonts w:ascii="Arial" w:cs="Arial" w:eastAsia="Arial" w:hAnsi="Arial"/>
                <w:sz w:val="20"/>
                <w:szCs w:val="20"/>
                <w:color w:val="auto"/>
              </w:rPr>
              <w:t>Owned by</w:t>
            </w:r>
          </w:p>
        </w:tc>
        <w:tc>
          <w:tcPr>
            <w:tcW w:w="260" w:type="dxa"/>
            <w:vAlign w:val="bottom"/>
          </w:tcPr>
          <w:p>
            <w:pPr>
              <w:jc w:val="right"/>
              <w:spacing w:after="0" w:line="207" w:lineRule="exact"/>
              <w:rPr>
                <w:sz w:val="20"/>
                <w:szCs w:val="20"/>
                <w:color w:val="auto"/>
              </w:rPr>
            </w:pPr>
            <w:r>
              <w:rPr>
                <w:rFonts w:ascii="Arial" w:cs="Arial" w:eastAsia="Arial" w:hAnsi="Arial"/>
                <w:sz w:val="20"/>
                <w:szCs w:val="20"/>
                <w:color w:val="auto"/>
              </w:rPr>
              <w:t>7.</w:t>
            </w:r>
          </w:p>
        </w:tc>
        <w:tc>
          <w:tcPr>
            <w:tcW w:w="8820" w:type="dxa"/>
            <w:vAlign w:val="bottom"/>
          </w:tcPr>
          <w:p>
            <w:pPr>
              <w:ind w:left="20"/>
              <w:spacing w:after="0" w:line="207"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25"/>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160" w:type="dxa"/>
            <w:vAlign w:val="bottom"/>
            <w:vMerge w:val="continue"/>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8.</w:t>
            </w:r>
          </w:p>
        </w:tc>
        <w:tc>
          <w:tcPr>
            <w:tcW w:w="882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65"/>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6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0</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Check if the Aggregate Amount in Row (9) Excludes Certain Shares (See Instructions)</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0.0%</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IN, HC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3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517125100</w:t>
      </w:r>
    </w:p>
    <w:p>
      <w:pPr>
        <w:spacing w:after="0" w:line="200" w:lineRule="exact"/>
        <w:rPr>
          <w:sz w:val="20"/>
          <w:szCs w:val="20"/>
          <w:color w:val="auto"/>
        </w:rPr>
      </w:pPr>
    </w:p>
    <w:p>
      <w:pPr>
        <w:spacing w:after="0" w:line="26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w:t>
      </w:r>
      <w:r>
        <w:rPr>
          <w:sz w:val="20"/>
          <w:szCs w:val="20"/>
          <w:color w:val="auto"/>
        </w:rPr>
        <w:tab/>
      </w:r>
      <w:r>
        <w:rPr>
          <w:rFonts w:ascii="Arial" w:cs="Arial" w:eastAsia="Arial" w:hAnsi="Arial"/>
          <w:sz w:val="20"/>
          <w:szCs w:val="20"/>
          <w:b w:val="1"/>
          <w:bCs w:val="1"/>
          <w:color w:val="auto"/>
        </w:rPr>
        <w:t>1.</w:t>
      </w:r>
    </w:p>
    <w:p>
      <w:pPr>
        <w:spacing w:after="0" w:line="222"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Name of Issuer</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Larimar Therapeutics Inc.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Address of Issuer’s Principal Executive Offices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18"/>
          <w:szCs w:val="18"/>
          <w:b w:val="1"/>
          <w:bCs w:val="1"/>
          <w:color w:val="auto"/>
        </w:rPr>
        <w:t>Three Bala Plaza East, Suite 506, Bala Cynwyd, PA 19004</w:t>
      </w:r>
    </w:p>
    <w:p>
      <w:pPr>
        <w:sectPr>
          <w:pgSz w:w="11900" w:h="16838" w:orient="portrait"/>
          <w:cols w:equalWidth="0" w:num="1">
            <w:col w:w="11180"/>
          </w:cols>
          <w:pgMar w:left="320" w:top="233" w:right="39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2760"/>
        <w:spacing w:after="0" w:line="299" w:lineRule="auto"/>
        <w:rPr>
          <w:sz w:val="20"/>
          <w:szCs w:val="20"/>
          <w:color w:val="auto"/>
        </w:rPr>
      </w:pPr>
      <w:r>
        <w:rPr>
          <w:rFonts w:ascii="Arial" w:cs="Arial" w:eastAsia="Arial" w:hAnsi="Arial"/>
          <w:sz w:val="16"/>
          <w:szCs w:val="16"/>
          <w:color w:val="auto"/>
        </w:rPr>
        <w:t xml:space="preserve">________________________________________________________________________ </w:t>
      </w:r>
      <w:r>
        <w:rPr>
          <w:rFonts w:ascii="Arial" w:cs="Arial" w:eastAsia="Arial" w:hAnsi="Arial"/>
          <w:sz w:val="16"/>
          <w:szCs w:val="16"/>
          <w:b w:val="1"/>
          <w:bCs w:val="1"/>
          <w:color w:val="auto"/>
        </w:rPr>
        <w:t>2.</w:t>
      </w:r>
    </w:p>
    <w:p>
      <w:pPr>
        <w:spacing w:after="0" w:line="391" w:lineRule="exact"/>
        <w:rPr>
          <w:sz w:val="20"/>
          <w:szCs w:val="20"/>
          <w:color w:val="auto"/>
        </w:rPr>
      </w:pPr>
    </w:p>
    <w:p>
      <w:pPr>
        <w:sectPr>
          <w:pgSz w:w="11900" w:h="16838" w:orient="portrait"/>
          <w:cols w:equalWidth="0" w:num="2">
            <w:col w:w="580" w:space="720"/>
            <w:col w:w="9880"/>
          </w:cols>
          <w:pgMar w:left="320" w:top="233" w:right="399" w:bottom="1440" w:gutter="0" w:footer="0" w:header="0"/>
          <w:type w:val="continuous"/>
        </w:sectPr>
      </w:pPr>
    </w:p>
    <w:p>
      <w:pPr>
        <w:spacing w:after="0" w:line="33"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names of the persons filing this statement are:</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Acuta Capital Partners LLC (“Acuta”) and Dr. Anupam Dalal (collectively, the “Filers”).</w:t>
      </w:r>
    </w:p>
    <w:p>
      <w:pPr>
        <w:spacing w:after="0" w:line="229"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16"/>
          <w:szCs w:val="16"/>
          <w:b w:val="1"/>
          <w:bCs w:val="1"/>
          <w:color w:val="auto"/>
        </w:rPr>
        <w:t>Each Filer disclaims beneficial ownership of the Stock except to the extent of that person’s pecuniary interest therein.</w:t>
      </w:r>
    </w:p>
    <w:p>
      <w:pPr>
        <w:spacing w:after="0" w:line="281"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principal business office of the Filers is located at:</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1301 Shoreway Road, Suite 340, Belmont, CA 94002</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For citizenship of Filers, see Item 4 of the cover sheet for each Filer.</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This statement relates to the Issuer’s shares of </w:t>
      </w:r>
      <w:r>
        <w:rPr>
          <w:rFonts w:ascii="Arial" w:cs="Arial" w:eastAsia="Arial" w:hAnsi="Arial"/>
          <w:sz w:val="20"/>
          <w:szCs w:val="20"/>
          <w:b w:val="1"/>
          <w:bCs w:val="1"/>
          <w:color w:val="auto"/>
        </w:rPr>
        <w:t>Common Stock, par value $0.001 per share</w:t>
      </w:r>
      <w:r>
        <w:rPr>
          <w:rFonts w:ascii="Arial" w:cs="Arial" w:eastAsia="Arial" w:hAnsi="Arial"/>
          <w:sz w:val="20"/>
          <w:szCs w:val="20"/>
          <w:color w:val="auto"/>
        </w:rPr>
        <w:t xml:space="preserve"> (the “Stock”).</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The CUSIP number of the Issuer is: </w:t>
      </w:r>
      <w:r>
        <w:rPr>
          <w:rFonts w:ascii="Arial" w:cs="Arial" w:eastAsia="Arial" w:hAnsi="Arial"/>
          <w:sz w:val="20"/>
          <w:szCs w:val="20"/>
          <w:b w:val="1"/>
          <w:bCs w:val="1"/>
          <w:color w:val="auto"/>
        </w:rPr>
        <w:t>517125100</w:t>
      </w:r>
      <w:r>
        <w:rPr>
          <w:rFonts w:ascii="Arial" w:cs="Arial" w:eastAsia="Arial" w:hAnsi="Arial"/>
          <w:sz w:val="20"/>
          <w:szCs w:val="20"/>
          <w:color w:val="auto"/>
        </w:rPr>
        <w:t>.</w:t>
      </w:r>
    </w:p>
    <w:p>
      <w:pPr>
        <w:spacing w:after="0" w:line="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320" w:top="233" w:right="39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t>CUSIP No. 517125100</w:t>
      </w:r>
    </w:p>
    <w:p>
      <w:pPr>
        <w:spacing w:after="0" w:line="23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240.13d-1(b) or 240.13d-2(b) or (c), check whether the person filing is a:</w:t>
      </w:r>
    </w:p>
    <w:p>
      <w:pPr>
        <w:spacing w:after="0" w:line="222" w:lineRule="exact"/>
        <w:rPr>
          <w:sz w:val="20"/>
          <w:szCs w:val="20"/>
          <w:color w:val="auto"/>
        </w:rPr>
      </w:pPr>
    </w:p>
    <w:p>
      <w:pPr>
        <w:ind w:left="1960" w:hanging="1304"/>
        <w:spacing w:after="0"/>
        <w:tabs>
          <w:tab w:leader="none" w:pos="19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 Broker or dealer registered under section 15 of the Act (15 U.S.C. 78o).</w:t>
      </w:r>
    </w:p>
    <w:p>
      <w:pPr>
        <w:spacing w:after="0" w:line="215" w:lineRule="exact"/>
        <w:rPr>
          <w:rFonts w:ascii="Arial" w:cs="Arial" w:eastAsia="Arial" w:hAnsi="Arial"/>
          <w:sz w:val="20"/>
          <w:szCs w:val="20"/>
          <w:color w:val="auto"/>
        </w:rPr>
      </w:pPr>
    </w:p>
    <w:p>
      <w:pPr>
        <w:ind w:left="1960" w:hanging="1304"/>
        <w:spacing w:after="0"/>
        <w:tabs>
          <w:tab w:leader="none" w:pos="19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 Bank as defined in section 3(a)(6) of the Act (15 U.S.C. 78c).</w:t>
      </w:r>
    </w:p>
    <w:p>
      <w:pPr>
        <w:spacing w:after="0" w:line="215" w:lineRule="exact"/>
        <w:rPr>
          <w:rFonts w:ascii="Arial" w:cs="Arial" w:eastAsia="Arial" w:hAnsi="Arial"/>
          <w:sz w:val="20"/>
          <w:szCs w:val="20"/>
          <w:color w:val="auto"/>
        </w:rPr>
      </w:pPr>
    </w:p>
    <w:p>
      <w:pPr>
        <w:ind w:left="1960" w:hanging="1304"/>
        <w:spacing w:after="0"/>
        <w:tabs>
          <w:tab w:leader="none" w:pos="19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 Insurance company as defined in section 3(a)(19) of the Act (15 U.S.C. 78c).</w:t>
      </w:r>
    </w:p>
    <w:p>
      <w:pPr>
        <w:spacing w:after="0" w:line="215" w:lineRule="exact"/>
        <w:rPr>
          <w:rFonts w:ascii="Arial" w:cs="Arial" w:eastAsia="Arial" w:hAnsi="Arial"/>
          <w:sz w:val="20"/>
          <w:szCs w:val="20"/>
          <w:color w:val="auto"/>
        </w:rPr>
      </w:pPr>
    </w:p>
    <w:p>
      <w:pPr>
        <w:ind w:left="1960" w:hanging="1304"/>
        <w:spacing w:after="0"/>
        <w:tabs>
          <w:tab w:leader="none" w:pos="1960" w:val="left"/>
        </w:tabs>
        <w:numPr>
          <w:ilvl w:val="0"/>
          <w:numId w:val="10"/>
        </w:numPr>
        <w:rPr>
          <w:rFonts w:ascii="Arial" w:cs="Arial" w:eastAsia="Arial" w:hAnsi="Arial"/>
          <w:sz w:val="19"/>
          <w:szCs w:val="19"/>
          <w:color w:val="auto"/>
        </w:rPr>
      </w:pPr>
      <w:r>
        <w:rPr>
          <w:rFonts w:ascii="Arial" w:cs="Arial" w:eastAsia="Arial" w:hAnsi="Arial"/>
          <w:sz w:val="19"/>
          <w:szCs w:val="19"/>
          <w:color w:val="auto"/>
        </w:rPr>
        <w:t>[ ] Investment company registered under section 8 of the Investment Company Act of 1940 (15 U.S.C. 80a-8).</w:t>
      </w:r>
    </w:p>
    <w:p>
      <w:pPr>
        <w:spacing w:after="0" w:line="227" w:lineRule="exact"/>
        <w:rPr>
          <w:rFonts w:ascii="Arial" w:cs="Arial" w:eastAsia="Arial" w:hAnsi="Arial"/>
          <w:sz w:val="19"/>
          <w:szCs w:val="19"/>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 ] An investment adviser in accordance with section 240.13d-1(b)(1)(ii)(E) as to Acuta.</w:t>
      </w:r>
    </w:p>
    <w:p>
      <w:pPr>
        <w:spacing w:after="0" w:line="215" w:lineRule="exact"/>
        <w:rPr>
          <w:rFonts w:ascii="Arial" w:cs="Arial" w:eastAsia="Arial" w:hAnsi="Arial"/>
          <w:sz w:val="20"/>
          <w:szCs w:val="20"/>
          <w:color w:val="auto"/>
        </w:rPr>
      </w:pPr>
    </w:p>
    <w:p>
      <w:pPr>
        <w:ind w:left="1960" w:hanging="1304"/>
        <w:spacing w:after="0"/>
        <w:tabs>
          <w:tab w:leader="none" w:pos="19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 An employee benefit plan or endowment fund in accordance with section 240.13d-1(b)(1)(ii)(F).</w:t>
      </w:r>
    </w:p>
    <w:p>
      <w:pPr>
        <w:spacing w:after="0" w:line="215" w:lineRule="exact"/>
        <w:rPr>
          <w:rFonts w:ascii="Arial" w:cs="Arial" w:eastAsia="Arial" w:hAnsi="Arial"/>
          <w:sz w:val="20"/>
          <w:szCs w:val="20"/>
          <w:color w:val="auto"/>
        </w:rPr>
      </w:pPr>
    </w:p>
    <w:p>
      <w:pPr>
        <w:ind w:left="1300" w:right="2620" w:hanging="644"/>
        <w:spacing w:after="0" w:line="260" w:lineRule="auto"/>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 ] A parent holding company or control person in accordance with 240.13d-1(b)(1)(ii)(G) as to Dr. Dalal.</w:t>
      </w:r>
    </w:p>
    <w:p>
      <w:pPr>
        <w:spacing w:after="0" w:line="176" w:lineRule="exact"/>
        <w:rPr>
          <w:rFonts w:ascii="Arial" w:cs="Arial" w:eastAsia="Arial" w:hAnsi="Arial"/>
          <w:sz w:val="20"/>
          <w:szCs w:val="20"/>
          <w:color w:val="auto"/>
        </w:rPr>
      </w:pPr>
    </w:p>
    <w:p>
      <w:pPr>
        <w:ind w:left="1960" w:hanging="1304"/>
        <w:spacing w:after="0"/>
        <w:tabs>
          <w:tab w:leader="none" w:pos="1960" w:val="left"/>
        </w:tabs>
        <w:numPr>
          <w:ilvl w:val="0"/>
          <w:numId w:val="10"/>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227" w:lineRule="exact"/>
        <w:rPr>
          <w:rFonts w:ascii="Arial" w:cs="Arial" w:eastAsia="Arial" w:hAnsi="Arial"/>
          <w:sz w:val="19"/>
          <w:szCs w:val="19"/>
          <w:color w:val="auto"/>
        </w:rPr>
      </w:pPr>
    </w:p>
    <w:p>
      <w:pPr>
        <w:ind w:left="1960" w:right="640" w:hanging="1304"/>
        <w:spacing w:after="0" w:line="260" w:lineRule="auto"/>
        <w:tabs>
          <w:tab w:leader="none" w:pos="19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 A church plan that is excluded from the definition of an investment company under section 3(c)(14) of the Investment Company Act of 1940 (15 U.S.C. 80a-3).</w:t>
      </w:r>
    </w:p>
    <w:p>
      <w:pPr>
        <w:spacing w:after="0" w:line="176" w:lineRule="exact"/>
        <w:rPr>
          <w:rFonts w:ascii="Arial" w:cs="Arial" w:eastAsia="Arial" w:hAnsi="Arial"/>
          <w:sz w:val="20"/>
          <w:szCs w:val="20"/>
          <w:color w:val="auto"/>
        </w:rPr>
      </w:pPr>
    </w:p>
    <w:p>
      <w:pPr>
        <w:ind w:left="1960" w:hanging="1304"/>
        <w:spacing w:after="0"/>
        <w:tabs>
          <w:tab w:leader="none" w:pos="19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 Group, in accordance with section 240.13d-1(b)(1)(ii)(J).</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See Items 5-9 and 11 of the cover page for each Filer.</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2"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If this statement is being filed to report the fact that as of the date hereof the reporting person has ceased to be the beneficial owner of more than five percent of the class of securities, check the following [</w:t>
      </w:r>
      <w:r>
        <w:rPr>
          <w:rFonts w:ascii="Arial" w:cs="Arial" w:eastAsia="Arial" w:hAnsi="Arial"/>
          <w:sz w:val="20"/>
          <w:szCs w:val="20"/>
          <w:b w:val="1"/>
          <w:bCs w:val="1"/>
          <w:color w:val="auto"/>
        </w:rPr>
        <w:t>X</w:t>
      </w:r>
      <w:r>
        <w:rPr>
          <w:rFonts w:ascii="Arial" w:cs="Arial" w:eastAsia="Arial" w:hAnsi="Arial"/>
          <w:sz w:val="20"/>
          <w:szCs w:val="20"/>
          <w:color w:val="auto"/>
        </w:rPr>
        <w:t>].</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funds managed by Acuta hold the Stock for the benefit of their investors and have the right to receive or the power to direct the receipt of dividends from, or the proceeds from the sale of, the Stock.</w:t>
      </w:r>
    </w:p>
    <w:p>
      <w:pPr>
        <w:spacing w:after="0" w:line="171" w:lineRule="exact"/>
        <w:rPr>
          <w:sz w:val="20"/>
          <w:szCs w:val="20"/>
          <w:color w:val="auto"/>
        </w:rPr>
      </w:pPr>
    </w:p>
    <w:p>
      <w:pPr>
        <w:ind w:left="1300" w:right="380" w:hanging="1295"/>
        <w:spacing w:after="0" w:line="267" w:lineRule="auto"/>
        <w:tabs>
          <w:tab w:leader="none" w:pos="12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Acuta is the general partner and investment adviser of investment funds. Dr. Dalal is the control person of Acuta.</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23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517125100</w:t>
      </w:r>
    </w:p>
    <w:p>
      <w:pPr>
        <w:spacing w:after="0" w:line="200" w:lineRule="exact"/>
        <w:rPr>
          <w:sz w:val="20"/>
          <w:szCs w:val="20"/>
          <w:color w:val="auto"/>
        </w:rPr>
      </w:pPr>
    </w:p>
    <w:p>
      <w:pPr>
        <w:spacing w:after="0" w:line="26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16"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Certification:</w:t>
      </w:r>
    </w:p>
    <w:p>
      <w:pPr>
        <w:spacing w:after="0" w:line="235" w:lineRule="exact"/>
        <w:rPr>
          <w:sz w:val="20"/>
          <w:szCs w:val="20"/>
          <w:color w:val="auto"/>
        </w:rPr>
      </w:pPr>
    </w:p>
    <w:p>
      <w:pPr>
        <w:ind w:left="660" w:right="600"/>
        <w:spacing w:after="0" w:line="246"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9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SIGNATURE</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Dated: February 14, 2022</w:t>
      </w:r>
    </w:p>
    <w:p>
      <w:pPr>
        <w:spacing w:after="0" w:line="14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Acuta Capital Partners LLC</w:t>
      </w:r>
    </w:p>
    <w:p>
      <w:pPr>
        <w:spacing w:after="0" w:line="200" w:lineRule="exact"/>
        <w:rPr>
          <w:sz w:val="20"/>
          <w:szCs w:val="20"/>
          <w:color w:val="auto"/>
        </w:rPr>
      </w:pPr>
    </w:p>
    <w:p>
      <w:pPr>
        <w:spacing w:after="0" w:line="265" w:lineRule="exact"/>
        <w:rPr>
          <w:sz w:val="20"/>
          <w:szCs w:val="20"/>
          <w:color w:val="auto"/>
        </w:rPr>
      </w:pPr>
    </w:p>
    <w:p>
      <w:pPr>
        <w:ind w:left="100"/>
        <w:spacing w:after="0"/>
        <w:tabs>
          <w:tab w:leader="none" w:pos="5480" w:val="left"/>
        </w:tabs>
        <w:rPr>
          <w:sz w:val="20"/>
          <w:szCs w:val="20"/>
          <w:color w:val="auto"/>
        </w:rPr>
      </w:pPr>
      <w:r>
        <w:rPr>
          <w:rFonts w:ascii="Arial" w:cs="Arial" w:eastAsia="Arial" w:hAnsi="Arial"/>
          <w:sz w:val="20"/>
          <w:szCs w:val="20"/>
          <w:color w:val="auto"/>
        </w:rPr>
        <w:t>By: /s/ Scott R. Smith, Chief Operating Officer</w:t>
      </w:r>
      <w:r>
        <w:rPr>
          <w:sz w:val="20"/>
          <w:szCs w:val="20"/>
          <w:color w:val="auto"/>
        </w:rPr>
        <w:tab/>
      </w:r>
      <w:r>
        <w:rPr>
          <w:rFonts w:ascii="Arial" w:cs="Arial" w:eastAsia="Arial" w:hAnsi="Arial"/>
          <w:sz w:val="18"/>
          <w:szCs w:val="18"/>
          <w:color w:val="auto"/>
        </w:rPr>
        <w:t>/s/ Anupam Dalal</w:t>
      </w:r>
    </w:p>
    <w:p>
      <w:pPr>
        <w:spacing w:after="0" w:line="200" w:lineRule="exact"/>
        <w:rPr>
          <w:sz w:val="20"/>
          <w:szCs w:val="20"/>
          <w:color w:val="auto"/>
        </w:rPr>
      </w:pPr>
    </w:p>
    <w:p>
      <w:pPr>
        <w:spacing w:after="0" w:line="2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320" w:top="233"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517125100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A</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AGREEMENT REGARDING JOINT FILING</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OF STATEMENT ON SCHEDULE 13D OR 13G</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undersigned agree to file jointly with the Securities and Exchange Commission (the “SEC”) any and all statements on Schedule 13D, Schedule 13G or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Acuta Capital Partners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Dated: February 14, 2022</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Acuta Capital Partners LLC</w:t>
      </w:r>
    </w:p>
    <w:p>
      <w:pPr>
        <w:spacing w:after="0" w:line="200" w:lineRule="exact"/>
        <w:rPr>
          <w:sz w:val="20"/>
          <w:szCs w:val="20"/>
          <w:color w:val="auto"/>
        </w:rPr>
      </w:pPr>
    </w:p>
    <w:p>
      <w:pPr>
        <w:spacing w:after="0" w:line="265" w:lineRule="exact"/>
        <w:rPr>
          <w:sz w:val="20"/>
          <w:szCs w:val="20"/>
          <w:color w:val="auto"/>
        </w:rPr>
      </w:pPr>
    </w:p>
    <w:p>
      <w:pPr>
        <w:ind w:left="100"/>
        <w:spacing w:after="0"/>
        <w:tabs>
          <w:tab w:leader="none" w:pos="5480" w:val="left"/>
        </w:tabs>
        <w:rPr>
          <w:sz w:val="20"/>
          <w:szCs w:val="20"/>
          <w:color w:val="auto"/>
        </w:rPr>
      </w:pPr>
      <w:r>
        <w:rPr>
          <w:rFonts w:ascii="Arial" w:cs="Arial" w:eastAsia="Arial" w:hAnsi="Arial"/>
          <w:sz w:val="20"/>
          <w:szCs w:val="20"/>
          <w:color w:val="auto"/>
        </w:rPr>
        <w:t>By: /s/ Scott R. Smith, Chief Operating Officer</w:t>
      </w:r>
      <w:r>
        <w:rPr>
          <w:sz w:val="20"/>
          <w:szCs w:val="20"/>
          <w:color w:val="auto"/>
        </w:rPr>
        <w:tab/>
      </w:r>
      <w:r>
        <w:rPr>
          <w:rFonts w:ascii="Arial" w:cs="Arial" w:eastAsia="Arial" w:hAnsi="Arial"/>
          <w:sz w:val="18"/>
          <w:szCs w:val="18"/>
          <w:color w:val="auto"/>
        </w:rPr>
        <w:t>/s/ Anupam Dalal</w:t>
      </w:r>
    </w:p>
    <w:sectPr>
      <w:pgSz w:w="11900" w:h="16838" w:orient="portrait"/>
      <w:cols w:equalWidth="0" w:num="1">
        <w:col w:w="11240"/>
      </w:cols>
      <w:pgMar w:left="320" w:top="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
      <w:numFmt w:val="bullet"/>
      <w:start w:val="1"/>
    </w:lvl>
  </w:abstractNum>
  <w:abstractNum w:abstractNumId="1">
    <w:nsid w:val="507ED7AB"/>
    <w:multiLevelType w:val="hybridMultilevel"/>
    <w:lvl w:ilvl="0">
      <w:lvlJc w:val="left"/>
      <w:lvlText w:val="%1."/>
      <w:numFmt w:val="decimal"/>
      <w:start w:val="1"/>
    </w:lvl>
    <w:lvl w:ilvl="1">
      <w:lvlJc w:val="left"/>
      <w:lvlText w:val="(%2)"/>
      <w:numFmt w:val="low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9"/>
    </w:lvl>
  </w:abstractNum>
  <w:abstractNum w:abstractNumId="4">
    <w:nsid w:val="79E2A9E3"/>
    <w:multiLevelType w:val="hybridMultilevel"/>
    <w:lvl w:ilvl="0">
      <w:lvlJc w:val="left"/>
      <w:lvlText w:val="%1."/>
      <w:numFmt w:val="decimal"/>
      <w:start w:val="1"/>
    </w:lvl>
    <w:lvl w:ilvl="1">
      <w:lvlJc w:val="left"/>
      <w:lvlText w:val="(%2)"/>
      <w:numFmt w:val="lowerLetter"/>
      <w:start w:val="1"/>
    </w:lvl>
  </w:abstractNum>
  <w:abstractNum w:abstractNumId="5">
    <w:nsid w:val="7545E146"/>
    <w:multiLevelType w:val="hybridMultilevel"/>
    <w:lvl w:ilvl="0">
      <w:lvlJc w:val="left"/>
      <w:lvlText w:val="%1."/>
      <w:numFmt w:val="decimal"/>
      <w:start w:val="3"/>
    </w:lvl>
  </w:abstractNum>
  <w:abstractNum w:abstractNumId="6">
    <w:nsid w:val="515F007C"/>
    <w:multiLevelType w:val="hybridMultilevel"/>
    <w:lvl w:ilvl="0">
      <w:lvlJc w:val="left"/>
      <w:lvlText w:val="%1."/>
      <w:numFmt w:val="decimal"/>
      <w:start w:val="9"/>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2022-02-15T13:45:26Z</dcterms:created>
  <dcterms:modified xsi:type="dcterms:W3CDTF">2022-02-15T13:45:26Z</dcterms:modified>
</cp:coreProperties>
</file>