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SCHEDULE 13G</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(Amendment No.)*</w:t>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Zafgen,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98885E103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March 13,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24" w:lineRule="exact"/>
        <w:rPr>
          <w:sz w:val="24"/>
          <w:szCs w:val="24"/>
          <w:color w:val="auto"/>
        </w:rPr>
      </w:pPr>
    </w:p>
    <w:p>
      <w:pPr>
        <w:ind w:left="66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16" w:lineRule="exact"/>
        <w:rPr>
          <w:sz w:val="24"/>
          <w:szCs w:val="24"/>
          <w:color w:val="auto"/>
        </w:rPr>
      </w:pPr>
    </w:p>
    <w:p>
      <w:pPr>
        <w:ind w:left="1300"/>
        <w:spacing w:after="0"/>
        <w:rPr>
          <w:sz w:val="20"/>
          <w:szCs w:val="20"/>
          <w:color w:val="auto"/>
        </w:rPr>
      </w:pPr>
      <w:r>
        <w:rPr>
          <w:rFonts w:ascii="Arial" w:cs="Arial" w:eastAsia="Arial" w:hAnsi="Arial"/>
          <w:sz w:val="20"/>
          <w:szCs w:val="20"/>
          <w:color w:val="auto"/>
        </w:rPr>
        <w:t>[_] Rule 13d-1(b)</w:t>
      </w:r>
    </w:p>
    <w:p>
      <w:pPr>
        <w:spacing w:after="0" w:line="229" w:lineRule="exact"/>
        <w:rPr>
          <w:sz w:val="24"/>
          <w:szCs w:val="24"/>
          <w:color w:val="auto"/>
        </w:rPr>
      </w:pPr>
    </w:p>
    <w:p>
      <w:pPr>
        <w:jc w:val="both"/>
        <w:ind w:left="1300" w:right="8680" w:firstLine="5"/>
        <w:spacing w:after="0" w:line="540" w:lineRule="auto"/>
        <w:tabs>
          <w:tab w:leader="none" w:pos="1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 [_] Rule 13d-1(d)</w:t>
      </w:r>
    </w:p>
    <w:p>
      <w:pPr>
        <w:spacing w:after="0" w:line="232" w:lineRule="auto"/>
        <w:rPr>
          <w:sz w:val="20"/>
          <w:szCs w:val="20"/>
          <w:color w:val="auto"/>
        </w:rPr>
      </w:pPr>
      <w:r>
        <w:rPr>
          <w:rFonts w:ascii="Courier New" w:cs="Courier New" w:eastAsia="Courier New" w:hAnsi="Courier New"/>
          <w:sz w:val="20"/>
          <w:szCs w:val="20"/>
          <w:color w:val="auto"/>
        </w:rPr>
        <w:t>__________</w:t>
      </w:r>
    </w:p>
    <w:p>
      <w:pPr>
        <w:ind w:firstLine="8"/>
        <w:spacing w:after="0" w:line="269" w:lineRule="auto"/>
        <w:tabs>
          <w:tab w:leader="none" w:pos="17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9"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color w:val="auto"/>
        </w:rPr>
        <w:t xml:space="preserve">CUSIP No </w:t>
      </w:r>
      <w:r>
        <w:rPr>
          <w:rFonts w:ascii="Arial" w:cs="Arial" w:eastAsia="Arial" w:hAnsi="Arial"/>
          <w:sz w:val="20"/>
          <w:szCs w:val="20"/>
          <w:u w:val="single" w:color="auto"/>
          <w:color w:val="auto"/>
        </w:rPr>
        <w:t>98885E103</w:t>
      </w:r>
    </w:p>
    <w:p>
      <w:pPr>
        <w:spacing w:after="0" w:line="256" w:lineRule="exact"/>
        <w:rPr>
          <w:sz w:val="20"/>
          <w:szCs w:val="20"/>
          <w:color w:val="auto"/>
        </w:rPr>
      </w:pPr>
    </w:p>
    <w:p>
      <w:pPr>
        <w:ind w:left="920" w:hanging="915"/>
        <w:spacing w:after="0"/>
        <w:tabs>
          <w:tab w:leader="none" w:pos="920" w:val="left"/>
        </w:tabs>
        <w:numPr>
          <w:ilvl w:val="0"/>
          <w:numId w:val="3"/>
        </w:numPr>
        <w:rPr>
          <w:rFonts w:ascii="Arial" w:cs="Arial" w:eastAsia="Arial" w:hAnsi="Arial"/>
          <w:sz w:val="20"/>
          <w:szCs w:val="20"/>
          <w:color w:val="auto"/>
        </w:rPr>
      </w:pPr>
      <w:r>
        <w:rPr>
          <w:rFonts w:ascii="Arial" w:cs="Arial" w:eastAsia="Arial" w:hAnsi="Arial"/>
          <w:sz w:val="20"/>
          <w:szCs w:val="20"/>
          <w:color w:val="auto"/>
        </w:rPr>
        <w:t>NAME OF REPORTING PERSONS</w:t>
      </w:r>
    </w:p>
    <w:p>
      <w:pPr>
        <w:spacing w:after="0" w:line="20" w:lineRule="exact"/>
        <w:rPr>
          <w:rFonts w:ascii="Arial" w:cs="Arial" w:eastAsia="Arial" w:hAnsi="Arial"/>
          <w:sz w:val="20"/>
          <w:szCs w:val="20"/>
          <w:color w:val="auto"/>
        </w:rPr>
      </w:pPr>
    </w:p>
    <w:p>
      <w:pPr>
        <w:ind w:left="920" w:right="3800"/>
        <w:spacing w:after="0" w:line="503" w:lineRule="auto"/>
        <w:rPr>
          <w:rFonts w:ascii="Arial" w:cs="Arial" w:eastAsia="Arial" w:hAnsi="Arial"/>
          <w:sz w:val="20"/>
          <w:szCs w:val="20"/>
          <w:color w:val="auto"/>
        </w:rPr>
      </w:pPr>
      <w:r>
        <w:rPr>
          <w:rFonts w:ascii="Arial" w:cs="Arial" w:eastAsia="Arial" w:hAnsi="Arial"/>
          <w:sz w:val="20"/>
          <w:szCs w:val="20"/>
          <w:color w:val="auto"/>
        </w:rPr>
        <w:t>I.R.S. IDENTIFICATION NOS. OF ABOVE PERSONS (ENTITIES ONLY) Armistice Capital, LLC</w:t>
      </w:r>
    </w:p>
    <w:p>
      <w:pPr>
        <w:spacing w:after="0" w:line="1" w:lineRule="exact"/>
        <w:rPr>
          <w:rFonts w:ascii="Arial" w:cs="Arial" w:eastAsia="Arial" w:hAnsi="Arial"/>
          <w:sz w:val="20"/>
          <w:szCs w:val="20"/>
          <w:color w:val="auto"/>
        </w:rPr>
      </w:pPr>
    </w:p>
    <w:p>
      <w:pPr>
        <w:ind w:left="920" w:hanging="915"/>
        <w:spacing w:after="0"/>
        <w:tabs>
          <w:tab w:leader="none" w:pos="920" w:val="left"/>
        </w:tabs>
        <w:numPr>
          <w:ilvl w:val="0"/>
          <w:numId w:val="3"/>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6" w:lineRule="exact"/>
        <w:rPr>
          <w:sz w:val="20"/>
          <w:szCs w:val="20"/>
          <w:color w:val="auto"/>
        </w:rPr>
      </w:pPr>
    </w:p>
    <w:p>
      <w:pPr>
        <w:ind w:left="10280"/>
        <w:spacing w:after="0"/>
        <w:rPr>
          <w:sz w:val="20"/>
          <w:szCs w:val="20"/>
          <w:color w:val="auto"/>
        </w:rPr>
      </w:pPr>
      <w:r>
        <w:rPr>
          <w:rFonts w:ascii="Arial" w:cs="Arial" w:eastAsia="Arial" w:hAnsi="Arial"/>
          <w:sz w:val="20"/>
          <w:szCs w:val="20"/>
          <w:color w:val="auto"/>
        </w:rPr>
        <w:t>(a) [_]</w:t>
      </w:r>
    </w:p>
    <w:p>
      <w:pPr>
        <w:spacing w:after="0" w:line="4" w:lineRule="exact"/>
        <w:rPr>
          <w:sz w:val="20"/>
          <w:szCs w:val="20"/>
          <w:color w:val="auto"/>
        </w:rPr>
      </w:pPr>
    </w:p>
    <w:p>
      <w:pPr>
        <w:ind w:left="10280"/>
        <w:spacing w:after="0"/>
        <w:rPr>
          <w:sz w:val="20"/>
          <w:szCs w:val="20"/>
          <w:color w:val="auto"/>
        </w:rPr>
      </w:pPr>
      <w:r>
        <w:rPr>
          <w:rFonts w:ascii="Arial" w:cs="Arial" w:eastAsia="Arial" w:hAnsi="Arial"/>
          <w:sz w:val="20"/>
          <w:szCs w:val="20"/>
          <w:color w:val="auto"/>
        </w:rPr>
        <w:t>(b) [_]</w:t>
      </w:r>
    </w:p>
    <w:p>
      <w:pPr>
        <w:spacing w:after="0" w:line="249" w:lineRule="exact"/>
        <w:rPr>
          <w:sz w:val="20"/>
          <w:szCs w:val="20"/>
          <w:color w:val="auto"/>
        </w:rPr>
      </w:pPr>
    </w:p>
    <w:p>
      <w:pPr>
        <w:ind w:left="920" w:hanging="915"/>
        <w:spacing w:after="0"/>
        <w:tabs>
          <w:tab w:leader="none" w:pos="92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99" w:lineRule="exact"/>
        <w:rPr>
          <w:rFonts w:ascii="Arial" w:cs="Arial" w:eastAsia="Arial" w:hAnsi="Arial"/>
          <w:sz w:val="20"/>
          <w:szCs w:val="20"/>
          <w:color w:val="auto"/>
        </w:rPr>
      </w:pPr>
    </w:p>
    <w:p>
      <w:pPr>
        <w:ind w:left="920" w:right="5900" w:hanging="915"/>
        <w:spacing w:after="0" w:line="528" w:lineRule="auto"/>
        <w:tabs>
          <w:tab w:leader="none" w:pos="920" w:val="left"/>
        </w:tabs>
        <w:numPr>
          <w:ilvl w:val="0"/>
          <w:numId w:val="4"/>
        </w:numPr>
        <w:rPr>
          <w:rFonts w:ascii="Arial" w:cs="Arial" w:eastAsia="Arial" w:hAnsi="Arial"/>
          <w:sz w:val="20"/>
          <w:szCs w:val="20"/>
          <w:color w:val="auto"/>
        </w:rPr>
      </w:pPr>
      <w:r>
        <w:rPr>
          <w:rFonts w:ascii="Arial" w:cs="Arial" w:eastAsia="Arial" w:hAnsi="Arial"/>
          <w:sz w:val="20"/>
          <w:szCs w:val="20"/>
          <w:color w:val="auto"/>
        </w:rPr>
        <w:t>CITIZENSHIP OR PLACE OF ORGANIZATION Delaware</w:t>
      </w:r>
    </w:p>
    <w:p>
      <w:pPr>
        <w:spacing w:after="0" w:line="200" w:lineRule="exact"/>
        <w:rPr>
          <w:sz w:val="20"/>
          <w:szCs w:val="20"/>
          <w:color w:val="auto"/>
        </w:rPr>
      </w:pPr>
    </w:p>
    <w:p>
      <w:pPr>
        <w:spacing w:after="0" w:line="233" w:lineRule="exact"/>
        <w:rPr>
          <w:sz w:val="20"/>
          <w:szCs w:val="20"/>
          <w:color w:val="auto"/>
        </w:rPr>
      </w:pPr>
    </w:p>
    <w:p>
      <w:pPr>
        <w:ind w:left="920" w:right="7900" w:hanging="915"/>
        <w:spacing w:after="0" w:line="507" w:lineRule="auto"/>
        <w:tabs>
          <w:tab w:leader="none" w:pos="920" w:val="left"/>
        </w:tabs>
        <w:numPr>
          <w:ilvl w:val="0"/>
          <w:numId w:val="5"/>
        </w:numPr>
        <w:rPr>
          <w:rFonts w:ascii="Arial" w:cs="Arial" w:eastAsia="Arial" w:hAnsi="Arial"/>
          <w:sz w:val="20"/>
          <w:szCs w:val="20"/>
          <w:color w:val="auto"/>
        </w:rPr>
      </w:pPr>
      <w:r>
        <w:rPr>
          <w:rFonts w:ascii="Arial" w:cs="Arial" w:eastAsia="Arial" w:hAnsi="Arial"/>
          <w:sz w:val="20"/>
          <w:szCs w:val="20"/>
          <w:color w:val="auto"/>
        </w:rPr>
        <w:t>SOLE VOTING POWER 0</w:t>
      </w:r>
    </w:p>
    <w:p>
      <w:pPr>
        <w:ind w:left="920" w:right="7600" w:hanging="915"/>
        <w:spacing w:after="0" w:line="507" w:lineRule="auto"/>
        <w:tabs>
          <w:tab w:leader="none" w:pos="920" w:val="left"/>
        </w:tabs>
        <w:numPr>
          <w:ilvl w:val="0"/>
          <w:numId w:val="5"/>
        </w:numPr>
        <w:rPr>
          <w:rFonts w:ascii="Arial" w:cs="Arial" w:eastAsia="Arial" w:hAnsi="Arial"/>
          <w:sz w:val="20"/>
          <w:szCs w:val="20"/>
          <w:color w:val="auto"/>
        </w:rPr>
      </w:pPr>
      <w:r>
        <w:rPr>
          <w:rFonts w:ascii="Arial" w:cs="Arial" w:eastAsia="Arial" w:hAnsi="Arial"/>
          <w:sz w:val="20"/>
          <w:szCs w:val="20"/>
          <w:color w:val="auto"/>
        </w:rPr>
        <w:t>SHARED VOTING POWER 2,100,000</w:t>
      </w:r>
    </w:p>
    <w:p>
      <w:pPr>
        <w:ind w:left="920" w:right="7460" w:hanging="915"/>
        <w:spacing w:after="0" w:line="507" w:lineRule="auto"/>
        <w:tabs>
          <w:tab w:leader="none" w:pos="920" w:val="left"/>
        </w:tabs>
        <w:numPr>
          <w:ilvl w:val="0"/>
          <w:numId w:val="5"/>
        </w:numPr>
        <w:rPr>
          <w:rFonts w:ascii="Arial" w:cs="Arial" w:eastAsia="Arial" w:hAnsi="Arial"/>
          <w:sz w:val="20"/>
          <w:szCs w:val="20"/>
          <w:color w:val="auto"/>
        </w:rPr>
      </w:pPr>
      <w:r>
        <w:rPr>
          <w:rFonts w:ascii="Arial" w:cs="Arial" w:eastAsia="Arial" w:hAnsi="Arial"/>
          <w:sz w:val="20"/>
          <w:szCs w:val="20"/>
          <w:color w:val="auto"/>
        </w:rPr>
        <w:t>SOLE DISPOSITIVE POWER 0</w:t>
      </w:r>
    </w:p>
    <w:p>
      <w:pPr>
        <w:ind w:left="920" w:right="7160" w:hanging="915"/>
        <w:spacing w:after="0" w:line="507" w:lineRule="auto"/>
        <w:tabs>
          <w:tab w:leader="none" w:pos="920" w:val="left"/>
        </w:tabs>
        <w:numPr>
          <w:ilvl w:val="0"/>
          <w:numId w:val="5"/>
        </w:numPr>
        <w:rPr>
          <w:rFonts w:ascii="Arial" w:cs="Arial" w:eastAsia="Arial" w:hAnsi="Arial"/>
          <w:sz w:val="20"/>
          <w:szCs w:val="20"/>
          <w:color w:val="auto"/>
        </w:rPr>
      </w:pPr>
      <w:r>
        <w:rPr>
          <w:rFonts w:ascii="Arial" w:cs="Arial" w:eastAsia="Arial" w:hAnsi="Arial"/>
          <w:sz w:val="20"/>
          <w:szCs w:val="20"/>
          <w:color w:val="auto"/>
        </w:rPr>
        <w:t>SHARED DISPOSITIVE POWER 2,100,000</w:t>
      </w:r>
    </w:p>
    <w:p>
      <w:pPr>
        <w:ind w:left="920" w:right="2720" w:hanging="915"/>
        <w:spacing w:after="0" w:line="500" w:lineRule="auto"/>
        <w:tabs>
          <w:tab w:leader="none" w:pos="920" w:val="left"/>
        </w:tabs>
        <w:numPr>
          <w:ilvl w:val="0"/>
          <w:numId w:val="5"/>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2,100,000</w:t>
      </w:r>
    </w:p>
    <w:p>
      <w:pPr>
        <w:ind w:left="920" w:right="1700" w:hanging="915"/>
        <w:spacing w:after="0" w:line="247" w:lineRule="auto"/>
        <w:tabs>
          <w:tab w:leader="none" w:pos="92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 (SEE INSTRUCTIONS)</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[_]</w:t>
      </w:r>
    </w:p>
    <w:p>
      <w:pPr>
        <w:spacing w:after="0" w:line="240" w:lineRule="exact"/>
        <w:rPr>
          <w:sz w:val="20"/>
          <w:szCs w:val="20"/>
          <w:color w:val="auto"/>
        </w:rPr>
      </w:pPr>
    </w:p>
    <w:p>
      <w:pPr>
        <w:ind w:left="920" w:right="4380" w:hanging="915"/>
        <w:spacing w:after="0" w:line="507" w:lineRule="auto"/>
        <w:tabs>
          <w:tab w:leader="none" w:pos="920" w:val="left"/>
        </w:tabs>
        <w:numPr>
          <w:ilvl w:val="0"/>
          <w:numId w:val="6"/>
        </w:numPr>
        <w:rPr>
          <w:rFonts w:ascii="Arial" w:cs="Arial" w:eastAsia="Arial" w:hAnsi="Arial"/>
          <w:sz w:val="20"/>
          <w:szCs w:val="20"/>
          <w:color w:val="auto"/>
        </w:rPr>
      </w:pPr>
      <w:r>
        <w:rPr>
          <w:rFonts w:ascii="Arial" w:cs="Arial" w:eastAsia="Arial" w:hAnsi="Arial"/>
          <w:sz w:val="20"/>
          <w:szCs w:val="20"/>
          <w:color w:val="auto"/>
        </w:rPr>
        <w:t>PERCENT OF CLASS REPRESENTED BY AMOUNT IN ROW (9) 5.6%</w:t>
      </w:r>
    </w:p>
    <w:p>
      <w:pPr>
        <w:ind w:left="920" w:right="5180" w:hanging="915"/>
        <w:spacing w:after="0" w:line="528" w:lineRule="auto"/>
        <w:tabs>
          <w:tab w:leader="none" w:pos="9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TYPE OF REPORTING PERSON (SEE INSTRUCTIONS) 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-13970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860"/>
          </w:cols>
          <w:pgMar w:left="340" w:top="933" w:right="699" w:bottom="1440" w:gutter="0" w:footer="0" w:header="0"/>
        </w:sectPr>
      </w:pPr>
    </w:p>
    <w:bookmarkStart w:id="2" w:name="page3"/>
    <w:bookmarkEnd w:id="2"/>
    <w:p>
      <w:pPr>
        <w:spacing w:after="0"/>
        <w:rPr>
          <w:sz w:val="20"/>
          <w:szCs w:val="20"/>
          <w:color w:val="auto"/>
        </w:rPr>
      </w:pPr>
      <w:r>
        <w:rPr>
          <w:rFonts w:ascii="Arial" w:cs="Arial" w:eastAsia="Arial" w:hAnsi="Arial"/>
          <w:sz w:val="20"/>
          <w:szCs w:val="20"/>
          <w:color w:val="auto"/>
        </w:rPr>
        <w:t xml:space="preserve">CUSIP No </w:t>
      </w:r>
      <w:r>
        <w:rPr>
          <w:rFonts w:ascii="Arial" w:cs="Arial" w:eastAsia="Arial" w:hAnsi="Arial"/>
          <w:sz w:val="20"/>
          <w:szCs w:val="20"/>
          <w:u w:val="single" w:color="auto"/>
          <w:color w:val="auto"/>
        </w:rPr>
        <w:t>98885E103</w:t>
      </w:r>
    </w:p>
    <w:p>
      <w:pPr>
        <w:spacing w:after="0" w:line="256" w:lineRule="exact"/>
        <w:rPr>
          <w:sz w:val="20"/>
          <w:szCs w:val="20"/>
          <w:color w:val="auto"/>
        </w:rPr>
      </w:pPr>
    </w:p>
    <w:p>
      <w:pPr>
        <w:ind w:left="920" w:hanging="915"/>
        <w:spacing w:after="0"/>
        <w:tabs>
          <w:tab w:leader="none" w:pos="920" w:val="left"/>
        </w:tabs>
        <w:numPr>
          <w:ilvl w:val="0"/>
          <w:numId w:val="7"/>
        </w:numPr>
        <w:rPr>
          <w:rFonts w:ascii="Arial" w:cs="Arial" w:eastAsia="Arial" w:hAnsi="Arial"/>
          <w:sz w:val="20"/>
          <w:szCs w:val="20"/>
          <w:color w:val="auto"/>
        </w:rPr>
      </w:pPr>
      <w:r>
        <w:rPr>
          <w:rFonts w:ascii="Arial" w:cs="Arial" w:eastAsia="Arial" w:hAnsi="Arial"/>
          <w:sz w:val="20"/>
          <w:szCs w:val="20"/>
          <w:color w:val="auto"/>
        </w:rPr>
        <w:t>NAME OF REPORTING PERSONS</w:t>
      </w:r>
    </w:p>
    <w:p>
      <w:pPr>
        <w:spacing w:after="0" w:line="20" w:lineRule="exact"/>
        <w:rPr>
          <w:rFonts w:ascii="Arial" w:cs="Arial" w:eastAsia="Arial" w:hAnsi="Arial"/>
          <w:sz w:val="20"/>
          <w:szCs w:val="20"/>
          <w:color w:val="auto"/>
        </w:rPr>
      </w:pPr>
    </w:p>
    <w:p>
      <w:pPr>
        <w:ind w:left="920" w:right="3800"/>
        <w:spacing w:after="0" w:line="503" w:lineRule="auto"/>
        <w:rPr>
          <w:rFonts w:ascii="Arial" w:cs="Arial" w:eastAsia="Arial" w:hAnsi="Arial"/>
          <w:sz w:val="20"/>
          <w:szCs w:val="20"/>
          <w:color w:val="auto"/>
        </w:rPr>
      </w:pPr>
      <w:r>
        <w:rPr>
          <w:rFonts w:ascii="Arial" w:cs="Arial" w:eastAsia="Arial" w:hAnsi="Arial"/>
          <w:sz w:val="20"/>
          <w:szCs w:val="20"/>
          <w:color w:val="auto"/>
        </w:rPr>
        <w:t>I.R.S. IDENTIFICATION NOS. OF ABOVE PERSONS (ENTITIES ONLY) Armistice Capital Master Fund Ltd.</w:t>
      </w:r>
    </w:p>
    <w:p>
      <w:pPr>
        <w:spacing w:after="0" w:line="1" w:lineRule="exact"/>
        <w:rPr>
          <w:rFonts w:ascii="Arial" w:cs="Arial" w:eastAsia="Arial" w:hAnsi="Arial"/>
          <w:sz w:val="20"/>
          <w:szCs w:val="20"/>
          <w:color w:val="auto"/>
        </w:rPr>
      </w:pPr>
    </w:p>
    <w:p>
      <w:pPr>
        <w:ind w:left="920" w:hanging="915"/>
        <w:spacing w:after="0"/>
        <w:tabs>
          <w:tab w:leader="none" w:pos="920" w:val="left"/>
        </w:tabs>
        <w:numPr>
          <w:ilvl w:val="0"/>
          <w:numId w:val="7"/>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6" w:lineRule="exact"/>
        <w:rPr>
          <w:sz w:val="20"/>
          <w:szCs w:val="20"/>
          <w:color w:val="auto"/>
        </w:rPr>
      </w:pPr>
    </w:p>
    <w:p>
      <w:pPr>
        <w:ind w:left="10280"/>
        <w:spacing w:after="0"/>
        <w:rPr>
          <w:sz w:val="20"/>
          <w:szCs w:val="20"/>
          <w:color w:val="auto"/>
        </w:rPr>
      </w:pPr>
      <w:r>
        <w:rPr>
          <w:rFonts w:ascii="Arial" w:cs="Arial" w:eastAsia="Arial" w:hAnsi="Arial"/>
          <w:sz w:val="20"/>
          <w:szCs w:val="20"/>
          <w:color w:val="auto"/>
        </w:rPr>
        <w:t>(a) [_]</w:t>
      </w:r>
    </w:p>
    <w:p>
      <w:pPr>
        <w:spacing w:after="0" w:line="4" w:lineRule="exact"/>
        <w:rPr>
          <w:sz w:val="20"/>
          <w:szCs w:val="20"/>
          <w:color w:val="auto"/>
        </w:rPr>
      </w:pPr>
    </w:p>
    <w:p>
      <w:pPr>
        <w:ind w:left="10280"/>
        <w:spacing w:after="0"/>
        <w:rPr>
          <w:sz w:val="20"/>
          <w:szCs w:val="20"/>
          <w:color w:val="auto"/>
        </w:rPr>
      </w:pPr>
      <w:r>
        <w:rPr>
          <w:rFonts w:ascii="Arial" w:cs="Arial" w:eastAsia="Arial" w:hAnsi="Arial"/>
          <w:sz w:val="20"/>
          <w:szCs w:val="20"/>
          <w:color w:val="auto"/>
        </w:rPr>
        <w:t>(b) [_]</w:t>
      </w:r>
    </w:p>
    <w:p>
      <w:pPr>
        <w:spacing w:after="0" w:line="249" w:lineRule="exact"/>
        <w:rPr>
          <w:sz w:val="20"/>
          <w:szCs w:val="20"/>
          <w:color w:val="auto"/>
        </w:rPr>
      </w:pPr>
    </w:p>
    <w:p>
      <w:pPr>
        <w:ind w:left="920" w:hanging="915"/>
        <w:spacing w:after="0"/>
        <w:tabs>
          <w:tab w:leader="none" w:pos="920" w:val="left"/>
        </w:tabs>
        <w:numPr>
          <w:ilvl w:val="0"/>
          <w:numId w:val="8"/>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99" w:lineRule="exact"/>
        <w:rPr>
          <w:rFonts w:ascii="Arial" w:cs="Arial" w:eastAsia="Arial" w:hAnsi="Arial"/>
          <w:sz w:val="20"/>
          <w:szCs w:val="20"/>
          <w:color w:val="auto"/>
        </w:rPr>
      </w:pPr>
    </w:p>
    <w:p>
      <w:pPr>
        <w:ind w:left="920" w:hanging="915"/>
        <w:spacing w:after="0"/>
        <w:tabs>
          <w:tab w:leader="none" w:pos="920" w:val="left"/>
        </w:tabs>
        <w:numPr>
          <w:ilvl w:val="0"/>
          <w:numId w:val="8"/>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20" w:right="7900" w:hanging="915"/>
        <w:spacing w:after="0" w:line="507" w:lineRule="auto"/>
        <w:tabs>
          <w:tab w:leader="none" w:pos="920" w:val="left"/>
        </w:tabs>
        <w:numPr>
          <w:ilvl w:val="0"/>
          <w:numId w:val="9"/>
        </w:numPr>
        <w:rPr>
          <w:rFonts w:ascii="Arial" w:cs="Arial" w:eastAsia="Arial" w:hAnsi="Arial"/>
          <w:sz w:val="20"/>
          <w:szCs w:val="20"/>
          <w:color w:val="auto"/>
        </w:rPr>
      </w:pPr>
      <w:r>
        <w:rPr>
          <w:rFonts w:ascii="Arial" w:cs="Arial" w:eastAsia="Arial" w:hAnsi="Arial"/>
          <w:sz w:val="20"/>
          <w:szCs w:val="20"/>
          <w:color w:val="auto"/>
        </w:rPr>
        <w:t>SOLE VOTING POWER 0</w:t>
      </w:r>
    </w:p>
    <w:p>
      <w:pPr>
        <w:ind w:left="920" w:right="7600" w:hanging="915"/>
        <w:spacing w:after="0" w:line="507" w:lineRule="auto"/>
        <w:tabs>
          <w:tab w:leader="none" w:pos="920" w:val="left"/>
        </w:tabs>
        <w:numPr>
          <w:ilvl w:val="0"/>
          <w:numId w:val="9"/>
        </w:numPr>
        <w:rPr>
          <w:rFonts w:ascii="Arial" w:cs="Arial" w:eastAsia="Arial" w:hAnsi="Arial"/>
          <w:sz w:val="20"/>
          <w:szCs w:val="20"/>
          <w:color w:val="auto"/>
        </w:rPr>
      </w:pPr>
      <w:r>
        <w:rPr>
          <w:rFonts w:ascii="Arial" w:cs="Arial" w:eastAsia="Arial" w:hAnsi="Arial"/>
          <w:sz w:val="20"/>
          <w:szCs w:val="20"/>
          <w:color w:val="auto"/>
        </w:rPr>
        <w:t>SHARED VOTING POWER 2,100,000</w:t>
      </w:r>
    </w:p>
    <w:p>
      <w:pPr>
        <w:ind w:left="920" w:right="7460" w:hanging="915"/>
        <w:spacing w:after="0" w:line="507" w:lineRule="auto"/>
        <w:tabs>
          <w:tab w:leader="none" w:pos="920" w:val="left"/>
        </w:tabs>
        <w:numPr>
          <w:ilvl w:val="0"/>
          <w:numId w:val="9"/>
        </w:numPr>
        <w:rPr>
          <w:rFonts w:ascii="Arial" w:cs="Arial" w:eastAsia="Arial" w:hAnsi="Arial"/>
          <w:sz w:val="20"/>
          <w:szCs w:val="20"/>
          <w:color w:val="auto"/>
        </w:rPr>
      </w:pPr>
      <w:r>
        <w:rPr>
          <w:rFonts w:ascii="Arial" w:cs="Arial" w:eastAsia="Arial" w:hAnsi="Arial"/>
          <w:sz w:val="20"/>
          <w:szCs w:val="20"/>
          <w:color w:val="auto"/>
        </w:rPr>
        <w:t>SOLE DISPOSITIVE POWER 0</w:t>
      </w:r>
    </w:p>
    <w:p>
      <w:pPr>
        <w:ind w:left="920" w:right="7160" w:hanging="915"/>
        <w:spacing w:after="0" w:line="507" w:lineRule="auto"/>
        <w:tabs>
          <w:tab w:leader="none" w:pos="920" w:val="left"/>
        </w:tabs>
        <w:numPr>
          <w:ilvl w:val="0"/>
          <w:numId w:val="9"/>
        </w:numPr>
        <w:rPr>
          <w:rFonts w:ascii="Arial" w:cs="Arial" w:eastAsia="Arial" w:hAnsi="Arial"/>
          <w:sz w:val="20"/>
          <w:szCs w:val="20"/>
          <w:color w:val="auto"/>
        </w:rPr>
      </w:pPr>
      <w:r>
        <w:rPr>
          <w:rFonts w:ascii="Arial" w:cs="Arial" w:eastAsia="Arial" w:hAnsi="Arial"/>
          <w:sz w:val="20"/>
          <w:szCs w:val="20"/>
          <w:color w:val="auto"/>
        </w:rPr>
        <w:t>SHARED DISPOSITIVE POWER 2,100,000</w:t>
      </w:r>
    </w:p>
    <w:p>
      <w:pPr>
        <w:ind w:left="920" w:right="2720" w:hanging="915"/>
        <w:spacing w:after="0" w:line="500" w:lineRule="auto"/>
        <w:tabs>
          <w:tab w:leader="none" w:pos="920" w:val="left"/>
        </w:tabs>
        <w:numPr>
          <w:ilvl w:val="0"/>
          <w:numId w:val="9"/>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2,100,000</w:t>
      </w:r>
    </w:p>
    <w:p>
      <w:pPr>
        <w:ind w:left="920" w:right="1700" w:hanging="915"/>
        <w:spacing w:after="0" w:line="247" w:lineRule="auto"/>
        <w:tabs>
          <w:tab w:leader="none" w:pos="920" w:val="left"/>
        </w:tabs>
        <w:numPr>
          <w:ilvl w:val="0"/>
          <w:numId w:val="9"/>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 (SEE INSTRUCTIONS)</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[_]</w:t>
      </w:r>
    </w:p>
    <w:p>
      <w:pPr>
        <w:spacing w:after="0" w:line="240" w:lineRule="exact"/>
        <w:rPr>
          <w:sz w:val="20"/>
          <w:szCs w:val="20"/>
          <w:color w:val="auto"/>
        </w:rPr>
      </w:pPr>
    </w:p>
    <w:p>
      <w:pPr>
        <w:ind w:left="920" w:right="4380" w:hanging="915"/>
        <w:spacing w:after="0" w:line="507" w:lineRule="auto"/>
        <w:tabs>
          <w:tab w:leader="none" w:pos="9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PERCENT OF CLASS REPRESENTED BY AMOUNT IN ROW (9) 5.6%</w:t>
      </w:r>
    </w:p>
    <w:p>
      <w:pPr>
        <w:ind w:left="920" w:right="5180" w:hanging="915"/>
        <w:spacing w:after="0" w:line="528" w:lineRule="auto"/>
        <w:tabs>
          <w:tab w:leader="none" w:pos="9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122555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860"/>
          </w:cols>
          <w:pgMar w:left="340" w:top="717" w:right="699" w:bottom="1440" w:gutter="0" w:footer="0" w:header="0"/>
        </w:sectPr>
      </w:pPr>
    </w:p>
    <w:bookmarkStart w:id="3" w:name="page4"/>
    <w:bookmarkEnd w:id="3"/>
    <w:p>
      <w:pPr>
        <w:spacing w:after="0"/>
        <w:rPr>
          <w:sz w:val="20"/>
          <w:szCs w:val="20"/>
          <w:color w:val="auto"/>
        </w:rPr>
      </w:pPr>
      <w:r>
        <w:rPr>
          <w:rFonts w:ascii="Arial" w:cs="Arial" w:eastAsia="Arial" w:hAnsi="Arial"/>
          <w:sz w:val="20"/>
          <w:szCs w:val="20"/>
          <w:color w:val="auto"/>
        </w:rPr>
        <w:t xml:space="preserve">CUSIP No </w:t>
      </w:r>
      <w:r>
        <w:rPr>
          <w:rFonts w:ascii="Arial" w:cs="Arial" w:eastAsia="Arial" w:hAnsi="Arial"/>
          <w:sz w:val="20"/>
          <w:szCs w:val="20"/>
          <w:u w:val="single" w:color="auto"/>
          <w:color w:val="auto"/>
        </w:rPr>
        <w:t>98885E103</w:t>
      </w:r>
    </w:p>
    <w:p>
      <w:pPr>
        <w:spacing w:after="0" w:line="256" w:lineRule="exact"/>
        <w:rPr>
          <w:sz w:val="20"/>
          <w:szCs w:val="20"/>
          <w:color w:val="auto"/>
        </w:rPr>
      </w:pPr>
    </w:p>
    <w:p>
      <w:pPr>
        <w:ind w:left="920" w:hanging="915"/>
        <w:spacing w:after="0"/>
        <w:tabs>
          <w:tab w:leader="none" w:pos="9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NAME OF REPORTING PERSONS</w:t>
      </w:r>
    </w:p>
    <w:p>
      <w:pPr>
        <w:spacing w:after="0" w:line="20" w:lineRule="exact"/>
        <w:rPr>
          <w:rFonts w:ascii="Arial" w:cs="Arial" w:eastAsia="Arial" w:hAnsi="Arial"/>
          <w:sz w:val="20"/>
          <w:szCs w:val="20"/>
          <w:color w:val="auto"/>
        </w:rPr>
      </w:pPr>
    </w:p>
    <w:p>
      <w:pPr>
        <w:ind w:left="920" w:right="3800"/>
        <w:spacing w:after="0" w:line="503" w:lineRule="auto"/>
        <w:rPr>
          <w:rFonts w:ascii="Arial" w:cs="Arial" w:eastAsia="Arial" w:hAnsi="Arial"/>
          <w:sz w:val="20"/>
          <w:szCs w:val="20"/>
          <w:color w:val="auto"/>
        </w:rPr>
      </w:pPr>
      <w:r>
        <w:rPr>
          <w:rFonts w:ascii="Arial" w:cs="Arial" w:eastAsia="Arial" w:hAnsi="Arial"/>
          <w:sz w:val="20"/>
          <w:szCs w:val="20"/>
          <w:color w:val="auto"/>
        </w:rPr>
        <w:t>I.R.S. IDENTIFICATION NOS. OF ABOVE PERSONS (ENTITIES ONLY) Steven Boyd</w:t>
      </w:r>
    </w:p>
    <w:p>
      <w:pPr>
        <w:spacing w:after="0" w:line="1" w:lineRule="exact"/>
        <w:rPr>
          <w:rFonts w:ascii="Arial" w:cs="Arial" w:eastAsia="Arial" w:hAnsi="Arial"/>
          <w:sz w:val="20"/>
          <w:szCs w:val="20"/>
          <w:color w:val="auto"/>
        </w:rPr>
      </w:pPr>
    </w:p>
    <w:p>
      <w:pPr>
        <w:ind w:left="920" w:hanging="915"/>
        <w:spacing w:after="0"/>
        <w:tabs>
          <w:tab w:leader="none" w:pos="9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6" w:lineRule="exact"/>
        <w:rPr>
          <w:sz w:val="20"/>
          <w:szCs w:val="20"/>
          <w:color w:val="auto"/>
        </w:rPr>
      </w:pPr>
    </w:p>
    <w:p>
      <w:pPr>
        <w:ind w:left="10280"/>
        <w:spacing w:after="0"/>
        <w:rPr>
          <w:sz w:val="20"/>
          <w:szCs w:val="20"/>
          <w:color w:val="auto"/>
        </w:rPr>
      </w:pPr>
      <w:r>
        <w:rPr>
          <w:rFonts w:ascii="Arial" w:cs="Arial" w:eastAsia="Arial" w:hAnsi="Arial"/>
          <w:sz w:val="20"/>
          <w:szCs w:val="20"/>
          <w:color w:val="auto"/>
        </w:rPr>
        <w:t>(a) [_]</w:t>
      </w:r>
    </w:p>
    <w:p>
      <w:pPr>
        <w:spacing w:after="0" w:line="4" w:lineRule="exact"/>
        <w:rPr>
          <w:sz w:val="20"/>
          <w:szCs w:val="20"/>
          <w:color w:val="auto"/>
        </w:rPr>
      </w:pPr>
    </w:p>
    <w:p>
      <w:pPr>
        <w:ind w:left="10280"/>
        <w:spacing w:after="0"/>
        <w:rPr>
          <w:sz w:val="20"/>
          <w:szCs w:val="20"/>
          <w:color w:val="auto"/>
        </w:rPr>
      </w:pPr>
      <w:r>
        <w:rPr>
          <w:rFonts w:ascii="Arial" w:cs="Arial" w:eastAsia="Arial" w:hAnsi="Arial"/>
          <w:sz w:val="20"/>
          <w:szCs w:val="20"/>
          <w:color w:val="auto"/>
        </w:rPr>
        <w:t>(b) [_]</w:t>
      </w:r>
    </w:p>
    <w:p>
      <w:pPr>
        <w:spacing w:after="0" w:line="249" w:lineRule="exact"/>
        <w:rPr>
          <w:sz w:val="20"/>
          <w:szCs w:val="20"/>
          <w:color w:val="auto"/>
        </w:rPr>
      </w:pPr>
    </w:p>
    <w:p>
      <w:pPr>
        <w:ind w:left="920" w:hanging="915"/>
        <w:spacing w:after="0"/>
        <w:tabs>
          <w:tab w:leader="none" w:pos="9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99" w:lineRule="exact"/>
        <w:rPr>
          <w:rFonts w:ascii="Arial" w:cs="Arial" w:eastAsia="Arial" w:hAnsi="Arial"/>
          <w:sz w:val="20"/>
          <w:szCs w:val="20"/>
          <w:color w:val="auto"/>
        </w:rPr>
      </w:pPr>
    </w:p>
    <w:p>
      <w:pPr>
        <w:ind w:left="920" w:right="5900" w:hanging="915"/>
        <w:spacing w:after="0" w:line="528" w:lineRule="auto"/>
        <w:tabs>
          <w:tab w:leader="none" w:pos="9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CITIZENSHIP OR PLACE OF ORGANIZATION United States of America</w:t>
      </w:r>
    </w:p>
    <w:p>
      <w:pPr>
        <w:spacing w:after="0" w:line="200" w:lineRule="exact"/>
        <w:rPr>
          <w:sz w:val="20"/>
          <w:szCs w:val="20"/>
          <w:color w:val="auto"/>
        </w:rPr>
      </w:pPr>
    </w:p>
    <w:p>
      <w:pPr>
        <w:spacing w:after="0" w:line="233" w:lineRule="exact"/>
        <w:rPr>
          <w:sz w:val="20"/>
          <w:szCs w:val="20"/>
          <w:color w:val="auto"/>
        </w:rPr>
      </w:pPr>
    </w:p>
    <w:p>
      <w:pPr>
        <w:ind w:left="920" w:right="7900" w:hanging="915"/>
        <w:spacing w:after="0" w:line="507" w:lineRule="auto"/>
        <w:tabs>
          <w:tab w:leader="none" w:pos="9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SOLE VOTING POWER 0</w:t>
      </w:r>
    </w:p>
    <w:p>
      <w:pPr>
        <w:ind w:left="920" w:right="7600" w:hanging="915"/>
        <w:spacing w:after="0" w:line="507" w:lineRule="auto"/>
        <w:tabs>
          <w:tab w:leader="none" w:pos="9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SHARED VOTING POWER 2,100,000</w:t>
      </w:r>
    </w:p>
    <w:p>
      <w:pPr>
        <w:ind w:left="920" w:right="7460" w:hanging="915"/>
        <w:spacing w:after="0" w:line="507" w:lineRule="auto"/>
        <w:tabs>
          <w:tab w:leader="none" w:pos="9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SOLE DISPOSITIVE POWER 0</w:t>
      </w:r>
    </w:p>
    <w:p>
      <w:pPr>
        <w:ind w:left="920" w:right="7160" w:hanging="915"/>
        <w:spacing w:after="0" w:line="507" w:lineRule="auto"/>
        <w:tabs>
          <w:tab w:leader="none" w:pos="9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SHARED DISPOSITIVE POWER 2,100,000</w:t>
      </w:r>
    </w:p>
    <w:p>
      <w:pPr>
        <w:ind w:left="920" w:right="2720" w:hanging="915"/>
        <w:spacing w:after="0" w:line="500" w:lineRule="auto"/>
        <w:tabs>
          <w:tab w:leader="none" w:pos="9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2,100,000</w:t>
      </w:r>
    </w:p>
    <w:p>
      <w:pPr>
        <w:ind w:left="920" w:right="1700" w:hanging="915"/>
        <w:spacing w:after="0" w:line="247" w:lineRule="auto"/>
        <w:tabs>
          <w:tab w:leader="none" w:pos="9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 (SEE INSTRUCTIONS)</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[_]</w:t>
      </w:r>
    </w:p>
    <w:p>
      <w:pPr>
        <w:spacing w:after="0" w:line="240" w:lineRule="exact"/>
        <w:rPr>
          <w:sz w:val="20"/>
          <w:szCs w:val="20"/>
          <w:color w:val="auto"/>
        </w:rPr>
      </w:pPr>
    </w:p>
    <w:p>
      <w:pPr>
        <w:ind w:left="920" w:right="4380" w:hanging="915"/>
        <w:spacing w:after="0" w:line="507" w:lineRule="auto"/>
        <w:tabs>
          <w:tab w:leader="none" w:pos="9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PERCENT OF CLASS REPRESENTED BY AMOUNT IN ROW (9) 5.6%</w:t>
      </w:r>
    </w:p>
    <w:p>
      <w:pPr>
        <w:ind w:left="920" w:right="5180" w:hanging="915"/>
        <w:spacing w:after="0" w:line="528" w:lineRule="auto"/>
        <w:tabs>
          <w:tab w:leader="none" w:pos="9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-13970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860"/>
          </w:cols>
          <w:pgMar w:left="340" w:top="717" w:right="69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 xml:space="preserve">CUSIP No </w:t>
      </w:r>
      <w:r>
        <w:rPr>
          <w:rFonts w:ascii="Arial" w:cs="Arial" w:eastAsia="Arial" w:hAnsi="Arial"/>
          <w:sz w:val="20"/>
          <w:szCs w:val="20"/>
          <w:u w:val="single" w:color="auto"/>
          <w:color w:val="auto"/>
        </w:rPr>
        <w:t>98885E103</w:t>
      </w:r>
    </w:p>
    <w:p>
      <w:pPr>
        <w:spacing w:after="0" w:line="256" w:lineRule="exact"/>
        <w:rPr>
          <w:sz w:val="20"/>
          <w:szCs w:val="20"/>
          <w:color w:val="auto"/>
        </w:rPr>
      </w:pPr>
    </w:p>
    <w:p>
      <w:pPr>
        <w:spacing w:after="0"/>
        <w:tabs>
          <w:tab w:leader="none" w:pos="1020" w:val="left"/>
          <w:tab w:leader="none" w:pos="1600" w:val="left"/>
        </w:tabs>
        <w:rPr>
          <w:sz w:val="20"/>
          <w:szCs w:val="20"/>
          <w:color w:val="auto"/>
        </w:rPr>
      </w:pPr>
      <w:r>
        <w:rPr>
          <w:rFonts w:ascii="Arial" w:cs="Arial" w:eastAsia="Arial" w:hAnsi="Arial"/>
          <w:sz w:val="20"/>
          <w:szCs w:val="20"/>
          <w:color w:val="auto"/>
        </w:rPr>
        <w:t>Item 1.</w:t>
      </w:r>
      <w:r>
        <w:rPr>
          <w:sz w:val="20"/>
          <w:szCs w:val="20"/>
          <w:color w:val="auto"/>
        </w:rPr>
        <w:tab/>
      </w:r>
      <w:r>
        <w:rPr>
          <w:rFonts w:ascii="Arial" w:cs="Arial" w:eastAsia="Arial" w:hAnsi="Arial"/>
          <w:sz w:val="20"/>
          <w:szCs w:val="20"/>
          <w:color w:val="auto"/>
        </w:rPr>
        <w:t>(a).</w:t>
      </w:r>
      <w:r>
        <w:rPr>
          <w:sz w:val="20"/>
          <w:szCs w:val="20"/>
          <w:color w:val="auto"/>
        </w:rPr>
        <w:tab/>
      </w:r>
      <w:r>
        <w:rPr>
          <w:rFonts w:ascii="Arial" w:cs="Arial" w:eastAsia="Arial" w:hAnsi="Arial"/>
          <w:sz w:val="16"/>
          <w:szCs w:val="16"/>
          <w:color w:val="auto"/>
        </w:rPr>
        <w:t>Name of Issuer:</w:t>
      </w:r>
    </w:p>
    <w:p>
      <w:pPr>
        <w:spacing w:after="0" w:line="256"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Zafgen,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962025</wp:posOffset>
            </wp:positionH>
            <wp:positionV relativeFrom="paragraph">
              <wp:posOffset>19050</wp:posOffset>
            </wp:positionV>
            <wp:extent cx="55054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05450" cy="8890"/>
                    </a:xfrm>
                    <a:prstGeom prst="rect">
                      <a:avLst/>
                    </a:prstGeom>
                    <a:noFill/>
                  </pic:spPr>
                </pic:pic>
              </a:graphicData>
            </a:graphic>
          </wp:anchor>
        </w:drawing>
      </w:r>
    </w:p>
    <w:p>
      <w:pPr>
        <w:spacing w:after="0" w:line="250" w:lineRule="exact"/>
        <w:rPr>
          <w:sz w:val="20"/>
          <w:szCs w:val="20"/>
          <w:color w:val="auto"/>
        </w:rPr>
      </w:pPr>
    </w:p>
    <w:p>
      <w:pPr>
        <w:ind w:left="1040"/>
        <w:spacing w:after="0"/>
        <w:tabs>
          <w:tab w:leader="none" w:pos="160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8"/>
          <w:szCs w:val="18"/>
          <w:color w:val="auto"/>
        </w:rPr>
        <w:t>Address of Issuer's Principal Executive Offices:</w:t>
      </w:r>
    </w:p>
    <w:p>
      <w:pPr>
        <w:spacing w:after="0" w:line="176"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175 Portland Street, 4</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Floor</w:t>
      </w:r>
    </w:p>
    <w:p>
      <w:pPr>
        <w:ind w:left="1620"/>
        <w:spacing w:after="0"/>
        <w:rPr>
          <w:sz w:val="20"/>
          <w:szCs w:val="20"/>
          <w:color w:val="auto"/>
        </w:rPr>
      </w:pPr>
      <w:r>
        <w:rPr>
          <w:rFonts w:ascii="Arial" w:cs="Arial" w:eastAsia="Arial" w:hAnsi="Arial"/>
          <w:sz w:val="20"/>
          <w:szCs w:val="20"/>
          <w:color w:val="auto"/>
        </w:rPr>
        <w:t>Boston, Massachusetts 02114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962025</wp:posOffset>
            </wp:positionH>
            <wp:positionV relativeFrom="paragraph">
              <wp:posOffset>0</wp:posOffset>
            </wp:positionV>
            <wp:extent cx="5505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0545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tabs>
          <w:tab w:leader="none" w:pos="1020" w:val="left"/>
          <w:tab w:leader="none" w:pos="1600" w:val="left"/>
        </w:tabs>
        <w:rPr>
          <w:sz w:val="20"/>
          <w:szCs w:val="20"/>
          <w:color w:val="auto"/>
        </w:rPr>
      </w:pPr>
      <w:r>
        <w:rPr>
          <w:rFonts w:ascii="Arial" w:cs="Arial" w:eastAsia="Arial" w:hAnsi="Arial"/>
          <w:sz w:val="20"/>
          <w:szCs w:val="20"/>
          <w:color w:val="auto"/>
        </w:rPr>
        <w:t>Item 2.</w:t>
      </w:r>
      <w:r>
        <w:rPr>
          <w:sz w:val="20"/>
          <w:szCs w:val="20"/>
          <w:color w:val="auto"/>
        </w:rPr>
        <w:tab/>
      </w:r>
      <w:r>
        <w:rPr>
          <w:rFonts w:ascii="Arial" w:cs="Arial" w:eastAsia="Arial" w:hAnsi="Arial"/>
          <w:sz w:val="20"/>
          <w:szCs w:val="20"/>
          <w:color w:val="auto"/>
        </w:rPr>
        <w:t>(a).</w:t>
      </w:r>
      <w:r>
        <w:rPr>
          <w:sz w:val="20"/>
          <w:szCs w:val="20"/>
          <w:color w:val="auto"/>
        </w:rPr>
        <w:tab/>
      </w:r>
      <w:r>
        <w:rPr>
          <w:rFonts w:ascii="Arial" w:cs="Arial" w:eastAsia="Arial" w:hAnsi="Arial"/>
          <w:sz w:val="18"/>
          <w:szCs w:val="18"/>
          <w:color w:val="auto"/>
        </w:rPr>
        <w:t>Name of Person Filing:</w:t>
      </w:r>
    </w:p>
    <w:p>
      <w:pPr>
        <w:spacing w:after="0" w:line="256"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Armistice Capital, LLC</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Armistice Capital Master Fund Ltd.</w:t>
      </w:r>
    </w:p>
    <w:p>
      <w:pPr>
        <w:ind w:left="1620"/>
        <w:spacing w:after="0"/>
        <w:rPr>
          <w:sz w:val="20"/>
          <w:szCs w:val="20"/>
          <w:color w:val="auto"/>
        </w:rPr>
      </w:pPr>
      <w:r>
        <w:rPr>
          <w:rFonts w:ascii="Arial" w:cs="Arial" w:eastAsia="Arial" w:hAnsi="Arial"/>
          <w:sz w:val="20"/>
          <w:szCs w:val="20"/>
          <w:color w:val="auto"/>
        </w:rPr>
        <w:t>Steven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962025</wp:posOffset>
            </wp:positionH>
            <wp:positionV relativeFrom="paragraph">
              <wp:posOffset>0</wp:posOffset>
            </wp:positionV>
            <wp:extent cx="5505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05450" cy="8890"/>
                    </a:xfrm>
                    <a:prstGeom prst="rect">
                      <a:avLst/>
                    </a:prstGeom>
                    <a:noFill/>
                  </pic:spPr>
                </pic:pic>
              </a:graphicData>
            </a:graphic>
          </wp:anchor>
        </w:drawing>
      </w:r>
    </w:p>
    <w:p>
      <w:pPr>
        <w:spacing w:after="0" w:line="220" w:lineRule="exact"/>
        <w:rPr>
          <w:sz w:val="20"/>
          <w:szCs w:val="20"/>
          <w:color w:val="auto"/>
        </w:rPr>
      </w:pPr>
    </w:p>
    <w:p>
      <w:pPr>
        <w:jc w:val="right"/>
        <w:ind w:right="3699"/>
        <w:spacing w:after="0"/>
        <w:tabs>
          <w:tab w:leader="none" w:pos="478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8"/>
          <w:szCs w:val="18"/>
          <w:color w:val="auto"/>
        </w:rPr>
        <w:t>Address of Principal Business Office, or if None, Residence:</w:t>
      </w:r>
    </w:p>
    <w:p>
      <w:pPr>
        <w:spacing w:after="0" w:line="256"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Armistice Capital, LLC</w:t>
      </w:r>
    </w:p>
    <w:p>
      <w:pPr>
        <w:ind w:left="1620"/>
        <w:spacing w:after="0" w:line="189" w:lineRule="auto"/>
        <w:rPr>
          <w:sz w:val="20"/>
          <w:szCs w:val="20"/>
          <w:color w:val="auto"/>
        </w:rPr>
      </w:pPr>
      <w:r>
        <w:rPr>
          <w:rFonts w:ascii="Arial" w:cs="Arial" w:eastAsia="Arial" w:hAnsi="Arial"/>
          <w:sz w:val="20"/>
          <w:szCs w:val="20"/>
          <w:color w:val="auto"/>
        </w:rPr>
        <w:t>510 Madison Avenue, 7</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Floor</w:t>
      </w:r>
    </w:p>
    <w:p>
      <w:pPr>
        <w:ind w:left="1620"/>
        <w:spacing w:after="0"/>
        <w:rPr>
          <w:sz w:val="20"/>
          <w:szCs w:val="20"/>
          <w:color w:val="auto"/>
        </w:rPr>
      </w:pPr>
      <w:r>
        <w:rPr>
          <w:rFonts w:ascii="Arial" w:cs="Arial" w:eastAsia="Arial" w:hAnsi="Arial"/>
          <w:sz w:val="20"/>
          <w:szCs w:val="20"/>
          <w:color w:val="auto"/>
        </w:rPr>
        <w:t>New York, New York 10022</w:t>
      </w:r>
    </w:p>
    <w:p>
      <w:pPr>
        <w:ind w:left="1620"/>
        <w:spacing w:after="0"/>
        <w:rPr>
          <w:sz w:val="20"/>
          <w:szCs w:val="20"/>
          <w:color w:val="auto"/>
        </w:rPr>
      </w:pPr>
      <w:r>
        <w:rPr>
          <w:rFonts w:ascii="Arial" w:cs="Arial" w:eastAsia="Arial" w:hAnsi="Arial"/>
          <w:sz w:val="20"/>
          <w:szCs w:val="20"/>
          <w:color w:val="auto"/>
        </w:rPr>
        <w:t>United States of America</w:t>
      </w:r>
    </w:p>
    <w:p>
      <w:pPr>
        <w:spacing w:after="0" w:line="213"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Armistice Capital Master Fund Ltd.</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c/o dms Corporate Services Ltd.</w:t>
      </w:r>
    </w:p>
    <w:p>
      <w:pPr>
        <w:ind w:left="1620"/>
        <w:spacing w:after="0"/>
        <w:rPr>
          <w:sz w:val="20"/>
          <w:szCs w:val="20"/>
          <w:color w:val="auto"/>
        </w:rPr>
      </w:pPr>
      <w:r>
        <w:rPr>
          <w:rFonts w:ascii="Arial" w:cs="Arial" w:eastAsia="Arial" w:hAnsi="Arial"/>
          <w:sz w:val="20"/>
          <w:szCs w:val="20"/>
          <w:color w:val="auto"/>
        </w:rPr>
        <w:t>20 Genesis Close</w:t>
      </w:r>
    </w:p>
    <w:p>
      <w:pPr>
        <w:ind w:left="1620"/>
        <w:spacing w:after="0"/>
        <w:rPr>
          <w:sz w:val="20"/>
          <w:szCs w:val="20"/>
          <w:color w:val="auto"/>
        </w:rPr>
      </w:pPr>
      <w:r>
        <w:rPr>
          <w:rFonts w:ascii="Arial" w:cs="Arial" w:eastAsia="Arial" w:hAnsi="Arial"/>
          <w:sz w:val="20"/>
          <w:szCs w:val="20"/>
          <w:color w:val="auto"/>
        </w:rPr>
        <w:t>P.O. Box 314</w:t>
      </w:r>
    </w:p>
    <w:p>
      <w:pPr>
        <w:ind w:left="1620"/>
        <w:spacing w:after="0"/>
        <w:rPr>
          <w:sz w:val="20"/>
          <w:szCs w:val="20"/>
          <w:color w:val="auto"/>
        </w:rPr>
      </w:pPr>
      <w:r>
        <w:rPr>
          <w:rFonts w:ascii="Arial" w:cs="Arial" w:eastAsia="Arial" w:hAnsi="Arial"/>
          <w:sz w:val="20"/>
          <w:szCs w:val="20"/>
          <w:color w:val="auto"/>
        </w:rPr>
        <w:t>Grand Cayman KY1-1104</w:t>
      </w:r>
    </w:p>
    <w:p>
      <w:pPr>
        <w:ind w:left="1620"/>
        <w:spacing w:after="0"/>
        <w:rPr>
          <w:sz w:val="20"/>
          <w:szCs w:val="20"/>
          <w:color w:val="auto"/>
        </w:rPr>
      </w:pPr>
      <w:r>
        <w:rPr>
          <w:rFonts w:ascii="Arial" w:cs="Arial" w:eastAsia="Arial" w:hAnsi="Arial"/>
          <w:sz w:val="20"/>
          <w:szCs w:val="20"/>
          <w:color w:val="auto"/>
        </w:rPr>
        <w:t>Cayman Islands</w:t>
      </w:r>
    </w:p>
    <w:p>
      <w:pPr>
        <w:spacing w:after="0" w:line="213"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Steven Boyd</w:t>
      </w:r>
    </w:p>
    <w:p>
      <w:pPr>
        <w:spacing w:after="0" w:line="16"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c/o Armistice Capital, LLC</w:t>
      </w:r>
    </w:p>
    <w:p>
      <w:pPr>
        <w:ind w:left="1620"/>
        <w:spacing w:after="0" w:line="184" w:lineRule="auto"/>
        <w:rPr>
          <w:sz w:val="20"/>
          <w:szCs w:val="20"/>
          <w:color w:val="auto"/>
        </w:rPr>
      </w:pPr>
      <w:r>
        <w:rPr>
          <w:rFonts w:ascii="Arial" w:cs="Arial" w:eastAsia="Arial" w:hAnsi="Arial"/>
          <w:sz w:val="19"/>
          <w:szCs w:val="19"/>
          <w:color w:val="auto"/>
        </w:rPr>
        <w:t>510 Madison Avenue, 7</w:t>
      </w:r>
      <w:r>
        <w:rPr>
          <w:rFonts w:ascii="Arial" w:cs="Arial" w:eastAsia="Arial" w:hAnsi="Arial"/>
          <w:sz w:val="32"/>
          <w:szCs w:val="32"/>
          <w:color w:val="auto"/>
          <w:vertAlign w:val="superscript"/>
        </w:rPr>
        <w:t>th</w:t>
      </w:r>
      <w:r>
        <w:rPr>
          <w:rFonts w:ascii="Arial" w:cs="Arial" w:eastAsia="Arial" w:hAnsi="Arial"/>
          <w:sz w:val="19"/>
          <w:szCs w:val="19"/>
          <w:color w:val="auto"/>
        </w:rPr>
        <w:t xml:space="preserve"> Floor</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New York, New York 10022</w:t>
      </w:r>
    </w:p>
    <w:p>
      <w:pPr>
        <w:ind w:left="1620"/>
        <w:spacing w:after="0"/>
        <w:rPr>
          <w:sz w:val="20"/>
          <w:szCs w:val="20"/>
          <w:color w:val="auto"/>
        </w:rPr>
      </w:pPr>
      <w:r>
        <w:rPr>
          <w:rFonts w:ascii="Arial" w:cs="Arial" w:eastAsia="Arial" w:hAnsi="Arial"/>
          <w:sz w:val="20"/>
          <w:szCs w:val="20"/>
          <w:color w:val="auto"/>
        </w:rPr>
        <w:t>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962025</wp:posOffset>
            </wp:positionH>
            <wp:positionV relativeFrom="paragraph">
              <wp:posOffset>0</wp:posOffset>
            </wp:positionV>
            <wp:extent cx="5505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05450" cy="8890"/>
                    </a:xfrm>
                    <a:prstGeom prst="rect">
                      <a:avLst/>
                    </a:prstGeom>
                    <a:noFill/>
                  </pic:spPr>
                </pic:pic>
              </a:graphicData>
            </a:graphic>
          </wp:anchor>
        </w:drawing>
      </w:r>
    </w:p>
    <w:p>
      <w:pPr>
        <w:spacing w:after="0" w:line="220" w:lineRule="exact"/>
        <w:rPr>
          <w:sz w:val="20"/>
          <w:szCs w:val="20"/>
          <w:color w:val="auto"/>
        </w:rPr>
      </w:pPr>
    </w:p>
    <w:p>
      <w:pPr>
        <w:ind w:left="1620" w:hanging="588"/>
        <w:spacing w:after="0"/>
        <w:tabs>
          <w:tab w:leader="none" w:pos="16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Citizenship:</w:t>
      </w:r>
    </w:p>
    <w:p>
      <w:pPr>
        <w:spacing w:after="0" w:line="256" w:lineRule="exact"/>
        <w:rPr>
          <w:rFonts w:ascii="Arial" w:cs="Arial" w:eastAsia="Arial" w:hAnsi="Arial"/>
          <w:sz w:val="20"/>
          <w:szCs w:val="20"/>
          <w:color w:val="auto"/>
        </w:rPr>
      </w:pPr>
    </w:p>
    <w:p>
      <w:pPr>
        <w:ind w:left="1620"/>
        <w:spacing w:after="0"/>
        <w:rPr>
          <w:rFonts w:ascii="Arial" w:cs="Arial" w:eastAsia="Arial" w:hAnsi="Arial"/>
          <w:sz w:val="20"/>
          <w:szCs w:val="20"/>
          <w:color w:val="auto"/>
        </w:rPr>
      </w:pPr>
      <w:r>
        <w:rPr>
          <w:rFonts w:ascii="Arial" w:cs="Arial" w:eastAsia="Arial" w:hAnsi="Arial"/>
          <w:sz w:val="20"/>
          <w:szCs w:val="20"/>
          <w:color w:val="auto"/>
        </w:rPr>
        <w:t>Armistice Capital, LLC – Delaware</w:t>
      </w:r>
    </w:p>
    <w:p>
      <w:pPr>
        <w:spacing w:after="0" w:line="15" w:lineRule="exact"/>
        <w:rPr>
          <w:rFonts w:ascii="Arial" w:cs="Arial" w:eastAsia="Arial" w:hAnsi="Arial"/>
          <w:sz w:val="20"/>
          <w:szCs w:val="20"/>
          <w:color w:val="auto"/>
        </w:rPr>
      </w:pPr>
    </w:p>
    <w:p>
      <w:pPr>
        <w:ind w:left="1620" w:right="4199"/>
        <w:spacing w:after="0" w:line="244" w:lineRule="auto"/>
        <w:rPr>
          <w:rFonts w:ascii="Arial" w:cs="Arial" w:eastAsia="Arial" w:hAnsi="Arial"/>
          <w:sz w:val="20"/>
          <w:szCs w:val="20"/>
          <w:color w:val="auto"/>
        </w:rPr>
      </w:pPr>
      <w:r>
        <w:rPr>
          <w:rFonts w:ascii="Arial" w:cs="Arial" w:eastAsia="Arial" w:hAnsi="Arial"/>
          <w:sz w:val="20"/>
          <w:szCs w:val="20"/>
          <w:color w:val="auto"/>
        </w:rPr>
        <w:t>Armistice Capital Master Fund Ltd. – Cayman Islands Steven Boyd –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962025</wp:posOffset>
            </wp:positionH>
            <wp:positionV relativeFrom="paragraph">
              <wp:posOffset>-4445</wp:posOffset>
            </wp:positionV>
            <wp:extent cx="55054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05450" cy="8890"/>
                    </a:xfrm>
                    <a:prstGeom prst="rect">
                      <a:avLst/>
                    </a:prstGeom>
                    <a:noFill/>
                  </pic:spPr>
                </pic:pic>
              </a:graphicData>
            </a:graphic>
          </wp:anchor>
        </w:drawing>
      </w:r>
    </w:p>
    <w:p>
      <w:pPr>
        <w:spacing w:after="0" w:line="212" w:lineRule="exact"/>
        <w:rPr>
          <w:sz w:val="20"/>
          <w:szCs w:val="20"/>
          <w:color w:val="auto"/>
        </w:rPr>
      </w:pPr>
    </w:p>
    <w:p>
      <w:pPr>
        <w:ind w:left="1040"/>
        <w:spacing w:after="0"/>
        <w:tabs>
          <w:tab w:leader="none" w:pos="160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Title of Class of Securities:</w:t>
      </w:r>
    </w:p>
    <w:p>
      <w:pPr>
        <w:spacing w:after="0" w:line="256"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Common Stock, $0.001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962025</wp:posOffset>
            </wp:positionH>
            <wp:positionV relativeFrom="paragraph">
              <wp:posOffset>19050</wp:posOffset>
            </wp:positionV>
            <wp:extent cx="55054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05450" cy="8890"/>
                    </a:xfrm>
                    <a:prstGeom prst="rect">
                      <a:avLst/>
                    </a:prstGeom>
                    <a:noFill/>
                  </pic:spPr>
                </pic:pic>
              </a:graphicData>
            </a:graphic>
          </wp:anchor>
        </w:drawing>
      </w:r>
    </w:p>
    <w:p>
      <w:pPr>
        <w:spacing w:after="0" w:line="250" w:lineRule="exact"/>
        <w:rPr>
          <w:sz w:val="20"/>
          <w:szCs w:val="20"/>
          <w:color w:val="auto"/>
        </w:rPr>
      </w:pPr>
    </w:p>
    <w:p>
      <w:pPr>
        <w:ind w:left="1040"/>
        <w:spacing w:after="0"/>
        <w:tabs>
          <w:tab w:leader="none" w:pos="1600" w:val="left"/>
        </w:tabs>
        <w:rPr>
          <w:sz w:val="20"/>
          <w:szCs w:val="20"/>
          <w:color w:val="auto"/>
        </w:rPr>
      </w:pPr>
      <w:r>
        <w:rPr>
          <w:rFonts w:ascii="Arial" w:cs="Arial" w:eastAsia="Arial" w:hAnsi="Arial"/>
          <w:sz w:val="20"/>
          <w:szCs w:val="20"/>
          <w:color w:val="auto"/>
        </w:rPr>
        <w:t>(e).</w:t>
      </w:r>
      <w:r>
        <w:rPr>
          <w:sz w:val="20"/>
          <w:szCs w:val="20"/>
          <w:color w:val="auto"/>
        </w:rPr>
        <w:tab/>
      </w:r>
      <w:r>
        <w:rPr>
          <w:rFonts w:ascii="Arial" w:cs="Arial" w:eastAsia="Arial" w:hAnsi="Arial"/>
          <w:sz w:val="18"/>
          <w:szCs w:val="18"/>
          <w:color w:val="auto"/>
        </w:rPr>
        <w:t>CUSIP Number:</w:t>
      </w:r>
    </w:p>
    <w:p>
      <w:pPr>
        <w:spacing w:after="0" w:line="256"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98885E103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962025</wp:posOffset>
            </wp:positionH>
            <wp:positionV relativeFrom="paragraph">
              <wp:posOffset>19050</wp:posOffset>
            </wp:positionV>
            <wp:extent cx="55054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0545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182245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119"/>
          </w:cols>
          <w:pgMar w:left="340" w:top="71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0"/>
        </w:trPr>
        <w:tc>
          <w:tcPr>
            <w:tcW w:w="800" w:type="dxa"/>
            <w:vAlign w:val="bottom"/>
          </w:tcPr>
          <w:p>
            <w:pPr>
              <w:spacing w:after="0"/>
              <w:rPr>
                <w:sz w:val="20"/>
                <w:szCs w:val="20"/>
                <w:color w:val="auto"/>
              </w:rPr>
            </w:pPr>
            <w:r>
              <w:rPr>
                <w:rFonts w:ascii="Arial" w:cs="Arial" w:eastAsia="Arial" w:hAnsi="Arial"/>
                <w:sz w:val="20"/>
                <w:szCs w:val="20"/>
                <w:color w:val="auto"/>
              </w:rPr>
              <w:t>Item 3.</w:t>
            </w:r>
          </w:p>
        </w:tc>
        <w:tc>
          <w:tcPr>
            <w:tcW w:w="640" w:type="dxa"/>
            <w:vAlign w:val="bottom"/>
          </w:tcPr>
          <w:p>
            <w:pPr>
              <w:spacing w:after="0"/>
              <w:rPr>
                <w:sz w:val="21"/>
                <w:szCs w:val="21"/>
                <w:color w:val="auto"/>
              </w:rPr>
            </w:pPr>
          </w:p>
        </w:tc>
        <w:tc>
          <w:tcPr>
            <w:tcW w:w="9780" w:type="dxa"/>
            <w:vAlign w:val="bottom"/>
            <w:gridSpan w:val="2"/>
          </w:tcPr>
          <w:p>
            <w:pPr>
              <w:ind w:left="180"/>
              <w:spacing w:after="0"/>
              <w:rPr>
                <w:sz w:val="20"/>
                <w:szCs w:val="20"/>
                <w:color w:val="auto"/>
              </w:rPr>
            </w:pPr>
            <w:r>
              <w:rPr>
                <w:rFonts w:ascii="Arial" w:cs="Arial" w:eastAsia="Arial" w:hAnsi="Arial"/>
                <w:sz w:val="20"/>
                <w:szCs w:val="20"/>
                <w:color w:val="auto"/>
                <w:w w:val="96"/>
              </w:rPr>
              <w:t>If This Statement is filed pursuant to ss.240.13d-1(b) or 240.13d-2(b), or (c), check whether the person filing is a</w:t>
            </w:r>
          </w:p>
        </w:tc>
      </w:tr>
      <w:tr>
        <w:trPr>
          <w:trHeight w:val="486"/>
        </w:trPr>
        <w:tc>
          <w:tcPr>
            <w:tcW w:w="80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Arial" w:cs="Arial" w:eastAsia="Arial" w:hAnsi="Arial"/>
                <w:sz w:val="20"/>
                <w:szCs w:val="20"/>
                <w:color w:val="auto"/>
              </w:rPr>
              <w:t>(a)</w:t>
            </w:r>
          </w:p>
        </w:tc>
        <w:tc>
          <w:tcPr>
            <w:tcW w:w="620" w:type="dxa"/>
            <w:vAlign w:val="bottom"/>
          </w:tcPr>
          <w:p>
            <w:pPr>
              <w:ind w:left="180"/>
              <w:spacing w:after="0"/>
              <w:rPr>
                <w:sz w:val="20"/>
                <w:szCs w:val="20"/>
                <w:color w:val="auto"/>
              </w:rPr>
            </w:pPr>
            <w:r>
              <w:rPr>
                <w:rFonts w:ascii="Arial" w:cs="Arial" w:eastAsia="Arial" w:hAnsi="Arial"/>
                <w:sz w:val="20"/>
                <w:szCs w:val="20"/>
                <w:color w:val="auto"/>
              </w:rPr>
              <w:t>[_]</w:t>
            </w:r>
          </w:p>
        </w:tc>
        <w:tc>
          <w:tcPr>
            <w:tcW w:w="9160" w:type="dxa"/>
            <w:vAlign w:val="bottom"/>
          </w:tcPr>
          <w:p>
            <w:pPr>
              <w:ind w:left="120"/>
              <w:spacing w:after="0"/>
              <w:rPr>
                <w:sz w:val="20"/>
                <w:szCs w:val="20"/>
                <w:color w:val="auto"/>
              </w:rPr>
            </w:pPr>
            <w:r>
              <w:rPr>
                <w:rFonts w:ascii="Arial" w:cs="Arial" w:eastAsia="Arial" w:hAnsi="Arial"/>
                <w:sz w:val="20"/>
                <w:szCs w:val="20"/>
                <w:color w:val="auto"/>
              </w:rPr>
              <w:t>Broker or dealer registered under Section 15 of the Exchange Act (15 U.S.C. 78c).</w:t>
            </w:r>
          </w:p>
        </w:tc>
      </w:tr>
      <w:tr>
        <w:trPr>
          <w:trHeight w:val="486"/>
        </w:trPr>
        <w:tc>
          <w:tcPr>
            <w:tcW w:w="80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Arial" w:cs="Arial" w:eastAsia="Arial" w:hAnsi="Arial"/>
                <w:sz w:val="20"/>
                <w:szCs w:val="20"/>
                <w:color w:val="auto"/>
              </w:rPr>
              <w:t>(b)</w:t>
            </w:r>
          </w:p>
        </w:tc>
        <w:tc>
          <w:tcPr>
            <w:tcW w:w="620" w:type="dxa"/>
            <w:vAlign w:val="bottom"/>
          </w:tcPr>
          <w:p>
            <w:pPr>
              <w:ind w:left="180"/>
              <w:spacing w:after="0"/>
              <w:rPr>
                <w:sz w:val="20"/>
                <w:szCs w:val="20"/>
                <w:color w:val="auto"/>
              </w:rPr>
            </w:pPr>
            <w:r>
              <w:rPr>
                <w:rFonts w:ascii="Arial" w:cs="Arial" w:eastAsia="Arial" w:hAnsi="Arial"/>
                <w:sz w:val="20"/>
                <w:szCs w:val="20"/>
                <w:color w:val="auto"/>
              </w:rPr>
              <w:t>[_]</w:t>
            </w:r>
          </w:p>
        </w:tc>
        <w:tc>
          <w:tcPr>
            <w:tcW w:w="9160" w:type="dxa"/>
            <w:vAlign w:val="bottom"/>
          </w:tcPr>
          <w:p>
            <w:pPr>
              <w:ind w:left="120"/>
              <w:spacing w:after="0"/>
              <w:rPr>
                <w:sz w:val="20"/>
                <w:szCs w:val="20"/>
                <w:color w:val="auto"/>
              </w:rPr>
            </w:pPr>
            <w:r>
              <w:rPr>
                <w:rFonts w:ascii="Arial" w:cs="Arial" w:eastAsia="Arial" w:hAnsi="Arial"/>
                <w:sz w:val="20"/>
                <w:szCs w:val="20"/>
                <w:color w:val="auto"/>
              </w:rPr>
              <w:t>Bank as defined in Section 3(a)(6) of the Exchange Act (15 U.S.C. 78c).</w:t>
            </w:r>
          </w:p>
        </w:tc>
      </w:tr>
      <w:tr>
        <w:trPr>
          <w:trHeight w:val="486"/>
        </w:trPr>
        <w:tc>
          <w:tcPr>
            <w:tcW w:w="80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Arial" w:cs="Arial" w:eastAsia="Arial" w:hAnsi="Arial"/>
                <w:sz w:val="20"/>
                <w:szCs w:val="20"/>
                <w:color w:val="auto"/>
              </w:rPr>
              <w:t>(c)</w:t>
            </w:r>
          </w:p>
        </w:tc>
        <w:tc>
          <w:tcPr>
            <w:tcW w:w="620" w:type="dxa"/>
            <w:vAlign w:val="bottom"/>
          </w:tcPr>
          <w:p>
            <w:pPr>
              <w:ind w:left="180"/>
              <w:spacing w:after="0"/>
              <w:rPr>
                <w:sz w:val="20"/>
                <w:szCs w:val="20"/>
                <w:color w:val="auto"/>
              </w:rPr>
            </w:pPr>
            <w:r>
              <w:rPr>
                <w:rFonts w:ascii="Arial" w:cs="Arial" w:eastAsia="Arial" w:hAnsi="Arial"/>
                <w:sz w:val="20"/>
                <w:szCs w:val="20"/>
                <w:color w:val="auto"/>
              </w:rPr>
              <w:t>[_]</w:t>
            </w:r>
          </w:p>
        </w:tc>
        <w:tc>
          <w:tcPr>
            <w:tcW w:w="9160" w:type="dxa"/>
            <w:vAlign w:val="bottom"/>
          </w:tcPr>
          <w:p>
            <w:pPr>
              <w:ind w:left="120"/>
              <w:spacing w:after="0"/>
              <w:rPr>
                <w:sz w:val="20"/>
                <w:szCs w:val="20"/>
                <w:color w:val="auto"/>
              </w:rPr>
            </w:pPr>
            <w:r>
              <w:rPr>
                <w:rFonts w:ascii="Arial" w:cs="Arial" w:eastAsia="Arial" w:hAnsi="Arial"/>
                <w:sz w:val="20"/>
                <w:szCs w:val="20"/>
                <w:color w:val="auto"/>
              </w:rPr>
              <w:t>Insurance company as defined in Section 3(a)(19) of the Exchange Act (15 U.S.C. 78c).</w:t>
            </w:r>
          </w:p>
        </w:tc>
      </w:tr>
      <w:tr>
        <w:trPr>
          <w:trHeight w:val="486"/>
        </w:trPr>
        <w:tc>
          <w:tcPr>
            <w:tcW w:w="80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Arial" w:cs="Arial" w:eastAsia="Arial" w:hAnsi="Arial"/>
                <w:sz w:val="20"/>
                <w:szCs w:val="20"/>
                <w:color w:val="auto"/>
              </w:rPr>
              <w:t>(d)</w:t>
            </w:r>
          </w:p>
        </w:tc>
        <w:tc>
          <w:tcPr>
            <w:tcW w:w="620" w:type="dxa"/>
            <w:vAlign w:val="bottom"/>
          </w:tcPr>
          <w:p>
            <w:pPr>
              <w:ind w:left="180"/>
              <w:spacing w:after="0"/>
              <w:rPr>
                <w:sz w:val="20"/>
                <w:szCs w:val="20"/>
                <w:color w:val="auto"/>
              </w:rPr>
            </w:pPr>
            <w:r>
              <w:rPr>
                <w:rFonts w:ascii="Arial" w:cs="Arial" w:eastAsia="Arial" w:hAnsi="Arial"/>
                <w:sz w:val="20"/>
                <w:szCs w:val="20"/>
                <w:color w:val="auto"/>
              </w:rPr>
              <w:t>[_]</w:t>
            </w:r>
          </w:p>
        </w:tc>
        <w:tc>
          <w:tcPr>
            <w:tcW w:w="9160" w:type="dxa"/>
            <w:vAlign w:val="bottom"/>
          </w:tcPr>
          <w:p>
            <w:pPr>
              <w:ind w:left="120"/>
              <w:spacing w:after="0"/>
              <w:rPr>
                <w:sz w:val="20"/>
                <w:szCs w:val="20"/>
                <w:color w:val="auto"/>
              </w:rPr>
            </w:pPr>
            <w:r>
              <w:rPr>
                <w:rFonts w:ascii="Arial" w:cs="Arial" w:eastAsia="Arial" w:hAnsi="Arial"/>
                <w:sz w:val="20"/>
                <w:szCs w:val="20"/>
                <w:color w:val="auto"/>
                <w:w w:val="95"/>
              </w:rPr>
              <w:t>Investment company registered under Section 8 of the Investment Company Act of 1940 (15 U.S.C. 80a-8).</w:t>
            </w:r>
          </w:p>
        </w:tc>
      </w:tr>
      <w:tr>
        <w:trPr>
          <w:trHeight w:val="486"/>
        </w:trPr>
        <w:tc>
          <w:tcPr>
            <w:tcW w:w="80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Arial" w:cs="Arial" w:eastAsia="Arial" w:hAnsi="Arial"/>
                <w:sz w:val="20"/>
                <w:szCs w:val="20"/>
                <w:color w:val="auto"/>
              </w:rPr>
              <w:t>(e)</w:t>
            </w:r>
          </w:p>
        </w:tc>
        <w:tc>
          <w:tcPr>
            <w:tcW w:w="620" w:type="dxa"/>
            <w:vAlign w:val="bottom"/>
          </w:tcPr>
          <w:p>
            <w:pPr>
              <w:ind w:left="180"/>
              <w:spacing w:after="0"/>
              <w:rPr>
                <w:sz w:val="20"/>
                <w:szCs w:val="20"/>
                <w:color w:val="auto"/>
              </w:rPr>
            </w:pPr>
            <w:r>
              <w:rPr>
                <w:rFonts w:ascii="Arial" w:cs="Arial" w:eastAsia="Arial" w:hAnsi="Arial"/>
                <w:sz w:val="20"/>
                <w:szCs w:val="20"/>
                <w:color w:val="auto"/>
              </w:rPr>
              <w:t>[_]</w:t>
            </w:r>
          </w:p>
        </w:tc>
        <w:tc>
          <w:tcPr>
            <w:tcW w:w="9160" w:type="dxa"/>
            <w:vAlign w:val="bottom"/>
          </w:tcPr>
          <w:p>
            <w:pPr>
              <w:ind w:left="120"/>
              <w:spacing w:after="0"/>
              <w:rPr>
                <w:sz w:val="20"/>
                <w:szCs w:val="20"/>
                <w:color w:val="auto"/>
              </w:rPr>
            </w:pPr>
            <w:r>
              <w:rPr>
                <w:rFonts w:ascii="Arial" w:cs="Arial" w:eastAsia="Arial" w:hAnsi="Arial"/>
                <w:sz w:val="20"/>
                <w:szCs w:val="20"/>
                <w:color w:val="auto"/>
              </w:rPr>
              <w:t>An investment adviser in accordance with § 240.13d-1(b)(1)(ii)(E);</w:t>
            </w:r>
          </w:p>
        </w:tc>
      </w:tr>
      <w:tr>
        <w:trPr>
          <w:trHeight w:val="486"/>
        </w:trPr>
        <w:tc>
          <w:tcPr>
            <w:tcW w:w="80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Arial" w:cs="Arial" w:eastAsia="Arial" w:hAnsi="Arial"/>
                <w:sz w:val="20"/>
                <w:szCs w:val="20"/>
                <w:color w:val="auto"/>
              </w:rPr>
              <w:t>(f)</w:t>
            </w:r>
          </w:p>
        </w:tc>
        <w:tc>
          <w:tcPr>
            <w:tcW w:w="620" w:type="dxa"/>
            <w:vAlign w:val="bottom"/>
          </w:tcPr>
          <w:p>
            <w:pPr>
              <w:ind w:left="180"/>
              <w:spacing w:after="0"/>
              <w:rPr>
                <w:sz w:val="20"/>
                <w:szCs w:val="20"/>
                <w:color w:val="auto"/>
              </w:rPr>
            </w:pPr>
            <w:r>
              <w:rPr>
                <w:rFonts w:ascii="Arial" w:cs="Arial" w:eastAsia="Arial" w:hAnsi="Arial"/>
                <w:sz w:val="20"/>
                <w:szCs w:val="20"/>
                <w:color w:val="auto"/>
              </w:rPr>
              <w:t>[_]</w:t>
            </w:r>
          </w:p>
        </w:tc>
        <w:tc>
          <w:tcPr>
            <w:tcW w:w="9160" w:type="dxa"/>
            <w:vAlign w:val="bottom"/>
          </w:tcPr>
          <w:p>
            <w:pPr>
              <w:ind w:left="120"/>
              <w:spacing w:after="0"/>
              <w:rPr>
                <w:sz w:val="20"/>
                <w:szCs w:val="20"/>
                <w:color w:val="auto"/>
              </w:rPr>
            </w:pPr>
            <w:r>
              <w:rPr>
                <w:rFonts w:ascii="Arial" w:cs="Arial" w:eastAsia="Arial" w:hAnsi="Arial"/>
                <w:sz w:val="20"/>
                <w:szCs w:val="20"/>
                <w:color w:val="auto"/>
              </w:rPr>
              <w:t>An employee benefit plan or endowment fund in accordance with § 240.13d-1(b)(1)(ii)(F);</w:t>
            </w:r>
          </w:p>
        </w:tc>
      </w:tr>
      <w:tr>
        <w:trPr>
          <w:trHeight w:val="486"/>
        </w:trPr>
        <w:tc>
          <w:tcPr>
            <w:tcW w:w="80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Arial" w:cs="Arial" w:eastAsia="Arial" w:hAnsi="Arial"/>
                <w:sz w:val="20"/>
                <w:szCs w:val="20"/>
                <w:color w:val="auto"/>
              </w:rPr>
              <w:t>(g)</w:t>
            </w:r>
          </w:p>
        </w:tc>
        <w:tc>
          <w:tcPr>
            <w:tcW w:w="620" w:type="dxa"/>
            <w:vAlign w:val="bottom"/>
          </w:tcPr>
          <w:p>
            <w:pPr>
              <w:ind w:left="180"/>
              <w:spacing w:after="0"/>
              <w:rPr>
                <w:sz w:val="20"/>
                <w:szCs w:val="20"/>
                <w:color w:val="auto"/>
              </w:rPr>
            </w:pPr>
            <w:r>
              <w:rPr>
                <w:rFonts w:ascii="Arial" w:cs="Arial" w:eastAsia="Arial" w:hAnsi="Arial"/>
                <w:sz w:val="20"/>
                <w:szCs w:val="20"/>
                <w:color w:val="auto"/>
              </w:rPr>
              <w:t>[_]</w:t>
            </w:r>
          </w:p>
        </w:tc>
        <w:tc>
          <w:tcPr>
            <w:tcW w:w="9160" w:type="dxa"/>
            <w:vAlign w:val="bottom"/>
          </w:tcPr>
          <w:p>
            <w:pPr>
              <w:ind w:left="120"/>
              <w:spacing w:after="0"/>
              <w:rPr>
                <w:sz w:val="20"/>
                <w:szCs w:val="20"/>
                <w:color w:val="auto"/>
              </w:rPr>
            </w:pPr>
            <w:r>
              <w:rPr>
                <w:rFonts w:ascii="Arial" w:cs="Arial" w:eastAsia="Arial" w:hAnsi="Arial"/>
                <w:sz w:val="20"/>
                <w:szCs w:val="20"/>
                <w:color w:val="auto"/>
              </w:rPr>
              <w:t>A parent holding company or control person in accordance with Rule 13d-1(b)(1)(ii)(G);</w:t>
            </w:r>
          </w:p>
        </w:tc>
      </w:tr>
      <w:tr>
        <w:trPr>
          <w:trHeight w:val="486"/>
        </w:trPr>
        <w:tc>
          <w:tcPr>
            <w:tcW w:w="80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Arial" w:cs="Arial" w:eastAsia="Arial" w:hAnsi="Arial"/>
                <w:sz w:val="20"/>
                <w:szCs w:val="20"/>
                <w:color w:val="auto"/>
              </w:rPr>
              <w:t>(h)</w:t>
            </w:r>
          </w:p>
        </w:tc>
        <w:tc>
          <w:tcPr>
            <w:tcW w:w="620" w:type="dxa"/>
            <w:vAlign w:val="bottom"/>
          </w:tcPr>
          <w:p>
            <w:pPr>
              <w:ind w:left="180"/>
              <w:spacing w:after="0"/>
              <w:rPr>
                <w:sz w:val="20"/>
                <w:szCs w:val="20"/>
                <w:color w:val="auto"/>
              </w:rPr>
            </w:pPr>
            <w:r>
              <w:rPr>
                <w:rFonts w:ascii="Arial" w:cs="Arial" w:eastAsia="Arial" w:hAnsi="Arial"/>
                <w:sz w:val="20"/>
                <w:szCs w:val="20"/>
                <w:color w:val="auto"/>
              </w:rPr>
              <w:t>[_]</w:t>
            </w:r>
          </w:p>
        </w:tc>
        <w:tc>
          <w:tcPr>
            <w:tcW w:w="9160" w:type="dxa"/>
            <w:vAlign w:val="bottom"/>
          </w:tcPr>
          <w:p>
            <w:pPr>
              <w:ind w:left="120"/>
              <w:spacing w:after="0"/>
              <w:rPr>
                <w:sz w:val="20"/>
                <w:szCs w:val="20"/>
                <w:color w:val="auto"/>
              </w:rPr>
            </w:pPr>
            <w:r>
              <w:rPr>
                <w:rFonts w:ascii="Arial" w:cs="Arial" w:eastAsia="Arial" w:hAnsi="Arial"/>
                <w:sz w:val="20"/>
                <w:szCs w:val="20"/>
                <w:color w:val="auto"/>
                <w:w w:val="99"/>
              </w:rPr>
              <w:t>A savings association as defined in Section 3(b) of the Federal Deposit Insurance Act (12 U.S.C.1813);</w:t>
            </w:r>
          </w:p>
        </w:tc>
      </w:tr>
      <w:tr>
        <w:trPr>
          <w:trHeight w:val="465"/>
        </w:trPr>
        <w:tc>
          <w:tcPr>
            <w:tcW w:w="80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Arial" w:cs="Arial" w:eastAsia="Arial" w:hAnsi="Arial"/>
                <w:sz w:val="20"/>
                <w:szCs w:val="20"/>
                <w:color w:val="auto"/>
              </w:rPr>
              <w:t>(i)</w:t>
            </w:r>
          </w:p>
        </w:tc>
        <w:tc>
          <w:tcPr>
            <w:tcW w:w="620" w:type="dxa"/>
            <w:vAlign w:val="bottom"/>
          </w:tcPr>
          <w:p>
            <w:pPr>
              <w:ind w:left="180"/>
              <w:spacing w:after="0"/>
              <w:rPr>
                <w:sz w:val="20"/>
                <w:szCs w:val="20"/>
                <w:color w:val="auto"/>
              </w:rPr>
            </w:pPr>
            <w:r>
              <w:rPr>
                <w:rFonts w:ascii="Arial" w:cs="Arial" w:eastAsia="Arial" w:hAnsi="Arial"/>
                <w:sz w:val="20"/>
                <w:szCs w:val="20"/>
                <w:color w:val="auto"/>
              </w:rPr>
              <w:t>[_]</w:t>
            </w:r>
          </w:p>
        </w:tc>
        <w:tc>
          <w:tcPr>
            <w:tcW w:w="9160" w:type="dxa"/>
            <w:vAlign w:val="bottom"/>
          </w:tcPr>
          <w:p>
            <w:pPr>
              <w:ind w:left="120"/>
              <w:spacing w:after="0"/>
              <w:rPr>
                <w:sz w:val="20"/>
                <w:szCs w:val="20"/>
                <w:color w:val="auto"/>
              </w:rPr>
            </w:pPr>
            <w:r>
              <w:rPr>
                <w:rFonts w:ascii="Arial" w:cs="Arial" w:eastAsia="Arial" w:hAnsi="Arial"/>
                <w:sz w:val="20"/>
                <w:szCs w:val="20"/>
                <w:color w:val="auto"/>
                <w:w w:val="96"/>
              </w:rPr>
              <w:t>A church plan that is excluded from the definition of an investment company under Section 3(c)(14) of the</w:t>
            </w:r>
          </w:p>
        </w:tc>
      </w:tr>
      <w:tr>
        <w:trPr>
          <w:trHeight w:val="250"/>
        </w:trPr>
        <w:tc>
          <w:tcPr>
            <w:tcW w:w="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160" w:type="dxa"/>
            <w:vAlign w:val="bottom"/>
          </w:tcPr>
          <w:p>
            <w:pPr>
              <w:ind w:left="120"/>
              <w:spacing w:after="0"/>
              <w:rPr>
                <w:sz w:val="20"/>
                <w:szCs w:val="20"/>
                <w:color w:val="auto"/>
              </w:rPr>
            </w:pPr>
            <w:r>
              <w:rPr>
                <w:rFonts w:ascii="Arial" w:cs="Arial" w:eastAsia="Arial" w:hAnsi="Arial"/>
                <w:sz w:val="20"/>
                <w:szCs w:val="20"/>
                <w:color w:val="auto"/>
              </w:rPr>
              <w:t>Investment Company Act of 1940 (15 U.S.C. 80a-3);</w:t>
            </w:r>
          </w:p>
        </w:tc>
      </w:tr>
      <w:tr>
        <w:trPr>
          <w:trHeight w:val="473"/>
        </w:trPr>
        <w:tc>
          <w:tcPr>
            <w:tcW w:w="80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Arial" w:cs="Arial" w:eastAsia="Arial" w:hAnsi="Arial"/>
                <w:sz w:val="20"/>
                <w:szCs w:val="20"/>
                <w:color w:val="auto"/>
              </w:rPr>
              <w:t>(j)</w:t>
            </w:r>
          </w:p>
        </w:tc>
        <w:tc>
          <w:tcPr>
            <w:tcW w:w="620" w:type="dxa"/>
            <w:vAlign w:val="bottom"/>
          </w:tcPr>
          <w:p>
            <w:pPr>
              <w:ind w:left="180"/>
              <w:spacing w:after="0"/>
              <w:rPr>
                <w:sz w:val="20"/>
                <w:szCs w:val="20"/>
                <w:color w:val="auto"/>
              </w:rPr>
            </w:pPr>
            <w:r>
              <w:rPr>
                <w:rFonts w:ascii="Arial" w:cs="Arial" w:eastAsia="Arial" w:hAnsi="Arial"/>
                <w:sz w:val="20"/>
                <w:szCs w:val="20"/>
                <w:color w:val="auto"/>
              </w:rPr>
              <w:t>[_]</w:t>
            </w:r>
          </w:p>
        </w:tc>
        <w:tc>
          <w:tcPr>
            <w:tcW w:w="9160" w:type="dxa"/>
            <w:vAlign w:val="bottom"/>
          </w:tcPr>
          <w:p>
            <w:pPr>
              <w:ind w:left="120"/>
              <w:spacing w:after="0"/>
              <w:rPr>
                <w:sz w:val="20"/>
                <w:szCs w:val="20"/>
                <w:color w:val="auto"/>
              </w:rPr>
            </w:pPr>
            <w:r>
              <w:rPr>
                <w:rFonts w:ascii="Arial" w:cs="Arial" w:eastAsia="Arial" w:hAnsi="Arial"/>
                <w:sz w:val="20"/>
                <w:szCs w:val="20"/>
                <w:color w:val="auto"/>
              </w:rPr>
              <w:t>Group, in accordance with s.240.13d-1(b)(1)(ii)(J).</w:t>
            </w:r>
          </w:p>
        </w:tc>
      </w:tr>
      <w:tr>
        <w:trPr>
          <w:trHeight w:val="473"/>
        </w:trPr>
        <w:tc>
          <w:tcPr>
            <w:tcW w:w="800" w:type="dxa"/>
            <w:vAlign w:val="bottom"/>
          </w:tcPr>
          <w:p>
            <w:pPr>
              <w:spacing w:after="0"/>
              <w:rPr>
                <w:sz w:val="20"/>
                <w:szCs w:val="20"/>
                <w:color w:val="auto"/>
              </w:rPr>
            </w:pPr>
            <w:r>
              <w:rPr>
                <w:rFonts w:ascii="Arial" w:cs="Arial" w:eastAsia="Arial" w:hAnsi="Arial"/>
                <w:sz w:val="20"/>
                <w:szCs w:val="20"/>
                <w:color w:val="auto"/>
              </w:rPr>
              <w:t>Item 4.</w:t>
            </w:r>
          </w:p>
        </w:tc>
        <w:tc>
          <w:tcPr>
            <w:tcW w:w="1260" w:type="dxa"/>
            <w:vAlign w:val="bottom"/>
            <w:gridSpan w:val="2"/>
          </w:tcPr>
          <w:p>
            <w:pPr>
              <w:ind w:left="220"/>
              <w:spacing w:after="0"/>
              <w:rPr>
                <w:sz w:val="20"/>
                <w:szCs w:val="20"/>
                <w:color w:val="auto"/>
              </w:rPr>
            </w:pPr>
            <w:r>
              <w:rPr>
                <w:rFonts w:ascii="Arial" w:cs="Arial" w:eastAsia="Arial" w:hAnsi="Arial"/>
                <w:sz w:val="20"/>
                <w:szCs w:val="20"/>
                <w:color w:val="auto"/>
              </w:rPr>
              <w:t>Ownership.</w:t>
            </w:r>
          </w:p>
        </w:tc>
        <w:tc>
          <w:tcPr>
            <w:tcW w:w="9160" w:type="dxa"/>
            <w:vAlign w:val="bottom"/>
          </w:tcPr>
          <w:p>
            <w:pPr>
              <w:spacing w:after="0"/>
              <w:rPr>
                <w:sz w:val="24"/>
                <w:szCs w:val="24"/>
                <w:color w:val="auto"/>
              </w:rPr>
            </w:pPr>
          </w:p>
        </w:tc>
      </w:tr>
    </w:tbl>
    <w:p>
      <w:pPr>
        <w:spacing w:after="0" w:line="222" w:lineRule="exact"/>
        <w:rPr>
          <w:sz w:val="20"/>
          <w:szCs w:val="20"/>
          <w:color w:val="auto"/>
        </w:rPr>
      </w:pPr>
    </w:p>
    <w:p>
      <w:pPr>
        <w:ind w:left="1020"/>
        <w:spacing w:after="0" w:line="260" w:lineRule="auto"/>
        <w:rPr>
          <w:sz w:val="20"/>
          <w:szCs w:val="20"/>
          <w:color w:val="auto"/>
        </w:rPr>
      </w:pPr>
      <w:r>
        <w:rPr>
          <w:rFonts w:ascii="Arial" w:cs="Arial" w:eastAsia="Arial" w:hAnsi="Arial"/>
          <w:sz w:val="20"/>
          <w:szCs w:val="20"/>
          <w:color w:val="auto"/>
        </w:rPr>
        <w:t>Provide the following information regarding the aggregate number and percentage of the class of securities of the issuer identified in Item 1.</w:t>
      </w:r>
    </w:p>
    <w:p>
      <w:pPr>
        <w:spacing w:after="0" w:line="204" w:lineRule="exact"/>
        <w:rPr>
          <w:sz w:val="20"/>
          <w:szCs w:val="20"/>
          <w:color w:val="auto"/>
        </w:rPr>
      </w:pPr>
    </w:p>
    <w:p>
      <w:pPr>
        <w:ind w:left="1580" w:hanging="562"/>
        <w:spacing w:after="0"/>
        <w:tabs>
          <w:tab w:leader="none" w:pos="15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Amount beneficially owned:</w:t>
      </w:r>
    </w:p>
    <w:p>
      <w:pPr>
        <w:spacing w:after="0" w:line="256" w:lineRule="exact"/>
        <w:rPr>
          <w:rFonts w:ascii="Arial" w:cs="Arial" w:eastAsia="Arial" w:hAnsi="Arial"/>
          <w:sz w:val="20"/>
          <w:szCs w:val="20"/>
          <w:color w:val="auto"/>
        </w:rPr>
      </w:pPr>
    </w:p>
    <w:p>
      <w:pPr>
        <w:ind w:left="1580"/>
        <w:spacing w:after="0"/>
        <w:rPr>
          <w:rFonts w:ascii="Arial" w:cs="Arial" w:eastAsia="Arial" w:hAnsi="Arial"/>
          <w:sz w:val="20"/>
          <w:szCs w:val="20"/>
          <w:color w:val="auto"/>
        </w:rPr>
      </w:pPr>
      <w:r>
        <w:rPr>
          <w:rFonts w:ascii="Arial" w:cs="Arial" w:eastAsia="Arial" w:hAnsi="Arial"/>
          <w:sz w:val="20"/>
          <w:szCs w:val="20"/>
          <w:color w:val="auto"/>
        </w:rPr>
        <w:t>Armistice Capital, LLC – 2,100,000</w:t>
      </w:r>
    </w:p>
    <w:p>
      <w:pPr>
        <w:spacing w:after="0" w:line="15" w:lineRule="exact"/>
        <w:rPr>
          <w:rFonts w:ascii="Arial" w:cs="Arial" w:eastAsia="Arial" w:hAnsi="Arial"/>
          <w:sz w:val="20"/>
          <w:szCs w:val="20"/>
          <w:color w:val="auto"/>
        </w:rPr>
      </w:pPr>
    </w:p>
    <w:p>
      <w:pPr>
        <w:ind w:left="1580" w:right="5820"/>
        <w:spacing w:after="0" w:line="244" w:lineRule="auto"/>
        <w:rPr>
          <w:rFonts w:ascii="Arial" w:cs="Arial" w:eastAsia="Arial" w:hAnsi="Arial"/>
          <w:sz w:val="20"/>
          <w:szCs w:val="20"/>
          <w:color w:val="auto"/>
        </w:rPr>
      </w:pPr>
      <w:r>
        <w:rPr>
          <w:rFonts w:ascii="Arial" w:cs="Arial" w:eastAsia="Arial" w:hAnsi="Arial"/>
          <w:sz w:val="20"/>
          <w:szCs w:val="20"/>
          <w:color w:val="auto"/>
        </w:rPr>
        <w:t>Armistice Capital Master Fund Ltd. – 2,100,000 Steven Boyd – 2,100,000</w:t>
      </w:r>
    </w:p>
    <w:p>
      <w:pPr>
        <w:spacing w:after="0" w:line="232" w:lineRule="exact"/>
        <w:rPr>
          <w:rFonts w:ascii="Arial" w:cs="Arial" w:eastAsia="Arial" w:hAnsi="Arial"/>
          <w:sz w:val="20"/>
          <w:szCs w:val="20"/>
          <w:color w:val="auto"/>
        </w:rPr>
      </w:pPr>
    </w:p>
    <w:p>
      <w:pPr>
        <w:ind w:left="1580" w:hanging="562"/>
        <w:spacing w:after="0"/>
        <w:tabs>
          <w:tab w:leader="none" w:pos="15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Percent of class:</w:t>
      </w:r>
    </w:p>
    <w:p>
      <w:pPr>
        <w:spacing w:after="0" w:line="256" w:lineRule="exact"/>
        <w:rPr>
          <w:rFonts w:ascii="Arial" w:cs="Arial" w:eastAsia="Arial" w:hAnsi="Arial"/>
          <w:sz w:val="20"/>
          <w:szCs w:val="20"/>
          <w:color w:val="auto"/>
        </w:rPr>
      </w:pPr>
    </w:p>
    <w:p>
      <w:pPr>
        <w:ind w:left="1580"/>
        <w:spacing w:after="0"/>
        <w:rPr>
          <w:rFonts w:ascii="Arial" w:cs="Arial" w:eastAsia="Arial" w:hAnsi="Arial"/>
          <w:sz w:val="20"/>
          <w:szCs w:val="20"/>
          <w:color w:val="auto"/>
        </w:rPr>
      </w:pPr>
      <w:r>
        <w:rPr>
          <w:rFonts w:ascii="Arial" w:cs="Arial" w:eastAsia="Arial" w:hAnsi="Arial"/>
          <w:sz w:val="20"/>
          <w:szCs w:val="20"/>
          <w:color w:val="auto"/>
        </w:rPr>
        <w:t>Armistice Capital, LLC – 5.6%</w:t>
      </w:r>
    </w:p>
    <w:p>
      <w:pPr>
        <w:spacing w:after="0" w:line="15" w:lineRule="exact"/>
        <w:rPr>
          <w:rFonts w:ascii="Arial" w:cs="Arial" w:eastAsia="Arial" w:hAnsi="Arial"/>
          <w:sz w:val="20"/>
          <w:szCs w:val="20"/>
          <w:color w:val="auto"/>
        </w:rPr>
      </w:pPr>
    </w:p>
    <w:p>
      <w:pPr>
        <w:ind w:left="1580" w:right="6200"/>
        <w:spacing w:after="0" w:line="244" w:lineRule="auto"/>
        <w:rPr>
          <w:rFonts w:ascii="Arial" w:cs="Arial" w:eastAsia="Arial" w:hAnsi="Arial"/>
          <w:sz w:val="20"/>
          <w:szCs w:val="20"/>
          <w:color w:val="auto"/>
        </w:rPr>
      </w:pPr>
      <w:r>
        <w:rPr>
          <w:rFonts w:ascii="Arial" w:cs="Arial" w:eastAsia="Arial" w:hAnsi="Arial"/>
          <w:sz w:val="20"/>
          <w:szCs w:val="20"/>
          <w:color w:val="auto"/>
        </w:rPr>
        <w:t>Armistice Capital Master Fund Ltd. – 5.6% Steven Boyd – 5.6%</w:t>
      </w:r>
    </w:p>
    <w:p>
      <w:pPr>
        <w:spacing w:after="0" w:line="232" w:lineRule="exact"/>
        <w:rPr>
          <w:rFonts w:ascii="Arial" w:cs="Arial" w:eastAsia="Arial" w:hAnsi="Arial"/>
          <w:sz w:val="20"/>
          <w:szCs w:val="20"/>
          <w:color w:val="auto"/>
        </w:rPr>
      </w:pPr>
    </w:p>
    <w:p>
      <w:pPr>
        <w:ind w:left="1580" w:hanging="562"/>
        <w:spacing w:after="0"/>
        <w:tabs>
          <w:tab w:leader="none" w:pos="15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Number of shares as to which the person has:</w:t>
      </w:r>
    </w:p>
    <w:p>
      <w:pPr>
        <w:spacing w:after="0" w:line="256" w:lineRule="exact"/>
        <w:rPr>
          <w:rFonts w:ascii="Arial" w:cs="Arial" w:eastAsia="Arial" w:hAnsi="Arial"/>
          <w:sz w:val="20"/>
          <w:szCs w:val="20"/>
          <w:color w:val="auto"/>
        </w:rPr>
      </w:pPr>
    </w:p>
    <w:p>
      <w:pPr>
        <w:ind w:left="2160" w:hanging="575"/>
        <w:spacing w:after="0"/>
        <w:tabs>
          <w:tab w:leader="none" w:pos="2160" w:val="left"/>
        </w:tabs>
        <w:numPr>
          <w:ilvl w:val="1"/>
          <w:numId w:val="16"/>
        </w:numPr>
        <w:rPr>
          <w:rFonts w:ascii="Arial" w:cs="Arial" w:eastAsia="Arial" w:hAnsi="Arial"/>
          <w:sz w:val="20"/>
          <w:szCs w:val="20"/>
          <w:color w:val="auto"/>
        </w:rPr>
      </w:pPr>
      <w:r>
        <w:rPr>
          <w:rFonts w:ascii="Arial" w:cs="Arial" w:eastAsia="Arial" w:hAnsi="Arial"/>
          <w:sz w:val="20"/>
          <w:szCs w:val="20"/>
          <w:color w:val="auto"/>
        </w:rPr>
        <w:t>Sole power to vote or to direct the vote</w:t>
      </w:r>
    </w:p>
    <w:p>
      <w:pPr>
        <w:spacing w:after="0" w:line="242" w:lineRule="exact"/>
        <w:rPr>
          <w:rFonts w:ascii="Arial" w:cs="Arial" w:eastAsia="Arial" w:hAnsi="Arial"/>
          <w:sz w:val="20"/>
          <w:szCs w:val="20"/>
          <w:color w:val="auto"/>
        </w:rPr>
      </w:pPr>
    </w:p>
    <w:p>
      <w:pPr>
        <w:ind w:left="2160"/>
        <w:spacing w:after="0"/>
        <w:rPr>
          <w:rFonts w:ascii="Arial" w:cs="Arial" w:eastAsia="Arial" w:hAnsi="Arial"/>
          <w:sz w:val="20"/>
          <w:szCs w:val="20"/>
          <w:color w:val="auto"/>
        </w:rPr>
      </w:pPr>
      <w:r>
        <w:rPr>
          <w:rFonts w:ascii="Arial" w:cs="Arial" w:eastAsia="Arial" w:hAnsi="Arial"/>
          <w:sz w:val="20"/>
          <w:szCs w:val="20"/>
          <w:color w:val="auto"/>
        </w:rPr>
        <w:t>Armistice Capital, LLC – 0</w:t>
      </w:r>
    </w:p>
    <w:p>
      <w:pPr>
        <w:spacing w:after="0" w:line="15" w:lineRule="exact"/>
        <w:rPr>
          <w:rFonts w:ascii="Arial" w:cs="Arial" w:eastAsia="Arial" w:hAnsi="Arial"/>
          <w:sz w:val="20"/>
          <w:szCs w:val="20"/>
          <w:color w:val="auto"/>
        </w:rPr>
      </w:pPr>
    </w:p>
    <w:p>
      <w:pPr>
        <w:ind w:left="2160" w:right="5940"/>
        <w:spacing w:after="0" w:line="244" w:lineRule="auto"/>
        <w:rPr>
          <w:rFonts w:ascii="Arial" w:cs="Arial" w:eastAsia="Arial" w:hAnsi="Arial"/>
          <w:sz w:val="20"/>
          <w:szCs w:val="20"/>
          <w:color w:val="auto"/>
        </w:rPr>
      </w:pPr>
      <w:r>
        <w:rPr>
          <w:rFonts w:ascii="Arial" w:cs="Arial" w:eastAsia="Arial" w:hAnsi="Arial"/>
          <w:sz w:val="20"/>
          <w:szCs w:val="20"/>
          <w:color w:val="auto"/>
        </w:rPr>
        <w:t>Armistice Capital Master Fund Ltd. – 0 Steven Boyd –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944880</wp:posOffset>
            </wp:positionH>
            <wp:positionV relativeFrom="paragraph">
              <wp:posOffset>-1213485</wp:posOffset>
            </wp:positionV>
            <wp:extent cx="6243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43320" cy="8890"/>
                    </a:xfrm>
                    <a:prstGeom prst="rect">
                      <a:avLst/>
                    </a:prstGeom>
                    <a:noFill/>
                  </pic:spPr>
                </pic:pic>
              </a:graphicData>
            </a:graphic>
          </wp:anchor>
        </w:drawing>
        <w:drawing>
          <wp:anchor simplePos="0" relativeHeight="251657728" behindDoc="1" locked="0" layoutInCell="0" allowOverlap="1">
            <wp:simplePos x="0" y="0"/>
            <wp:positionH relativeFrom="column">
              <wp:posOffset>944880</wp:posOffset>
            </wp:positionH>
            <wp:positionV relativeFrom="paragraph">
              <wp:posOffset>-2122170</wp:posOffset>
            </wp:positionV>
            <wp:extent cx="6243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43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295275</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20"/>
          </w:cols>
          <w:pgMar w:left="340" w:top="717" w:right="339" w:bottom="1440" w:gutter="0" w:footer="0" w:header="0"/>
        </w:sectPr>
      </w:pPr>
    </w:p>
    <w:bookmarkStart w:id="6" w:name="page7"/>
    <w:bookmarkEnd w:id="6"/>
    <w:p>
      <w:pPr>
        <w:ind w:left="2200" w:hanging="588"/>
        <w:spacing w:after="0"/>
        <w:tabs>
          <w:tab w:leader="none" w:pos="22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Shared power to vote or to direct the vote</w:t>
      </w:r>
    </w:p>
    <w:p>
      <w:pPr>
        <w:spacing w:after="0" w:line="242" w:lineRule="exact"/>
        <w:rPr>
          <w:rFonts w:ascii="Arial" w:cs="Arial" w:eastAsia="Arial" w:hAnsi="Arial"/>
          <w:sz w:val="20"/>
          <w:szCs w:val="20"/>
          <w:color w:val="auto"/>
        </w:rPr>
      </w:pPr>
    </w:p>
    <w:p>
      <w:pPr>
        <w:ind w:left="2200"/>
        <w:spacing w:after="0"/>
        <w:rPr>
          <w:rFonts w:ascii="Arial" w:cs="Arial" w:eastAsia="Arial" w:hAnsi="Arial"/>
          <w:sz w:val="20"/>
          <w:szCs w:val="20"/>
          <w:color w:val="auto"/>
        </w:rPr>
      </w:pPr>
      <w:r>
        <w:rPr>
          <w:rFonts w:ascii="Arial" w:cs="Arial" w:eastAsia="Arial" w:hAnsi="Arial"/>
          <w:sz w:val="20"/>
          <w:szCs w:val="20"/>
          <w:color w:val="auto"/>
        </w:rPr>
        <w:t>Armistice Capital, LLC – 2,100,000</w:t>
      </w:r>
    </w:p>
    <w:p>
      <w:pPr>
        <w:spacing w:after="0" w:line="15" w:lineRule="exact"/>
        <w:rPr>
          <w:rFonts w:ascii="Arial" w:cs="Arial" w:eastAsia="Arial" w:hAnsi="Arial"/>
          <w:sz w:val="20"/>
          <w:szCs w:val="20"/>
          <w:color w:val="auto"/>
        </w:rPr>
      </w:pPr>
    </w:p>
    <w:p>
      <w:pPr>
        <w:ind w:left="2200" w:right="5200"/>
        <w:spacing w:after="0" w:line="244" w:lineRule="auto"/>
        <w:rPr>
          <w:rFonts w:ascii="Arial" w:cs="Arial" w:eastAsia="Arial" w:hAnsi="Arial"/>
          <w:sz w:val="20"/>
          <w:szCs w:val="20"/>
          <w:color w:val="auto"/>
        </w:rPr>
      </w:pPr>
      <w:r>
        <w:rPr>
          <w:rFonts w:ascii="Arial" w:cs="Arial" w:eastAsia="Arial" w:hAnsi="Arial"/>
          <w:sz w:val="20"/>
          <w:szCs w:val="20"/>
          <w:color w:val="auto"/>
        </w:rPr>
        <w:t>Armistice Capital Master Fund Ltd. – 2,100,000 Steven Boyd – 2,100,000</w:t>
      </w:r>
    </w:p>
    <w:p>
      <w:pPr>
        <w:spacing w:after="0" w:line="205" w:lineRule="exact"/>
        <w:rPr>
          <w:rFonts w:ascii="Arial" w:cs="Arial" w:eastAsia="Arial" w:hAnsi="Arial"/>
          <w:sz w:val="20"/>
          <w:szCs w:val="20"/>
          <w:color w:val="auto"/>
        </w:rPr>
      </w:pPr>
    </w:p>
    <w:p>
      <w:pPr>
        <w:ind w:left="2200" w:hanging="588"/>
        <w:spacing w:after="0"/>
        <w:tabs>
          <w:tab w:leader="none" w:pos="22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Sole power to dispose or to direct the disposition of</w:t>
      </w:r>
    </w:p>
    <w:p>
      <w:pPr>
        <w:spacing w:after="0" w:line="242" w:lineRule="exact"/>
        <w:rPr>
          <w:rFonts w:ascii="Arial" w:cs="Arial" w:eastAsia="Arial" w:hAnsi="Arial"/>
          <w:sz w:val="20"/>
          <w:szCs w:val="20"/>
          <w:color w:val="auto"/>
        </w:rPr>
      </w:pPr>
    </w:p>
    <w:p>
      <w:pPr>
        <w:ind w:left="2200"/>
        <w:spacing w:after="0"/>
        <w:rPr>
          <w:rFonts w:ascii="Arial" w:cs="Arial" w:eastAsia="Arial" w:hAnsi="Arial"/>
          <w:sz w:val="20"/>
          <w:szCs w:val="20"/>
          <w:color w:val="auto"/>
        </w:rPr>
      </w:pPr>
      <w:r>
        <w:rPr>
          <w:rFonts w:ascii="Arial" w:cs="Arial" w:eastAsia="Arial" w:hAnsi="Arial"/>
          <w:sz w:val="20"/>
          <w:szCs w:val="20"/>
          <w:color w:val="auto"/>
        </w:rPr>
        <w:t>Armistice Capital, LLC – 0</w:t>
      </w:r>
    </w:p>
    <w:p>
      <w:pPr>
        <w:spacing w:after="0" w:line="15" w:lineRule="exact"/>
        <w:rPr>
          <w:rFonts w:ascii="Arial" w:cs="Arial" w:eastAsia="Arial" w:hAnsi="Arial"/>
          <w:sz w:val="20"/>
          <w:szCs w:val="20"/>
          <w:color w:val="auto"/>
        </w:rPr>
      </w:pPr>
    </w:p>
    <w:p>
      <w:pPr>
        <w:ind w:left="2200" w:right="5900"/>
        <w:spacing w:after="0" w:line="244" w:lineRule="auto"/>
        <w:rPr>
          <w:rFonts w:ascii="Arial" w:cs="Arial" w:eastAsia="Arial" w:hAnsi="Arial"/>
          <w:sz w:val="20"/>
          <w:szCs w:val="20"/>
          <w:color w:val="auto"/>
        </w:rPr>
      </w:pPr>
      <w:r>
        <w:rPr>
          <w:rFonts w:ascii="Arial" w:cs="Arial" w:eastAsia="Arial" w:hAnsi="Arial"/>
          <w:sz w:val="20"/>
          <w:szCs w:val="20"/>
          <w:color w:val="auto"/>
        </w:rPr>
        <w:t>Armistice Capital Master Fund Ltd. – 0 Steven Boyd – 0</w:t>
      </w:r>
    </w:p>
    <w:p>
      <w:pPr>
        <w:spacing w:after="0" w:line="205" w:lineRule="exact"/>
        <w:rPr>
          <w:rFonts w:ascii="Arial" w:cs="Arial" w:eastAsia="Arial" w:hAnsi="Arial"/>
          <w:sz w:val="20"/>
          <w:szCs w:val="20"/>
          <w:color w:val="auto"/>
        </w:rPr>
      </w:pPr>
    </w:p>
    <w:p>
      <w:pPr>
        <w:ind w:left="2200" w:hanging="588"/>
        <w:spacing w:after="0"/>
        <w:tabs>
          <w:tab w:leader="none" w:pos="22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Shared power to dispose or to direct the disposition of</w:t>
      </w:r>
    </w:p>
    <w:p>
      <w:pPr>
        <w:spacing w:after="0" w:line="243"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Armistice Capital, LLC – 2,100,000</w:t>
      </w:r>
    </w:p>
    <w:p>
      <w:pPr>
        <w:spacing w:after="0" w:line="15"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Armistice Capital Master Fund Ltd. – 2,100,000</w:t>
      </w:r>
    </w:p>
    <w:p>
      <w:pPr>
        <w:ind w:left="2200"/>
        <w:spacing w:after="0"/>
        <w:rPr>
          <w:sz w:val="20"/>
          <w:szCs w:val="20"/>
          <w:color w:val="auto"/>
        </w:rPr>
      </w:pPr>
      <w:r>
        <w:rPr>
          <w:rFonts w:ascii="Arial" w:cs="Arial" w:eastAsia="Arial" w:hAnsi="Arial"/>
          <w:sz w:val="20"/>
          <w:szCs w:val="20"/>
          <w:color w:val="auto"/>
        </w:rPr>
        <w:t>Steven Boyd – 2,100,000</w:t>
      </w:r>
    </w:p>
    <w:p>
      <w:pPr>
        <w:spacing w:after="0" w:line="213"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43" w:lineRule="exact"/>
        <w:rPr>
          <w:sz w:val="20"/>
          <w:szCs w:val="20"/>
          <w:color w:val="auto"/>
        </w:rPr>
      </w:pPr>
    </w:p>
    <w:p>
      <w:pPr>
        <w:jc w:val="both"/>
        <w:ind w:left="1040"/>
        <w:spacing w:after="0" w:line="260"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five percent of the class of securities, check the following [_].</w:t>
      </w:r>
    </w:p>
    <w:p>
      <w:pPr>
        <w:spacing w:after="0" w:line="204"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19050</wp:posOffset>
            </wp:positionV>
            <wp:extent cx="65862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50"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Item 6.</w:t>
      </w:r>
      <w:r>
        <w:rPr>
          <w:sz w:val="20"/>
          <w:szCs w:val="20"/>
          <w:color w:val="auto"/>
        </w:rPr>
        <w:tab/>
      </w:r>
      <w:r>
        <w:rPr>
          <w:rFonts w:ascii="Arial" w:cs="Arial" w:eastAsia="Arial" w:hAnsi="Arial"/>
          <w:sz w:val="18"/>
          <w:szCs w:val="18"/>
          <w:color w:val="auto"/>
        </w:rPr>
        <w:t>Ownership of More Than Five Percent on Behalf of Another Person.</w:t>
      </w:r>
    </w:p>
    <w:p>
      <w:pPr>
        <w:spacing w:after="0" w:line="243" w:lineRule="exact"/>
        <w:rPr>
          <w:sz w:val="20"/>
          <w:szCs w:val="20"/>
          <w:color w:val="auto"/>
        </w:rPr>
      </w:pPr>
    </w:p>
    <w:p>
      <w:pPr>
        <w:jc w:val="both"/>
        <w:ind w:left="1040"/>
        <w:spacing w:after="0" w:line="244" w:lineRule="auto"/>
        <w:rPr>
          <w:sz w:val="20"/>
          <w:szCs w:val="20"/>
          <w:color w:val="auto"/>
        </w:rPr>
      </w:pPr>
      <w:r>
        <w:rPr>
          <w:rFonts w:ascii="Arial" w:cs="Arial" w:eastAsia="Arial" w:hAnsi="Arial"/>
          <w:sz w:val="20"/>
          <w:szCs w:val="20"/>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22"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19050</wp:posOffset>
            </wp:positionV>
            <wp:extent cx="65862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50" w:lineRule="exact"/>
        <w:rPr>
          <w:sz w:val="20"/>
          <w:szCs w:val="20"/>
          <w:color w:val="auto"/>
        </w:rPr>
      </w:pPr>
    </w:p>
    <w:p>
      <w:pPr>
        <w:ind w:left="1040" w:right="540" w:hanging="1039"/>
        <w:spacing w:after="0" w:line="260" w:lineRule="auto"/>
        <w:tabs>
          <w:tab w:leader="none" w:pos="1020" w:val="left"/>
        </w:tabs>
        <w:rPr>
          <w:sz w:val="20"/>
          <w:szCs w:val="20"/>
          <w:color w:val="auto"/>
        </w:rPr>
      </w:pPr>
      <w:r>
        <w:rPr>
          <w:rFonts w:ascii="Arial" w:cs="Arial" w:eastAsia="Arial" w:hAnsi="Arial"/>
          <w:sz w:val="20"/>
          <w:szCs w:val="20"/>
          <w:color w:val="auto"/>
        </w:rPr>
        <w:t>Item 7.</w:t>
      </w:r>
      <w:r>
        <w:rPr>
          <w:sz w:val="20"/>
          <w:szCs w:val="20"/>
          <w:color w:val="auto"/>
        </w:rPr>
        <w:tab/>
      </w:r>
      <w:r>
        <w:rPr>
          <w:rFonts w:ascii="Arial" w:cs="Arial" w:eastAsia="Arial" w:hAnsi="Arial"/>
          <w:sz w:val="20"/>
          <w:szCs w:val="20"/>
          <w:color w:val="auto"/>
        </w:rPr>
        <w:t>Identification and Classification of the Subsidiary Which Acquired the Security Being Reported on by the Parent Holding Company.</w:t>
      </w:r>
    </w:p>
    <w:p>
      <w:pPr>
        <w:spacing w:after="0" w:line="204" w:lineRule="exact"/>
        <w:rPr>
          <w:sz w:val="20"/>
          <w:szCs w:val="20"/>
          <w:color w:val="auto"/>
        </w:rPr>
      </w:pPr>
    </w:p>
    <w:p>
      <w:pPr>
        <w:jc w:val="both"/>
        <w:ind w:left="1040"/>
        <w:spacing w:after="0" w:line="291" w:lineRule="auto"/>
        <w:rPr>
          <w:sz w:val="20"/>
          <w:szCs w:val="20"/>
          <w:color w:val="auto"/>
        </w:rPr>
      </w:pPr>
      <w:r>
        <w:rPr>
          <w:rFonts w:ascii="Arial" w:cs="Arial" w:eastAsia="Arial" w:hAnsi="Arial"/>
          <w:sz w:val="18"/>
          <w:szCs w:val="18"/>
          <w:color w:val="auto"/>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179"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19050</wp:posOffset>
            </wp:positionV>
            <wp:extent cx="65862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50"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Item 8.</w:t>
      </w:r>
      <w:r>
        <w:rPr>
          <w:sz w:val="20"/>
          <w:szCs w:val="20"/>
          <w:color w:val="auto"/>
        </w:rPr>
        <w:tab/>
      </w:r>
      <w:r>
        <w:rPr>
          <w:rFonts w:ascii="Arial" w:cs="Arial" w:eastAsia="Arial" w:hAnsi="Arial"/>
          <w:sz w:val="18"/>
          <w:szCs w:val="18"/>
          <w:color w:val="auto"/>
        </w:rPr>
        <w:t>Identification and Classification of Members of the Group.</w:t>
      </w:r>
    </w:p>
    <w:p>
      <w:pPr>
        <w:spacing w:after="0" w:line="243" w:lineRule="exact"/>
        <w:rPr>
          <w:sz w:val="20"/>
          <w:szCs w:val="20"/>
          <w:color w:val="auto"/>
        </w:rPr>
      </w:pPr>
    </w:p>
    <w:p>
      <w:pPr>
        <w:jc w:val="both"/>
        <w:ind w:left="1040" w:hanging="7"/>
        <w:spacing w:after="0" w:line="250" w:lineRule="auto"/>
        <w:rPr>
          <w:sz w:val="20"/>
          <w:szCs w:val="20"/>
          <w:color w:val="auto"/>
        </w:rPr>
      </w:pPr>
      <w:r>
        <w:rPr>
          <w:rFonts w:ascii="Arial" w:cs="Arial" w:eastAsia="Arial" w:hAnsi="Arial"/>
          <w:sz w:val="20"/>
          <w:szCs w:val="20"/>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13"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19050</wp:posOffset>
            </wp:positionV>
            <wp:extent cx="65862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182245</wp:posOffset>
            </wp:positionV>
            <wp:extent cx="72466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20"/>
          </w:cols>
          <w:pgMar w:left="340" w:top="717" w:right="339" w:bottom="1440" w:gutter="0" w:footer="0" w:header="0"/>
        </w:sectPr>
      </w:pPr>
    </w:p>
    <w:bookmarkStart w:id="7" w:name="page8"/>
    <w:bookmarkEnd w:id="7"/>
    <w:p>
      <w:pPr>
        <w:spacing w:after="0"/>
        <w:tabs>
          <w:tab w:leader="none" w:pos="1020" w:val="left"/>
        </w:tabs>
        <w:rPr>
          <w:sz w:val="20"/>
          <w:szCs w:val="20"/>
          <w:color w:val="auto"/>
        </w:rPr>
      </w:pPr>
      <w:r>
        <w:rPr>
          <w:rFonts w:ascii="Arial" w:cs="Arial" w:eastAsia="Arial" w:hAnsi="Arial"/>
          <w:sz w:val="20"/>
          <w:szCs w:val="20"/>
          <w:color w:val="auto"/>
        </w:rPr>
        <w:t>Item 9.</w:t>
      </w:r>
      <w:r>
        <w:rPr>
          <w:sz w:val="20"/>
          <w:szCs w:val="20"/>
          <w:color w:val="auto"/>
        </w:rPr>
        <w:tab/>
      </w:r>
      <w:r>
        <w:rPr>
          <w:rFonts w:ascii="Arial" w:cs="Arial" w:eastAsia="Arial" w:hAnsi="Arial"/>
          <w:sz w:val="18"/>
          <w:szCs w:val="18"/>
          <w:color w:val="auto"/>
        </w:rPr>
        <w:t>Notice of Dissolution of Group.</w:t>
      </w:r>
    </w:p>
    <w:p>
      <w:pPr>
        <w:spacing w:after="0" w:line="243" w:lineRule="exact"/>
        <w:rPr>
          <w:sz w:val="20"/>
          <w:szCs w:val="20"/>
          <w:color w:val="auto"/>
        </w:rPr>
      </w:pPr>
    </w:p>
    <w:p>
      <w:pPr>
        <w:jc w:val="both"/>
        <w:ind w:left="1040" w:hanging="7"/>
        <w:spacing w:after="0" w:line="250" w:lineRule="auto"/>
        <w:rPr>
          <w:sz w:val="20"/>
          <w:szCs w:val="20"/>
          <w:color w:val="auto"/>
        </w:rPr>
      </w:pPr>
      <w:r>
        <w:rPr>
          <w:rFonts w:ascii="Arial" w:cs="Arial" w:eastAsia="Arial" w:hAnsi="Arial"/>
          <w:sz w:val="20"/>
          <w:szCs w:val="20"/>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13"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19050</wp:posOffset>
            </wp:positionV>
            <wp:extent cx="65862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Item 10.</w:t>
      </w:r>
      <w:r>
        <w:rPr>
          <w:sz w:val="20"/>
          <w:szCs w:val="20"/>
          <w:color w:val="auto"/>
        </w:rPr>
        <w:tab/>
      </w:r>
      <w:r>
        <w:rPr>
          <w:rFonts w:ascii="Arial" w:cs="Arial" w:eastAsia="Arial" w:hAnsi="Arial"/>
          <w:sz w:val="19"/>
          <w:szCs w:val="19"/>
          <w:color w:val="auto"/>
        </w:rPr>
        <w:t>Certification.</w:t>
      </w:r>
    </w:p>
    <w:p>
      <w:pPr>
        <w:spacing w:after="0" w:line="243" w:lineRule="exact"/>
        <w:rPr>
          <w:sz w:val="20"/>
          <w:szCs w:val="20"/>
          <w:color w:val="auto"/>
        </w:rPr>
      </w:pPr>
    </w:p>
    <w:p>
      <w:pPr>
        <w:jc w:val="both"/>
        <w:ind w:left="1500"/>
        <w:spacing w:after="0" w:line="244"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297180</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20"/>
          </w:cols>
          <w:pgMar w:left="340" w:top="960"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0"/>
          <w:szCs w:val="20"/>
          <w:color w:val="auto"/>
        </w:rPr>
        <w:t>SIGNATURE</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7" w:lineRule="exact"/>
        <w:rPr>
          <w:sz w:val="20"/>
          <w:szCs w:val="20"/>
          <w:color w:val="auto"/>
        </w:rPr>
      </w:pPr>
    </w:p>
    <w:p>
      <w:pPr>
        <w:jc w:val="center"/>
        <w:ind w:left="7200"/>
        <w:spacing w:after="0"/>
        <w:rPr>
          <w:sz w:val="20"/>
          <w:szCs w:val="20"/>
          <w:color w:val="auto"/>
        </w:rPr>
      </w:pPr>
      <w:r>
        <w:rPr>
          <w:rFonts w:ascii="Arial" w:cs="Arial" w:eastAsia="Arial" w:hAnsi="Arial"/>
          <w:sz w:val="20"/>
          <w:szCs w:val="20"/>
          <w:color w:val="auto"/>
        </w:rPr>
        <w:t>March 25, 2019</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-143510</wp:posOffset>
            </wp:positionV>
            <wp:extent cx="26758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7300"/>
        <w:spacing w:after="0"/>
        <w:rPr>
          <w:sz w:val="20"/>
          <w:szCs w:val="20"/>
          <w:color w:val="auto"/>
        </w:rPr>
      </w:pPr>
      <w:r>
        <w:rPr>
          <w:rFonts w:ascii="Arial" w:cs="Arial" w:eastAsia="Arial" w:hAnsi="Arial"/>
          <w:sz w:val="20"/>
          <w:szCs w:val="20"/>
          <w:color w:val="auto"/>
        </w:rPr>
        <w:t>Armistice Capital, LLC*</w:t>
      </w:r>
    </w:p>
    <w:p>
      <w:pPr>
        <w:spacing w:after="0" w:line="256" w:lineRule="exact"/>
        <w:rPr>
          <w:sz w:val="20"/>
          <w:szCs w:val="20"/>
          <w:color w:val="auto"/>
        </w:rPr>
      </w:pPr>
    </w:p>
    <w:p>
      <w:pPr>
        <w:ind w:left="73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Steven Boyd</w:t>
      </w:r>
    </w:p>
    <w:p>
      <w:pPr>
        <w:spacing w:after="0" w:line="20" w:lineRule="exact"/>
        <w:rPr>
          <w:sz w:val="20"/>
          <w:szCs w:val="20"/>
          <w:color w:val="auto"/>
        </w:rPr>
      </w:pPr>
    </w:p>
    <w:p>
      <w:pPr>
        <w:ind w:left="7300"/>
        <w:spacing w:after="0"/>
        <w:rPr>
          <w:sz w:val="20"/>
          <w:szCs w:val="20"/>
          <w:color w:val="auto"/>
        </w:rPr>
      </w:pPr>
      <w:r>
        <w:rPr>
          <w:rFonts w:ascii="Arial" w:cs="Arial" w:eastAsia="Arial" w:hAnsi="Arial"/>
          <w:sz w:val="20"/>
          <w:szCs w:val="20"/>
          <w:color w:val="auto"/>
        </w:rPr>
        <w:t>Steven Boyd</w:t>
      </w:r>
    </w:p>
    <w:p>
      <w:pPr>
        <w:spacing w:after="0" w:line="13" w:lineRule="exact"/>
        <w:rPr>
          <w:sz w:val="20"/>
          <w:szCs w:val="20"/>
          <w:color w:val="auto"/>
        </w:rPr>
      </w:pPr>
    </w:p>
    <w:p>
      <w:pPr>
        <w:ind w:left="7300"/>
        <w:spacing w:after="0"/>
        <w:rPr>
          <w:sz w:val="20"/>
          <w:szCs w:val="20"/>
          <w:color w:val="auto"/>
        </w:rPr>
      </w:pPr>
      <w:r>
        <w:rPr>
          <w:rFonts w:ascii="Arial" w:cs="Arial" w:eastAsia="Arial" w:hAnsi="Arial"/>
          <w:sz w:val="20"/>
          <w:szCs w:val="20"/>
          <w:color w:val="auto"/>
        </w:rPr>
        <w:t>Managing Member</w:t>
      </w:r>
    </w:p>
    <w:p>
      <w:pPr>
        <w:spacing w:after="0" w:line="200" w:lineRule="exact"/>
        <w:rPr>
          <w:sz w:val="20"/>
          <w:szCs w:val="20"/>
          <w:color w:val="auto"/>
        </w:rPr>
      </w:pPr>
    </w:p>
    <w:p>
      <w:pPr>
        <w:spacing w:after="0" w:line="265" w:lineRule="exact"/>
        <w:rPr>
          <w:sz w:val="20"/>
          <w:szCs w:val="20"/>
          <w:color w:val="auto"/>
        </w:rPr>
      </w:pPr>
    </w:p>
    <w:p>
      <w:pPr>
        <w:ind w:left="7300"/>
        <w:spacing w:after="0"/>
        <w:rPr>
          <w:sz w:val="20"/>
          <w:szCs w:val="20"/>
          <w:color w:val="auto"/>
        </w:rPr>
      </w:pPr>
      <w:r>
        <w:rPr>
          <w:rFonts w:ascii="Arial" w:cs="Arial" w:eastAsia="Arial" w:hAnsi="Arial"/>
          <w:sz w:val="20"/>
          <w:szCs w:val="20"/>
          <w:color w:val="auto"/>
        </w:rPr>
        <w:t>Armistice Capital Master Fund Ltd.</w:t>
      </w:r>
    </w:p>
    <w:p>
      <w:pPr>
        <w:spacing w:after="0" w:line="256" w:lineRule="exact"/>
        <w:rPr>
          <w:sz w:val="20"/>
          <w:szCs w:val="20"/>
          <w:color w:val="auto"/>
        </w:rPr>
      </w:pPr>
    </w:p>
    <w:p>
      <w:pPr>
        <w:ind w:left="73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Steven Boyd</w:t>
      </w:r>
    </w:p>
    <w:p>
      <w:pPr>
        <w:spacing w:after="0" w:line="20" w:lineRule="exact"/>
        <w:rPr>
          <w:sz w:val="20"/>
          <w:szCs w:val="20"/>
          <w:color w:val="auto"/>
        </w:rPr>
      </w:pPr>
    </w:p>
    <w:p>
      <w:pPr>
        <w:ind w:left="7300"/>
        <w:spacing w:after="0"/>
        <w:rPr>
          <w:sz w:val="20"/>
          <w:szCs w:val="20"/>
          <w:color w:val="auto"/>
        </w:rPr>
      </w:pPr>
      <w:r>
        <w:rPr>
          <w:rFonts w:ascii="Arial" w:cs="Arial" w:eastAsia="Arial" w:hAnsi="Arial"/>
          <w:sz w:val="20"/>
          <w:szCs w:val="20"/>
          <w:color w:val="auto"/>
        </w:rPr>
        <w:t>Steven Boyd</w:t>
      </w:r>
    </w:p>
    <w:p>
      <w:pPr>
        <w:spacing w:after="0" w:line="13" w:lineRule="exact"/>
        <w:rPr>
          <w:sz w:val="20"/>
          <w:szCs w:val="20"/>
          <w:color w:val="auto"/>
        </w:rPr>
      </w:pPr>
    </w:p>
    <w:p>
      <w:pPr>
        <w:ind w:left="7300"/>
        <w:spacing w:after="0"/>
        <w:rPr>
          <w:sz w:val="20"/>
          <w:szCs w:val="20"/>
          <w:color w:val="auto"/>
        </w:rPr>
      </w:pPr>
      <w:r>
        <w:rPr>
          <w:rFonts w:ascii="Arial" w:cs="Arial" w:eastAsia="Arial" w:hAnsi="Arial"/>
          <w:sz w:val="20"/>
          <w:szCs w:val="20"/>
          <w:color w:val="auto"/>
        </w:rPr>
        <w:t>Director</w:t>
      </w:r>
    </w:p>
    <w:p>
      <w:pPr>
        <w:spacing w:after="0" w:line="200" w:lineRule="exact"/>
        <w:rPr>
          <w:sz w:val="20"/>
          <w:szCs w:val="20"/>
          <w:color w:val="auto"/>
        </w:rPr>
      </w:pPr>
    </w:p>
    <w:p>
      <w:pPr>
        <w:spacing w:after="0" w:line="292" w:lineRule="exact"/>
        <w:rPr>
          <w:sz w:val="20"/>
          <w:szCs w:val="20"/>
          <w:color w:val="auto"/>
        </w:rPr>
      </w:pPr>
    </w:p>
    <w:p>
      <w:pPr>
        <w:ind w:left="7300"/>
        <w:spacing w:after="0"/>
        <w:rPr>
          <w:sz w:val="20"/>
          <w:szCs w:val="20"/>
          <w:color w:val="auto"/>
        </w:rPr>
      </w:pPr>
      <w:r>
        <w:rPr>
          <w:rFonts w:ascii="Arial" w:cs="Arial" w:eastAsia="Arial" w:hAnsi="Arial"/>
          <w:sz w:val="20"/>
          <w:szCs w:val="20"/>
          <w:u w:val="single" w:color="auto"/>
          <w:color w:val="auto"/>
        </w:rPr>
        <w:t>/s/ Steven Boyd*</w:t>
      </w:r>
    </w:p>
    <w:p>
      <w:pPr>
        <w:spacing w:after="0" w:line="20" w:lineRule="exact"/>
        <w:rPr>
          <w:sz w:val="20"/>
          <w:szCs w:val="20"/>
          <w:color w:val="auto"/>
        </w:rPr>
      </w:pPr>
    </w:p>
    <w:p>
      <w:pPr>
        <w:ind w:left="7300"/>
        <w:spacing w:after="0"/>
        <w:rPr>
          <w:sz w:val="20"/>
          <w:szCs w:val="20"/>
          <w:color w:val="auto"/>
        </w:rPr>
      </w:pPr>
      <w:r>
        <w:rPr>
          <w:rFonts w:ascii="Arial" w:cs="Arial" w:eastAsia="Arial" w:hAnsi="Arial"/>
          <w:sz w:val="20"/>
          <w:szCs w:val="20"/>
          <w:color w:val="auto"/>
        </w:rPr>
        <w:t>Steven Boyd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 This Reporting Person disclaims beneficial ownership in the Common Stock, except to the extent of his or its pecuniary interest therein.</w:t>
      </w:r>
    </w:p>
    <w:p>
      <w:pPr>
        <w:spacing w:after="0" w:line="25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9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Note. Schedules filed in paper format shall include a signed original and five copies of the schedule, including all exhibits. See s.240.13d-7 for other parties for whom copies are to be sent.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584835</wp:posOffset>
            </wp:positionV>
            <wp:extent cx="72466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17"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20"/>
          <w:szCs w:val="20"/>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agree that this Schedule 13G dated March 25, 2019 relating to the Common Stock, $0.001 par value, of Zafgen, Inc.</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shall be filed on behalf of the undersigned.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080"/>
        <w:spacing w:after="0"/>
        <w:rPr>
          <w:sz w:val="20"/>
          <w:szCs w:val="20"/>
          <w:color w:val="auto"/>
        </w:rPr>
      </w:pPr>
      <w:r>
        <w:rPr>
          <w:rFonts w:ascii="Arial" w:cs="Arial" w:eastAsia="Arial" w:hAnsi="Arial"/>
          <w:sz w:val="20"/>
          <w:szCs w:val="20"/>
          <w:color w:val="auto"/>
        </w:rPr>
        <w:t>Armistice Capital, LLC</w:t>
      </w:r>
    </w:p>
    <w:p>
      <w:pPr>
        <w:spacing w:after="0" w:line="256" w:lineRule="exact"/>
        <w:rPr>
          <w:sz w:val="20"/>
          <w:szCs w:val="20"/>
          <w:color w:val="auto"/>
        </w:rPr>
      </w:pPr>
    </w:p>
    <w:p>
      <w:pPr>
        <w:ind w:left="7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Steven Boyd</w:t>
      </w:r>
    </w:p>
    <w:p>
      <w:pPr>
        <w:spacing w:after="0" w:line="20" w:lineRule="exact"/>
        <w:rPr>
          <w:sz w:val="20"/>
          <w:szCs w:val="20"/>
          <w:color w:val="auto"/>
        </w:rPr>
      </w:pPr>
    </w:p>
    <w:p>
      <w:pPr>
        <w:ind w:left="7080"/>
        <w:spacing w:after="0"/>
        <w:rPr>
          <w:sz w:val="20"/>
          <w:szCs w:val="20"/>
          <w:color w:val="auto"/>
        </w:rPr>
      </w:pPr>
      <w:r>
        <w:rPr>
          <w:rFonts w:ascii="Arial" w:cs="Arial" w:eastAsia="Arial" w:hAnsi="Arial"/>
          <w:sz w:val="20"/>
          <w:szCs w:val="20"/>
          <w:color w:val="auto"/>
        </w:rPr>
        <w:t>Steven Boyd</w:t>
      </w:r>
    </w:p>
    <w:p>
      <w:pPr>
        <w:spacing w:after="0" w:line="13" w:lineRule="exact"/>
        <w:rPr>
          <w:sz w:val="20"/>
          <w:szCs w:val="20"/>
          <w:color w:val="auto"/>
        </w:rPr>
      </w:pPr>
    </w:p>
    <w:p>
      <w:pPr>
        <w:ind w:left="7080"/>
        <w:spacing w:after="0"/>
        <w:rPr>
          <w:sz w:val="20"/>
          <w:szCs w:val="20"/>
          <w:color w:val="auto"/>
        </w:rPr>
      </w:pPr>
      <w:r>
        <w:rPr>
          <w:rFonts w:ascii="Arial" w:cs="Arial" w:eastAsia="Arial" w:hAnsi="Arial"/>
          <w:sz w:val="20"/>
          <w:szCs w:val="20"/>
          <w:color w:val="auto"/>
        </w:rPr>
        <w:t>Managing Member</w:t>
      </w:r>
    </w:p>
    <w:p>
      <w:pPr>
        <w:spacing w:after="0" w:line="200" w:lineRule="exact"/>
        <w:rPr>
          <w:sz w:val="20"/>
          <w:szCs w:val="20"/>
          <w:color w:val="auto"/>
        </w:rPr>
      </w:pPr>
    </w:p>
    <w:p>
      <w:pPr>
        <w:spacing w:after="0" w:line="265" w:lineRule="exact"/>
        <w:rPr>
          <w:sz w:val="20"/>
          <w:szCs w:val="20"/>
          <w:color w:val="auto"/>
        </w:rPr>
      </w:pPr>
    </w:p>
    <w:p>
      <w:pPr>
        <w:ind w:left="7080"/>
        <w:spacing w:after="0"/>
        <w:rPr>
          <w:sz w:val="20"/>
          <w:szCs w:val="20"/>
          <w:color w:val="auto"/>
        </w:rPr>
      </w:pPr>
      <w:r>
        <w:rPr>
          <w:rFonts w:ascii="Arial" w:cs="Arial" w:eastAsia="Arial" w:hAnsi="Arial"/>
          <w:sz w:val="20"/>
          <w:szCs w:val="20"/>
          <w:color w:val="auto"/>
        </w:rPr>
        <w:t>Armistice Capital Master Fund Ltd.</w:t>
      </w:r>
    </w:p>
    <w:p>
      <w:pPr>
        <w:spacing w:after="0" w:line="256" w:lineRule="exact"/>
        <w:rPr>
          <w:sz w:val="20"/>
          <w:szCs w:val="20"/>
          <w:color w:val="auto"/>
        </w:rPr>
      </w:pPr>
    </w:p>
    <w:p>
      <w:pPr>
        <w:ind w:left="7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Steven Boyd</w:t>
      </w:r>
    </w:p>
    <w:p>
      <w:pPr>
        <w:spacing w:after="0" w:line="20" w:lineRule="exact"/>
        <w:rPr>
          <w:sz w:val="20"/>
          <w:szCs w:val="20"/>
          <w:color w:val="auto"/>
        </w:rPr>
      </w:pPr>
    </w:p>
    <w:p>
      <w:pPr>
        <w:ind w:left="7080"/>
        <w:spacing w:after="0"/>
        <w:rPr>
          <w:sz w:val="20"/>
          <w:szCs w:val="20"/>
          <w:color w:val="auto"/>
        </w:rPr>
      </w:pPr>
      <w:r>
        <w:rPr>
          <w:rFonts w:ascii="Arial" w:cs="Arial" w:eastAsia="Arial" w:hAnsi="Arial"/>
          <w:sz w:val="20"/>
          <w:szCs w:val="20"/>
          <w:color w:val="auto"/>
        </w:rPr>
        <w:t>Steven Boyd</w:t>
      </w:r>
    </w:p>
    <w:p>
      <w:pPr>
        <w:spacing w:after="0" w:line="13" w:lineRule="exact"/>
        <w:rPr>
          <w:sz w:val="20"/>
          <w:szCs w:val="20"/>
          <w:color w:val="auto"/>
        </w:rPr>
      </w:pPr>
    </w:p>
    <w:p>
      <w:pPr>
        <w:ind w:left="7080"/>
        <w:spacing w:after="0"/>
        <w:rPr>
          <w:sz w:val="20"/>
          <w:szCs w:val="20"/>
          <w:color w:val="auto"/>
        </w:rPr>
      </w:pPr>
      <w:r>
        <w:rPr>
          <w:rFonts w:ascii="Arial" w:cs="Arial" w:eastAsia="Arial" w:hAnsi="Arial"/>
          <w:sz w:val="20"/>
          <w:szCs w:val="20"/>
          <w:color w:val="auto"/>
        </w:rPr>
        <w:t>Director</w:t>
      </w:r>
    </w:p>
    <w:p>
      <w:pPr>
        <w:spacing w:after="0" w:line="200" w:lineRule="exact"/>
        <w:rPr>
          <w:sz w:val="20"/>
          <w:szCs w:val="20"/>
          <w:color w:val="auto"/>
        </w:rPr>
      </w:pPr>
    </w:p>
    <w:p>
      <w:pPr>
        <w:spacing w:after="0" w:line="292" w:lineRule="exact"/>
        <w:rPr>
          <w:sz w:val="20"/>
          <w:szCs w:val="20"/>
          <w:color w:val="auto"/>
        </w:rPr>
      </w:pPr>
    </w:p>
    <w:p>
      <w:pPr>
        <w:ind w:left="7080"/>
        <w:spacing w:after="0"/>
        <w:rPr>
          <w:sz w:val="20"/>
          <w:szCs w:val="20"/>
          <w:color w:val="auto"/>
        </w:rPr>
      </w:pPr>
      <w:r>
        <w:rPr>
          <w:rFonts w:ascii="Arial" w:cs="Arial" w:eastAsia="Arial" w:hAnsi="Arial"/>
          <w:sz w:val="20"/>
          <w:szCs w:val="20"/>
          <w:u w:val="single" w:color="auto"/>
          <w:color w:val="auto"/>
        </w:rPr>
        <w:t>/s/ Steven Boyd</w:t>
      </w:r>
    </w:p>
    <w:p>
      <w:pPr>
        <w:spacing w:after="0" w:line="20" w:lineRule="exact"/>
        <w:rPr>
          <w:sz w:val="20"/>
          <w:szCs w:val="20"/>
          <w:color w:val="auto"/>
        </w:rPr>
      </w:pPr>
    </w:p>
    <w:p>
      <w:pPr>
        <w:ind w:left="7080"/>
        <w:spacing w:after="0"/>
        <w:rPr>
          <w:sz w:val="20"/>
          <w:szCs w:val="20"/>
          <w:color w:val="auto"/>
        </w:rPr>
      </w:pPr>
      <w:r>
        <w:rPr>
          <w:rFonts w:ascii="Arial" w:cs="Arial" w:eastAsia="Arial" w:hAnsi="Arial"/>
          <w:sz w:val="20"/>
          <w:szCs w:val="20"/>
          <w:color w:val="auto"/>
        </w:rPr>
        <w:t>Steven Boyd</w:t>
      </w:r>
    </w:p>
    <w:sectPr>
      <w:pgSz w:w="11900" w:h="16838" w:orient="portrait"/>
      <w:cols w:equalWidth="0" w:num="1">
        <w:col w:w="11420"/>
      </w:cols>
      <w:pgMar w:left="240" w:top="9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3"/>
    </w:lvl>
  </w:abstractNum>
  <w:abstractNum w:abstractNumId="4">
    <w:nsid w:val="1F16E9E8"/>
    <w:multiLevelType w:val="hybridMultilevel"/>
    <w:lvl w:ilvl="0">
      <w:lvlJc w:val="left"/>
      <w:lvlText w:val="%1."/>
      <w:numFmt w:val="decimal"/>
      <w:start w:val="5"/>
    </w:lvl>
  </w:abstractNum>
  <w:abstractNum w:abstractNumId="5">
    <w:nsid w:val="1190CDE7"/>
    <w:multiLevelType w:val="hybridMultilevel"/>
    <w:lvl w:ilvl="0">
      <w:lvlJc w:val="left"/>
      <w:lvlText w:val="%1."/>
      <w:numFmt w:val="decimal"/>
      <w:start w:val="1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3"/>
    </w:lvl>
  </w:abstractNum>
  <w:abstractNum w:abstractNumId="8">
    <w:nsid w:val="3352255A"/>
    <w:multiLevelType w:val="hybridMultilevel"/>
    <w:lvl w:ilvl="0">
      <w:lvlJc w:val="left"/>
      <w:lvlText w:val="%1."/>
      <w:numFmt w:val="decimal"/>
      <w:start w:val="5"/>
    </w:lvl>
  </w:abstractNum>
  <w:abstractNum w:abstractNumId="9">
    <w:nsid w:val="109CF92E"/>
    <w:multiLevelType w:val="hybridMultilevel"/>
    <w:lvl w:ilvl="0">
      <w:lvlJc w:val="left"/>
      <w:lvlText w:val="%1."/>
      <w:numFmt w:val="decimal"/>
      <w:start w:val="1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3"/>
    </w:lvl>
  </w:abstractNum>
  <w:abstractNum w:abstractNumId="12">
    <w:nsid w:val="1BEFD79F"/>
    <w:multiLevelType w:val="hybridMultilevel"/>
    <w:lvl w:ilvl="0">
      <w:lvlJc w:val="left"/>
      <w:lvlText w:val="%1."/>
      <w:numFmt w:val="decimal"/>
      <w:start w:val="5"/>
    </w:lvl>
  </w:abstractNum>
  <w:abstractNum w:abstractNumId="13">
    <w:nsid w:val="41A7C4C9"/>
    <w:multiLevelType w:val="hybridMultilevel"/>
    <w:lvl w:ilvl="0">
      <w:lvlJc w:val="left"/>
      <w:lvlText w:val="%1."/>
      <w:numFmt w:val="decimal"/>
      <w:start w:val="11"/>
    </w:lvl>
  </w:abstractNum>
  <w:abstractNum w:abstractNumId="14">
    <w:nsid w:val="6B68079A"/>
    <w:multiLevelType w:val="hybridMultilevel"/>
    <w:lvl w:ilvl="0">
      <w:lvlJc w:val="left"/>
      <w:lvlText w:val="(%1)"/>
      <w:numFmt w:val="lowerLetter"/>
      <w:start w:val="3"/>
    </w:lvl>
  </w:abstractNum>
  <w:abstractNum w:abstractNumId="15">
    <w:nsid w:val="4E6AFB66"/>
    <w:multiLevelType w:val="hybridMultilevel"/>
    <w:lvl w:ilvl="0">
      <w:lvlJc w:val="left"/>
      <w:lvlText w:val="(%1)"/>
      <w:numFmt w:val="lowerLetter"/>
      <w:start w:val="1"/>
    </w:lvl>
    <w:lvl w:ilvl="1">
      <w:lvlJc w:val="left"/>
      <w:lvlText w:val="(%2)"/>
      <w:numFmt w:val="lowerRoman"/>
      <w:start w:val="1"/>
    </w:lvl>
  </w:abstractNum>
  <w:abstractNum w:abstractNumId="16">
    <w:nsid w:val="25E45D3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2019-12-03T20:35:55Z</dcterms:created>
  <dcterms:modified xsi:type="dcterms:W3CDTF">2019-12-03T20:35:55Z</dcterms:modified>
</cp:coreProperties>
</file>