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13d-101]</w:t>
      </w: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INFORMATION TO BE INCLUDED IN STATEMENTS FILED PURSUANT TO § 24.13d-1(a) AND AMENDMENTS THERETO FILED PURSUANT TO § 240.13D-2(a)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24130</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517125100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David Clark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Deerfield Management Company,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780 Third Avenue, 37th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right"/>
        <w:ind w:left="5040" w:right="5020" w:firstLine="22"/>
        <w:spacing w:after="0" w:line="551" w:lineRule="auto"/>
        <w:tabs>
          <w:tab w:leader="none" w:pos="550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551-1600 With a copy to:</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Todd J. Emmerman,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Brown Rudnick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 Times Square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209-4888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28,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4"/>
          <w:szCs w:val="24"/>
          <w:color w:val="auto"/>
        </w:rPr>
      </w:pPr>
    </w:p>
    <w:p>
      <w:pPr>
        <w:ind w:left="460" w:right="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Deerfield Private Design Fund III, L.P.</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WC</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6,091,250 (1)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6,091,250 (1)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6,091,250 (1)</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39.76%</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Comprised of shares held by Chondrial Therapeutics Holdings, LLC, of which Deerfield Private Design Fund III, L.P. is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Deerfield Healthcare Innovations Fund, L.P.</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WC</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6,091,250 (2)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6,091,250 (2)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6,091,250 (2)</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39.76%</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Comprised of shares held by Chondrial Therapeutics Holdings, LLC, of which Deerfield Healthcare Innovations Fund, L.P. is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Deerfield Private Design Fund IV, L.P.</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WC</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6,091,250 (3)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6,091,250 (3)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6,091,250 (3)</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39.76%</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(3) Comprised of shares held by Chondrial Therapeutics Holdings, LLC, of which Deerfield Private Design Fund IV, L.P. is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Deerfield Mgmt III, L.P.</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AF</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6,091,250 (4)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6,091,250 (4)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6,091,250 (4)</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39.76%</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80" w:hanging="318"/>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Comprised of shares held by Chondrial Therapeutics Holdings, LLC. Deerfield Mgmt III, L.P. is the general partner of Deerfield Private Design Fund III, L.P., which is a member 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Deerfield Mgmt HIF, L.P.</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AF</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6,091,250 (5)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6,091,250 (5)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6,091,250 (5)</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39.76%</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680" w:hanging="318"/>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Comprised of shares held by Chondrial Therapeutics Holdings, LLC. Deerfield Mgmt HIF, L.P. is the general partner of Deerfield Healthcare Innovations Fund III, L.P., which is a member 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Deerfield Mgmt IV, L.P.</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AF</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6,091,250 (6)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6,091,250 (6)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6,091,250 (6)</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39.76%</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80" w:hanging="318"/>
        <w:spacing w:after="0" w:line="27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Comprised of shares held by Chondrial Therapeutics Holdings, LLC. Deerfield Mgmt IV, L.P. is the general partner of Deerfield Private Design Fund IV, L.P., which is a member 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Deerfield Management Company, L.P.</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AF</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6,091,250 (7)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6,091,250 (7)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6,091,250 (7)</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39.76%</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160" w:hanging="318"/>
        <w:spacing w:after="0" w:line="26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Comprised of shares held by Chondrial Therapeutics Holdings, LLC. Deerfield Management Company, L.P. is the investment manager of Deerfield Private Design Fund III, L.P., Deerfield Private Design Fund IV, L.P. and Deerfield Healthcare Innovations Fund, L.P., each of which is a member 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James E. Flynn</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AF</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United States of America</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6,091,250 (8)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6,091,250 (8)</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6,091,250 (8)</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39.76%</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(8) Comprised of shares held by Chondrial Therapeutics Holdings, LLC (“Chondrial”).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ind w:firstLine="648"/>
        <w:spacing w:after="0" w:line="257" w:lineRule="auto"/>
        <w:rPr>
          <w:sz w:val="20"/>
          <w:szCs w:val="20"/>
          <w:color w:val="auto"/>
        </w:rPr>
      </w:pPr>
      <w:r>
        <w:rPr>
          <w:rFonts w:ascii="Arial" w:cs="Arial" w:eastAsia="Arial" w:hAnsi="Arial"/>
          <w:sz w:val="18"/>
          <w:szCs w:val="18"/>
          <w:color w:val="auto"/>
        </w:rPr>
        <w:t xml:space="preserve">This Schedule 13D is filed by (i) Deerfield Private Design Fund III, L.P., (ii) Deerfield Healthcare Innovations Fund, L.P., (iii) Deerfield Private Design Fund IV, L.P., (iv) Deerfield Mgmt III, L.P., (v) Deerfield Mgmt HIF, L.P., (vi) Deerfield Mgmt IV, L.P., (vii) Deerfield Management Company, L.P. and (viii) James E. Flynn, a natural person (collectively, the “ </w:t>
      </w:r>
      <w:r>
        <w:rPr>
          <w:rFonts w:ascii="Arial" w:cs="Arial" w:eastAsia="Arial" w:hAnsi="Arial"/>
          <w:sz w:val="18"/>
          <w:szCs w:val="18"/>
          <w:u w:val="single" w:color="auto"/>
          <w:color w:val="auto"/>
        </w:rPr>
        <w:t>Reporting Persons</w:t>
      </w:r>
      <w:r>
        <w:rPr>
          <w:rFonts w:ascii="Arial" w:cs="Arial" w:eastAsia="Arial" w:hAnsi="Arial"/>
          <w:sz w:val="18"/>
          <w:szCs w:val="18"/>
          <w:color w:val="auto"/>
        </w:rPr>
        <w:t xml:space="preserve">”), with respect to the common stock of Larimar Therapeutics, Inc. Deerfield Private Design Fund III, L.P., Deerfield Healthcare Innovations Fund, L.P. and Deerfield Private Design Fund IV, L.P are collectively referred to herein as the “ </w:t>
      </w:r>
      <w:r>
        <w:rPr>
          <w:rFonts w:ascii="Arial" w:cs="Arial" w:eastAsia="Arial" w:hAnsi="Arial"/>
          <w:sz w:val="18"/>
          <w:szCs w:val="18"/>
          <w:u w:val="single" w:color="auto"/>
          <w:color w:val="auto"/>
        </w:rPr>
        <w:t>Funds</w:t>
      </w:r>
      <w:r>
        <w:rPr>
          <w:rFonts w:ascii="Arial" w:cs="Arial" w:eastAsia="Arial" w:hAnsi="Arial"/>
          <w:sz w:val="18"/>
          <w:szCs w:val="18"/>
          <w:color w:val="auto"/>
        </w:rPr>
        <w:t>”.</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Statement on Schedule 13D (the “</w:t>
      </w:r>
      <w:r>
        <w:rPr>
          <w:rFonts w:ascii="Arial" w:cs="Arial" w:eastAsia="Arial" w:hAnsi="Arial"/>
          <w:sz w:val="18"/>
          <w:szCs w:val="18"/>
          <w:u w:val="single" w:color="auto"/>
          <w:color w:val="auto"/>
        </w:rPr>
        <w:t>Schedule 13D</w:t>
      </w:r>
      <w:r>
        <w:rPr>
          <w:rFonts w:ascii="Arial" w:cs="Arial" w:eastAsia="Arial" w:hAnsi="Arial"/>
          <w:sz w:val="18"/>
          <w:szCs w:val="18"/>
          <w:color w:val="auto"/>
        </w:rPr>
        <w:t xml:space="preserve"> ”) relates to the shares of common stock, $0.01 par value per share (the “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of Larimar Therapeutics, Inc., a Delaware corporation (the “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or the “ </w:t>
      </w:r>
      <w:r>
        <w:rPr>
          <w:rFonts w:ascii="Arial" w:cs="Arial" w:eastAsia="Arial" w:hAnsi="Arial"/>
          <w:sz w:val="18"/>
          <w:szCs w:val="18"/>
          <w:u w:val="single" w:color="auto"/>
          <w:color w:val="auto"/>
        </w:rPr>
        <w:t>Issuer</w:t>
      </w:r>
      <w:r>
        <w:rPr>
          <w:rFonts w:ascii="Arial" w:cs="Arial" w:eastAsia="Arial" w:hAnsi="Arial"/>
          <w:sz w:val="18"/>
          <w:szCs w:val="18"/>
          <w:color w:val="auto"/>
        </w:rPr>
        <w:t xml:space="preserve"> ”) with principal executive offices located at Three Bala Plaza East, Suite 506, Bala Cynwyd, Pennsylvania 19004.</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This Statement is filed as a joint statement pursuant to Rule 13d-1(k) promulgated under the Securities Exchange Act of 1934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by the Reporting Persons.</w:t>
      </w:r>
    </w:p>
    <w:p>
      <w:pPr>
        <w:spacing w:after="0" w:line="170" w:lineRule="exact"/>
        <w:rPr>
          <w:sz w:val="20"/>
          <w:szCs w:val="20"/>
          <w:color w:val="auto"/>
        </w:rPr>
      </w:pPr>
    </w:p>
    <w:p>
      <w:pPr>
        <w:ind w:left="660" w:right="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Deerfield Private Design Fund III, L.P., Deerfield Healthcare Innovations Fund, L.P., Deerfield Private Design Fund IV, L.P., Deerfield Mgmt III, L.P., Deerfield Mgmt HIF, L.P., Deerfield Mgmt IV, L.P., Deerfield Management Company, L.P. and James E. Flynn.</w:t>
      </w:r>
    </w:p>
    <w:p>
      <w:pPr>
        <w:spacing w:after="0" w:line="146"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Deerfield Private Design Fund III, L.P., Deerfield Healthcare Innovations Fund, L.P., Deerfield Private Design Fund IV, L.P., Deerfield Mgmt III, L.P., Deerfield Mgmt HIF, L.P., Deerfield Mgmt IV, L.P., Deerfield Management Company, L.P. and James E. Flynn all have the address of 780 Third Avenue, 37th Floor, New York, NY 10017.</w:t>
      </w:r>
    </w:p>
    <w:p>
      <w:pPr>
        <w:spacing w:after="0" w:line="183"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James E. Flynn is the managing member of the general partner of each of Deerfield Mgmt III, L.P., Deerfield Mgmt IV, L.P., Deerfield Mgmt HIF, L.P. and Deerfield Management Company, L.P. Deerfield Mgmt III, L.P. is the general partner of Deerfield Private Design Fund III, L.P., Deerfield Mgmt IV, L.P. is the general partner of Deerfield Private Design Fund IV, L.P., Deerfield Mgmt HIF, L.P. is the general partner of Deerfield Healthcare Innovations Fund, L.P. and Deerfield Management Company, L.P. is the investment manager of the Deerfield Private Design Fund III, L.P., Deerfield Private Design Fund IV, L.P. and Deerfield Healthcare Innovations Fund, L.P. Deerfield Private Design Fund III, L.P., Deerfield Private Design Fund IV, L.P. and Deerfield Healthcare Innovations Fund, L.P. purchase, hold and sell securities and other investment products. Schedule A hereto sets forth information regarding persons referred in Instruction C to Schedule 13D.</w:t>
      </w:r>
    </w:p>
    <w:p>
      <w:pPr>
        <w:spacing w:after="0" w:line="177"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have been: (i)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On August 21, 2017, Deerfield Management Company, L.P. voluntarily agreed to settle an SEC administrative proceeding relating to alleged violations of Section 204A of the Investment Advisers Act of 1940 (the “ </w:t>
      </w:r>
      <w:r>
        <w:rPr>
          <w:rFonts w:ascii="Arial" w:cs="Arial" w:eastAsia="Arial" w:hAnsi="Arial"/>
          <w:sz w:val="16"/>
          <w:szCs w:val="16"/>
          <w:u w:val="single" w:color="auto"/>
          <w:color w:val="auto"/>
        </w:rPr>
        <w:t>Advisers Act</w:t>
      </w:r>
      <w:r>
        <w:rPr>
          <w:rFonts w:ascii="Arial" w:cs="Arial" w:eastAsia="Arial" w:hAnsi="Arial"/>
          <w:sz w:val="16"/>
          <w:szCs w:val="16"/>
          <w:color w:val="auto"/>
        </w:rPr>
        <w:t xml:space="preserve">”), without admitting or denying the SEC’s allegations, pursuant to an order under Section 203(e) and 203(k) of the Advisers Act (the “ </w:t>
      </w:r>
      <w:r>
        <w:rPr>
          <w:rFonts w:ascii="Arial" w:cs="Arial" w:eastAsia="Arial" w:hAnsi="Arial"/>
          <w:sz w:val="16"/>
          <w:szCs w:val="16"/>
          <w:u w:val="single" w:color="auto"/>
          <w:color w:val="auto"/>
        </w:rPr>
        <w:t>Order</w:t>
      </w:r>
      <w:r>
        <w:rPr>
          <w:rFonts w:ascii="Arial" w:cs="Arial" w:eastAsia="Arial" w:hAnsi="Arial"/>
          <w:sz w:val="16"/>
          <w:szCs w:val="16"/>
          <w:color w:val="auto"/>
        </w:rPr>
        <w:t>”). The Order resolved the SEC’s allegations that Deerfield Management Company, L.P., from 2012 through 2014, violated Section 204A of the Advisers Act by failing to establish, maintain, and enforce policies and procedures reasonably designed to prevent the misuse of material, nonpublic information, particularly taking into consideration the nature of Deerfield Management Company, L.P.’s business. The Order alleged that, as part of Deerfield Management Company, L.P.’s research in the healthcare sector, Deerfield Management Company, L.P. engaged third party consultants and research firms, including firms that specialized in providing “political intelligence” regarding upcoming regulatory and legislative decisions, that Deerfield Management Company, L.P.’s employees based certain trading recommendations on such information, and that hedge funds advised by Deerfield Management Company, L.P. then made those trades. The Order required Deerfield Management Company, L.P. to cease and desist from committing or causing any violations and any future violations of Section 204A of the Advisers Act, censured Deerfield Management Company, L.P. and provided that Deerfield Management Company, L.P. would pay disgorgement and interest of $811,695 and a civil money penalty of $3,946,267.</w:t>
      </w:r>
    </w:p>
    <w:p>
      <w:pPr>
        <w:spacing w:after="0" w:line="167" w:lineRule="exact"/>
        <w:rPr>
          <w:rFonts w:ascii="Arial" w:cs="Arial" w:eastAsia="Arial" w:hAnsi="Arial"/>
          <w:sz w:val="16"/>
          <w:szCs w:val="16"/>
          <w:color w:val="auto"/>
        </w:rPr>
      </w:pPr>
    </w:p>
    <w:p>
      <w:pPr>
        <w:jc w:val="both"/>
        <w:ind w:left="660"/>
        <w:spacing w:after="0" w:line="301" w:lineRule="auto"/>
        <w:rPr>
          <w:rFonts w:ascii="Arial" w:cs="Arial" w:eastAsia="Arial" w:hAnsi="Arial"/>
          <w:sz w:val="16"/>
          <w:szCs w:val="16"/>
          <w:color w:val="auto"/>
        </w:rPr>
      </w:pPr>
      <w:r>
        <w:rPr>
          <w:rFonts w:ascii="Arial" w:cs="Arial" w:eastAsia="Arial" w:hAnsi="Arial"/>
          <w:sz w:val="16"/>
          <w:szCs w:val="16"/>
          <w:color w:val="auto"/>
        </w:rPr>
        <w:t>Other than as set forth above in this Item 2(e), during the last five years, none of the Reporting Persons, nor, to the best of each of the Reporting Person’s knowledge, any of the persons listed on Schedule A attached hereto,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7" w:lineRule="exact"/>
        <w:rPr>
          <w:rFonts w:ascii="Arial" w:cs="Arial" w:eastAsia="Arial" w:hAnsi="Arial"/>
          <w:sz w:val="16"/>
          <w:szCs w:val="16"/>
          <w:color w:val="auto"/>
        </w:rPr>
      </w:pPr>
    </w:p>
    <w:p>
      <w:pPr>
        <w:jc w:val="both"/>
        <w:ind w:left="660" w:right="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Deerfield Mgmt III, L.P., Deerfield Private Design Fund III, L.P., Deerfield Healthcare Innovations Fund, L.P., Deerfield Mgmt HIF, L.P., Deerfield Mgmt IV, L.P., Deerfield Management Company, L.P. and Deerfield Private Design Fund IV, L.P. are Delaware limited partnerships. James E. Flynn is a United States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Reporting Persons have entered into a Joint Filing Agreement, a copy of which is attached hereto as Exhibit A.</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Prior to the May 28, 2020 merger of the Company’s wholly-owned subsidiary with Chondrial Therapeutics, Inc. (“</w:t>
      </w:r>
      <w:r>
        <w:rPr>
          <w:rFonts w:ascii="Arial" w:cs="Arial" w:eastAsia="Arial" w:hAnsi="Arial"/>
          <w:sz w:val="18"/>
          <w:szCs w:val="18"/>
          <w:u w:val="single" w:color="auto"/>
          <w:color w:val="auto"/>
        </w:rPr>
        <w:t>Chondrial</w:t>
      </w:r>
      <w:r>
        <w:rPr>
          <w:rFonts w:ascii="Arial" w:cs="Arial" w:eastAsia="Arial" w:hAnsi="Arial"/>
          <w:sz w:val="18"/>
          <w:szCs w:val="18"/>
          <w:color w:val="auto"/>
        </w:rPr>
        <w:t>” and such merger, the “</w:t>
      </w:r>
      <w:r>
        <w:rPr>
          <w:rFonts w:ascii="Arial" w:cs="Arial" w:eastAsia="Arial" w:hAnsi="Arial"/>
          <w:sz w:val="18"/>
          <w:szCs w:val="18"/>
          <w:u w:val="single" w:color="auto"/>
          <w:color w:val="auto"/>
        </w:rPr>
        <w:t>Merger</w:t>
      </w:r>
      <w:r>
        <w:rPr>
          <w:rFonts w:ascii="Arial" w:cs="Arial" w:eastAsia="Arial" w:hAnsi="Arial"/>
          <w:sz w:val="18"/>
          <w:szCs w:val="18"/>
          <w:color w:val="auto"/>
        </w:rPr>
        <w:t>”), the Funds had participated in several rounds of equity financings involving Chondrial's parent company, Chondrial Therapeutics Holdings, LLC (“</w:t>
      </w:r>
      <w:r>
        <w:rPr>
          <w:rFonts w:ascii="Arial" w:cs="Arial" w:eastAsia="Arial" w:hAnsi="Arial"/>
          <w:sz w:val="18"/>
          <w:szCs w:val="18"/>
          <w:u w:val="single" w:color="auto"/>
          <w:color w:val="auto"/>
        </w:rPr>
        <w:t>Holdings</w:t>
      </w:r>
      <w:r>
        <w:rPr>
          <w:rFonts w:ascii="Arial" w:cs="Arial" w:eastAsia="Arial" w:hAnsi="Arial"/>
          <w:sz w:val="18"/>
          <w:szCs w:val="18"/>
          <w:color w:val="auto"/>
        </w:rPr>
        <w:t>”). Specifically: Deerfield Private Design Fund III, L.P. acquired 558,265 Series A Preferred Units of Holdings, 635 Bridge Units of Holdings and 481 Series B Bridge Units of Holdings, for an aggregate purchase price of $16,745,300; Deerfield Healthcare Innovations Fund, L.P. acquired 558,266 Series A Preferred Units of Holdings, 635 Bridge Units of Holdings and 481 Series B Bridge Units of Holdings, for an aggregate purchase price of $16,745,320; and Deerfield Private Design Fund IV, L.P. acquired 558,268 Series A Preferred Units of Holdings, 635 Bridge Units of Holdings and 481 Series B Bridge Units of Holdings, for an aggregate purchase price of $16,745,360. In each case, the working capital of the Funds was used to purchase such securities of Holdings.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certain provisions of Holdings' limited liability company agreement, the Funds (and the other Reporting Persons) may be deemed to beneficially own all of the shares of Common Stock received by Holdings in the Merger.</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 is hereby incorporated by reference.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Reporting Persons have acquired the shares reported herein for investment purposes</w:t>
      </w:r>
      <w:r>
        <w:rPr>
          <w:rFonts w:ascii="Arial" w:cs="Arial" w:eastAsia="Arial" w:hAnsi="Arial"/>
          <w:sz w:val="18"/>
          <w:szCs w:val="18"/>
          <w:u w:val="single" w:color="auto"/>
          <w:color w:val="auto"/>
        </w:rPr>
        <w:t>.</w:t>
      </w:r>
      <w:r>
        <w:rPr>
          <w:rFonts w:ascii="Arial" w:cs="Arial" w:eastAsia="Arial" w:hAnsi="Arial"/>
          <w:sz w:val="18"/>
          <w:szCs w:val="18"/>
          <w:color w:val="auto"/>
        </w:rPr>
        <w:t xml:space="preserve"> Jonathan Leff, a partner of Deerfield Management Company, L.P. who served on the Chondrial board of directors since December 2016, was appointed to serve on the Company’s board of directors upon consummation of the Merger and continues to serve in such capacity.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various factors and subject to the obligations described herein, the Reporting Persons may take such actions with respect to their investments in the Company as they deem appropriate, including, without limitation, purchasing additional shares of Common Stock or other financial instruments related to the Company or selling some or all of their beneficial or economic holdings, engaging in hedging or similar transactions with respect to the securities relating to the Company and/or otherwise changing their intention with respect to any and all matters referred to in Item 4 of Schedule 13D.</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the purpose of calculating the percent of class, the Company’s issued and outstanding shares of Common Stock was 15,319,075 shares of Common Stock, as of May 28,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1360" w:hanging="677"/>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Deerfield Private Design Fund III, L.P.</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Number of shares:</w:t>
            </w:r>
          </w:p>
        </w:tc>
        <w:tc>
          <w:tcPr>
            <w:tcW w:w="960" w:type="dxa"/>
            <w:vAlign w:val="bottom"/>
          </w:tcPr>
          <w:p>
            <w:pPr>
              <w:ind w:left="240"/>
              <w:spacing w:after="0"/>
              <w:rPr>
                <w:sz w:val="20"/>
                <w:szCs w:val="20"/>
                <w:color w:val="auto"/>
              </w:rPr>
            </w:pPr>
            <w:r>
              <w:rPr>
                <w:rFonts w:ascii="Arial" w:cs="Arial" w:eastAsia="Arial" w:hAnsi="Arial"/>
                <w:sz w:val="18"/>
                <w:szCs w:val="18"/>
                <w:color w:val="auto"/>
                <w:w w:val="87"/>
              </w:rPr>
              <w:t>6,091,250</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w w:val="99"/>
              </w:rPr>
              <w:t>Percentage of shares:</w:t>
            </w:r>
          </w:p>
        </w:tc>
        <w:tc>
          <w:tcPr>
            <w:tcW w:w="960" w:type="dxa"/>
            <w:vAlign w:val="bottom"/>
          </w:tcPr>
          <w:p>
            <w:pPr>
              <w:ind w:left="240"/>
              <w:spacing w:after="0"/>
              <w:rPr>
                <w:sz w:val="20"/>
                <w:szCs w:val="20"/>
                <w:color w:val="auto"/>
              </w:rPr>
            </w:pPr>
            <w:r>
              <w:rPr>
                <w:rFonts w:ascii="Arial" w:cs="Arial" w:eastAsia="Arial" w:hAnsi="Arial"/>
                <w:sz w:val="18"/>
                <w:szCs w:val="18"/>
                <w:color w:val="auto"/>
              </w:rPr>
              <w:t>39.76%</w:t>
            </w:r>
          </w:p>
        </w:tc>
      </w:tr>
    </w:tbl>
    <w:p>
      <w:pPr>
        <w:spacing w:after="0" w:line="202" w:lineRule="exact"/>
        <w:rPr>
          <w:sz w:val="20"/>
          <w:szCs w:val="20"/>
          <w:color w:val="auto"/>
        </w:rPr>
      </w:pPr>
    </w:p>
    <w:p>
      <w:pPr>
        <w:ind w:left="1360" w:hanging="677"/>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Deerfield Healthcare Innovations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ind w:left="1360"/>
              <w:spacing w:after="0"/>
              <w:rPr>
                <w:sz w:val="20"/>
                <w:szCs w:val="20"/>
                <w:color w:val="auto"/>
              </w:rPr>
            </w:pPr>
            <w:r>
              <w:rPr>
                <w:rFonts w:ascii="Arial" w:cs="Arial" w:eastAsia="Arial" w:hAnsi="Arial"/>
                <w:sz w:val="18"/>
                <w:szCs w:val="18"/>
                <w:color w:val="auto"/>
              </w:rPr>
              <w:t>Number of shares:</w:t>
            </w:r>
          </w:p>
        </w:tc>
        <w:tc>
          <w:tcPr>
            <w:tcW w:w="8100" w:type="dxa"/>
            <w:vAlign w:val="bottom"/>
          </w:tcPr>
          <w:p>
            <w:pPr>
              <w:ind w:left="240"/>
              <w:spacing w:after="0"/>
              <w:rPr>
                <w:sz w:val="20"/>
                <w:szCs w:val="20"/>
                <w:color w:val="auto"/>
              </w:rPr>
            </w:pPr>
            <w:r>
              <w:rPr>
                <w:rFonts w:ascii="Arial" w:cs="Arial" w:eastAsia="Arial" w:hAnsi="Arial"/>
                <w:sz w:val="18"/>
                <w:szCs w:val="18"/>
                <w:color w:val="auto"/>
              </w:rPr>
              <w:t>6,091,250</w:t>
            </w:r>
          </w:p>
        </w:tc>
      </w:tr>
      <w:tr>
        <w:trPr>
          <w:trHeight w:val="230"/>
        </w:trPr>
        <w:tc>
          <w:tcPr>
            <w:tcW w:w="3140" w:type="dxa"/>
            <w:vAlign w:val="bottom"/>
          </w:tcPr>
          <w:p>
            <w:pPr>
              <w:ind w:left="1360"/>
              <w:spacing w:after="0"/>
              <w:rPr>
                <w:sz w:val="20"/>
                <w:szCs w:val="20"/>
                <w:color w:val="auto"/>
              </w:rPr>
            </w:pPr>
            <w:r>
              <w:rPr>
                <w:rFonts w:ascii="Arial" w:cs="Arial" w:eastAsia="Arial" w:hAnsi="Arial"/>
                <w:sz w:val="18"/>
                <w:szCs w:val="18"/>
                <w:color w:val="auto"/>
                <w:w w:val="99"/>
              </w:rPr>
              <w:t>Percentage of shares:</w:t>
            </w:r>
          </w:p>
        </w:tc>
        <w:tc>
          <w:tcPr>
            <w:tcW w:w="8100" w:type="dxa"/>
            <w:vAlign w:val="bottom"/>
          </w:tcPr>
          <w:p>
            <w:pPr>
              <w:ind w:left="240"/>
              <w:spacing w:after="0"/>
              <w:rPr>
                <w:sz w:val="20"/>
                <w:szCs w:val="20"/>
                <w:color w:val="auto"/>
              </w:rPr>
            </w:pPr>
            <w:r>
              <w:rPr>
                <w:rFonts w:ascii="Arial" w:cs="Arial" w:eastAsia="Arial" w:hAnsi="Arial"/>
                <w:sz w:val="18"/>
                <w:szCs w:val="18"/>
                <w:color w:val="auto"/>
              </w:rPr>
              <w:t>39.76%</w:t>
            </w:r>
          </w:p>
        </w:tc>
      </w:tr>
      <w:tr>
        <w:trPr>
          <w:trHeight w:val="358"/>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11" w:name="page12"/>
    <w:bookmarkEnd w:id="11"/>
    <w:p>
      <w:pPr>
        <w:ind w:left="1360" w:hanging="677"/>
        <w:spacing w:after="0"/>
        <w:tabs>
          <w:tab w:leader="none" w:pos="13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Deerfield Private Design Fund IV, L.P.</w:t>
      </w:r>
    </w:p>
    <w:p>
      <w:pPr>
        <w:spacing w:after="0" w:line="248"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Number of shares:</w:t>
            </w:r>
          </w:p>
        </w:tc>
        <w:tc>
          <w:tcPr>
            <w:tcW w:w="960" w:type="dxa"/>
            <w:vAlign w:val="bottom"/>
          </w:tcPr>
          <w:p>
            <w:pPr>
              <w:ind w:left="240"/>
              <w:spacing w:after="0"/>
              <w:rPr>
                <w:sz w:val="20"/>
                <w:szCs w:val="20"/>
                <w:color w:val="auto"/>
              </w:rPr>
            </w:pPr>
            <w:r>
              <w:rPr>
                <w:rFonts w:ascii="Arial" w:cs="Arial" w:eastAsia="Arial" w:hAnsi="Arial"/>
                <w:sz w:val="18"/>
                <w:szCs w:val="18"/>
                <w:color w:val="auto"/>
                <w:w w:val="87"/>
              </w:rPr>
              <w:t>6,091,250</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w w:val="99"/>
              </w:rPr>
              <w:t>Percentage of shares:</w:t>
            </w:r>
          </w:p>
        </w:tc>
        <w:tc>
          <w:tcPr>
            <w:tcW w:w="960" w:type="dxa"/>
            <w:vAlign w:val="bottom"/>
          </w:tcPr>
          <w:p>
            <w:pPr>
              <w:ind w:left="240"/>
              <w:spacing w:after="0"/>
              <w:rPr>
                <w:sz w:val="20"/>
                <w:szCs w:val="20"/>
                <w:color w:val="auto"/>
              </w:rPr>
            </w:pPr>
            <w:r>
              <w:rPr>
                <w:rFonts w:ascii="Arial" w:cs="Arial" w:eastAsia="Arial" w:hAnsi="Arial"/>
                <w:sz w:val="18"/>
                <w:szCs w:val="18"/>
                <w:color w:val="auto"/>
              </w:rPr>
              <w:t>39.76%</w:t>
            </w:r>
          </w:p>
        </w:tc>
      </w:tr>
    </w:tbl>
    <w:p>
      <w:pPr>
        <w:spacing w:after="0" w:line="202" w:lineRule="exact"/>
        <w:rPr>
          <w:sz w:val="20"/>
          <w:szCs w:val="20"/>
          <w:color w:val="auto"/>
        </w:rPr>
      </w:pPr>
    </w:p>
    <w:p>
      <w:pPr>
        <w:ind w:left="1360" w:hanging="677"/>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Deerfield Mgmt III, L.P.</w:t>
      </w:r>
    </w:p>
    <w:p>
      <w:pPr>
        <w:sectPr>
          <w:pgSz w:w="11900" w:h="16838" w:orient="portrait"/>
          <w:cols w:equalWidth="0" w:num="1">
            <w:col w:w="10139"/>
          </w:cols>
          <w:pgMar w:left="320" w:top="584" w:right="1440" w:bottom="1440" w:gutter="0" w:footer="0" w:header="0"/>
        </w:sectPr>
      </w:pP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Number of shares:</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Percentage of shares: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6,091,250 (comprised of shares held by Holdings)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39.76%</w:t>
      </w:r>
    </w:p>
    <w:p>
      <w:pPr>
        <w:spacing w:after="0" w:line="200" w:lineRule="exact"/>
        <w:rPr>
          <w:sz w:val="20"/>
          <w:szCs w:val="20"/>
          <w:color w:val="auto"/>
        </w:rPr>
      </w:pPr>
    </w:p>
    <w:p>
      <w:pPr>
        <w:sectPr>
          <w:pgSz w:w="11900" w:h="16838" w:orient="portrait"/>
          <w:cols w:equalWidth="0" w:num="2">
            <w:col w:w="2880" w:space="500"/>
            <w:col w:w="6759"/>
          </w:cols>
          <w:pgMar w:left="320" w:top="584" w:right="1440" w:bottom="1440" w:gutter="0" w:footer="0" w:header="0"/>
          <w:type w:val="continuous"/>
        </w:sectPr>
      </w:pPr>
    </w:p>
    <w:p>
      <w:pPr>
        <w:spacing w:after="0" w:line="11" w:lineRule="exact"/>
        <w:rPr>
          <w:sz w:val="20"/>
          <w:szCs w:val="20"/>
          <w:color w:val="auto"/>
        </w:rPr>
      </w:pPr>
    </w:p>
    <w:p>
      <w:pPr>
        <w:ind w:left="1360" w:hanging="677"/>
        <w:spacing w:after="0"/>
        <w:tabs>
          <w:tab w:leader="none" w:pos="13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Deerfield Mgmt HIF, L.P.</w:t>
      </w:r>
    </w:p>
    <w:p>
      <w:pPr>
        <w:sectPr>
          <w:pgSz w:w="11900" w:h="16838" w:orient="portrait"/>
          <w:cols w:equalWidth="0" w:num="1">
            <w:col w:w="10139"/>
          </w:cols>
          <w:pgMar w:left="320" w:top="584" w:right="1440" w:bottom="1440" w:gutter="0" w:footer="0" w:header="0"/>
          <w:type w:val="continuous"/>
        </w:sectPr>
      </w:pP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Number of shares:</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Percentage of shares: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6,091,250 (comprised of shares held by Holdings)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39.76%</w:t>
      </w:r>
    </w:p>
    <w:p>
      <w:pPr>
        <w:spacing w:after="0" w:line="200" w:lineRule="exact"/>
        <w:rPr>
          <w:sz w:val="20"/>
          <w:szCs w:val="20"/>
          <w:color w:val="auto"/>
        </w:rPr>
      </w:pPr>
    </w:p>
    <w:p>
      <w:pPr>
        <w:sectPr>
          <w:pgSz w:w="11900" w:h="16838" w:orient="portrait"/>
          <w:cols w:equalWidth="0" w:num="2">
            <w:col w:w="2880" w:space="500"/>
            <w:col w:w="6759"/>
          </w:cols>
          <w:pgMar w:left="320" w:top="584" w:right="1440" w:bottom="1440" w:gutter="0" w:footer="0" w:header="0"/>
          <w:type w:val="continuous"/>
        </w:sectPr>
      </w:pPr>
    </w:p>
    <w:p>
      <w:pPr>
        <w:spacing w:after="0" w:line="11" w:lineRule="exact"/>
        <w:rPr>
          <w:sz w:val="20"/>
          <w:szCs w:val="20"/>
          <w:color w:val="auto"/>
        </w:rPr>
      </w:pPr>
    </w:p>
    <w:p>
      <w:pPr>
        <w:ind w:left="1360" w:hanging="677"/>
        <w:spacing w:after="0"/>
        <w:tabs>
          <w:tab w:leader="none" w:pos="136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Deerfield Mgmt IV, L.P.</w:t>
      </w:r>
    </w:p>
    <w:p>
      <w:pPr>
        <w:sectPr>
          <w:pgSz w:w="11900" w:h="16838" w:orient="portrait"/>
          <w:cols w:equalWidth="0" w:num="1">
            <w:col w:w="10139"/>
          </w:cols>
          <w:pgMar w:left="320" w:top="584" w:right="1440" w:bottom="1440" w:gutter="0" w:footer="0" w:header="0"/>
          <w:type w:val="continuous"/>
        </w:sectPr>
      </w:pP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Number of shares:</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Percentage of shares: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6,091,250 (comprised of shares held by Holdings)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39.76%</w:t>
      </w:r>
    </w:p>
    <w:p>
      <w:pPr>
        <w:spacing w:after="0" w:line="200" w:lineRule="exact"/>
        <w:rPr>
          <w:sz w:val="20"/>
          <w:szCs w:val="20"/>
          <w:color w:val="auto"/>
        </w:rPr>
      </w:pPr>
    </w:p>
    <w:p>
      <w:pPr>
        <w:sectPr>
          <w:pgSz w:w="11900" w:h="16838" w:orient="portrait"/>
          <w:cols w:equalWidth="0" w:num="2">
            <w:col w:w="2880" w:space="500"/>
            <w:col w:w="6759"/>
          </w:cols>
          <w:pgMar w:left="320" w:top="584" w:right="1440" w:bottom="1440" w:gutter="0" w:footer="0" w:header="0"/>
          <w:type w:val="continuous"/>
        </w:sectPr>
      </w:pPr>
    </w:p>
    <w:p>
      <w:pPr>
        <w:spacing w:after="0" w:line="11" w:lineRule="exact"/>
        <w:rPr>
          <w:sz w:val="20"/>
          <w:szCs w:val="20"/>
          <w:color w:val="auto"/>
        </w:rPr>
      </w:pPr>
    </w:p>
    <w:p>
      <w:pPr>
        <w:ind w:left="1360" w:hanging="677"/>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Deerfield Management Company, L.P.</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3860" w:type="dxa"/>
            <w:vAlign w:val="bottom"/>
          </w:tcPr>
          <w:p>
            <w:pPr>
              <w:ind w:left="240"/>
              <w:spacing w:after="0"/>
              <w:rPr>
                <w:sz w:val="20"/>
                <w:szCs w:val="20"/>
                <w:color w:val="auto"/>
              </w:rPr>
            </w:pPr>
            <w:r>
              <w:rPr>
                <w:rFonts w:ascii="Arial" w:cs="Arial" w:eastAsia="Arial" w:hAnsi="Arial"/>
                <w:sz w:val="18"/>
                <w:szCs w:val="18"/>
                <w:color w:val="auto"/>
                <w:w w:val="90"/>
              </w:rPr>
              <w:t>6,091,250 (comprised of shares held by Holdings)</w:t>
            </w:r>
          </w:p>
        </w:tc>
      </w:tr>
      <w:tr>
        <w:trPr>
          <w:trHeight w:val="230"/>
        </w:trPr>
        <w:tc>
          <w:tcPr>
            <w:tcW w:w="68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9"/>
              </w:rPr>
              <w:t>Percentage of shares:</w:t>
            </w:r>
          </w:p>
        </w:tc>
        <w:tc>
          <w:tcPr>
            <w:tcW w:w="3860" w:type="dxa"/>
            <w:vAlign w:val="bottom"/>
          </w:tcPr>
          <w:p>
            <w:pPr>
              <w:ind w:left="240"/>
              <w:spacing w:after="0"/>
              <w:rPr>
                <w:sz w:val="20"/>
                <w:szCs w:val="20"/>
                <w:color w:val="auto"/>
              </w:rPr>
            </w:pPr>
            <w:r>
              <w:rPr>
                <w:rFonts w:ascii="Arial" w:cs="Arial" w:eastAsia="Arial" w:hAnsi="Arial"/>
                <w:sz w:val="18"/>
                <w:szCs w:val="18"/>
                <w:color w:val="auto"/>
              </w:rPr>
              <w:t>39.76%</w:t>
            </w:r>
          </w:p>
        </w:tc>
      </w:tr>
      <w:tr>
        <w:trPr>
          <w:trHeight w:val="391"/>
        </w:trPr>
        <w:tc>
          <w:tcPr>
            <w:tcW w:w="680" w:type="dxa"/>
            <w:vAlign w:val="bottom"/>
          </w:tcPr>
          <w:p>
            <w:pPr>
              <w:jc w:val="right"/>
              <w:ind w:right="370"/>
              <w:spacing w:after="0"/>
              <w:rPr>
                <w:sz w:val="20"/>
                <w:szCs w:val="20"/>
                <w:color w:val="auto"/>
              </w:rPr>
            </w:pPr>
            <w:r>
              <w:rPr>
                <w:rFonts w:ascii="Arial" w:cs="Arial" w:eastAsia="Arial" w:hAnsi="Arial"/>
                <w:sz w:val="18"/>
                <w:szCs w:val="18"/>
                <w:color w:val="auto"/>
                <w:w w:val="90"/>
              </w:rPr>
              <w:t>(8)</w:t>
            </w:r>
          </w:p>
        </w:tc>
        <w:tc>
          <w:tcPr>
            <w:tcW w:w="1780" w:type="dxa"/>
            <w:vAlign w:val="bottom"/>
            <w:gridSpan w:val="2"/>
          </w:tcPr>
          <w:p>
            <w:pPr>
              <w:spacing w:after="0"/>
              <w:rPr>
                <w:sz w:val="20"/>
                <w:szCs w:val="20"/>
                <w:color w:val="auto"/>
              </w:rPr>
            </w:pPr>
            <w:r>
              <w:rPr>
                <w:rFonts w:ascii="Arial" w:cs="Arial" w:eastAsia="Arial" w:hAnsi="Arial"/>
                <w:sz w:val="18"/>
                <w:szCs w:val="18"/>
                <w:color w:val="auto"/>
              </w:rPr>
              <w:t>James E. Flynn</w:t>
            </w:r>
          </w:p>
        </w:tc>
        <w:tc>
          <w:tcPr>
            <w:tcW w:w="38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438"/>
        </w:trPr>
        <w:tc>
          <w:tcPr>
            <w:tcW w:w="68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3860" w:type="dxa"/>
            <w:vAlign w:val="bottom"/>
          </w:tcPr>
          <w:p>
            <w:pPr>
              <w:ind w:left="240"/>
              <w:spacing w:after="0"/>
              <w:rPr>
                <w:sz w:val="20"/>
                <w:szCs w:val="20"/>
                <w:color w:val="auto"/>
              </w:rPr>
            </w:pPr>
            <w:r>
              <w:rPr>
                <w:rFonts w:ascii="Arial" w:cs="Arial" w:eastAsia="Arial" w:hAnsi="Arial"/>
                <w:sz w:val="18"/>
                <w:szCs w:val="18"/>
                <w:color w:val="auto"/>
                <w:w w:val="90"/>
              </w:rPr>
              <w:t>6,091,250 (comprised of shares held by Holdings)</w:t>
            </w:r>
          </w:p>
        </w:tc>
      </w:tr>
      <w:tr>
        <w:trPr>
          <w:trHeight w:val="230"/>
        </w:trPr>
        <w:tc>
          <w:tcPr>
            <w:tcW w:w="68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9"/>
              </w:rPr>
              <w:t>Percentage of shares:</w:t>
            </w:r>
          </w:p>
        </w:tc>
        <w:tc>
          <w:tcPr>
            <w:tcW w:w="3860" w:type="dxa"/>
            <w:vAlign w:val="bottom"/>
          </w:tcPr>
          <w:p>
            <w:pPr>
              <w:ind w:left="240"/>
              <w:spacing w:after="0"/>
              <w:rPr>
                <w:sz w:val="20"/>
                <w:szCs w:val="20"/>
                <w:color w:val="auto"/>
              </w:rPr>
            </w:pPr>
            <w:r>
              <w:rPr>
                <w:rFonts w:ascii="Arial" w:cs="Arial" w:eastAsia="Arial" w:hAnsi="Arial"/>
                <w:sz w:val="18"/>
                <w:szCs w:val="18"/>
                <w:color w:val="auto"/>
              </w:rPr>
              <w:t>39.76%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360" w:hanging="677"/>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Deerfield Private Design Fund III, L.P.</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6,091,250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6,091,250</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360" w:hanging="677"/>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Deerfield Healthcare Innovations Fund, L.P.</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6,091,250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6,091,250</w:t>
      </w:r>
    </w:p>
    <w:p>
      <w:pPr>
        <w:spacing w:after="0" w:line="210" w:lineRule="exact"/>
        <w:rPr>
          <w:rFonts w:ascii="Arial" w:cs="Arial" w:eastAsia="Arial" w:hAnsi="Arial"/>
          <w:sz w:val="18"/>
          <w:szCs w:val="18"/>
          <w:color w:val="auto"/>
        </w:rPr>
      </w:pPr>
    </w:p>
    <w:p>
      <w:pPr>
        <w:ind w:left="1360" w:hanging="677"/>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Deerfield Private Design Fund IV, L.P.</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6,091,250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6,091,250</w:t>
      </w:r>
    </w:p>
    <w:p>
      <w:pPr>
        <w:spacing w:after="0" w:line="210" w:lineRule="exact"/>
        <w:rPr>
          <w:rFonts w:ascii="Arial" w:cs="Arial" w:eastAsia="Arial" w:hAnsi="Arial"/>
          <w:sz w:val="18"/>
          <w:szCs w:val="18"/>
          <w:color w:val="auto"/>
        </w:rPr>
      </w:pPr>
    </w:p>
    <w:p>
      <w:pPr>
        <w:ind w:left="1360" w:hanging="677"/>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Deerfield Mgmt III, L.P.</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6,091,250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6,091,250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type w:val="continuous"/>
        </w:sectPr>
      </w:pPr>
    </w:p>
    <w:bookmarkStart w:id="12" w:name="page13"/>
    <w:bookmarkEnd w:id="12"/>
    <w:p>
      <w:pPr>
        <w:ind w:left="1360" w:hanging="677"/>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Deerfield Mgmt HIF, L.P.</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6,091,250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6,091,250</w:t>
      </w:r>
    </w:p>
    <w:p>
      <w:pPr>
        <w:spacing w:after="0" w:line="210" w:lineRule="exact"/>
        <w:rPr>
          <w:rFonts w:ascii="Arial" w:cs="Arial" w:eastAsia="Arial" w:hAnsi="Arial"/>
          <w:sz w:val="18"/>
          <w:szCs w:val="18"/>
          <w:color w:val="auto"/>
        </w:rPr>
      </w:pPr>
    </w:p>
    <w:p>
      <w:pPr>
        <w:ind w:left="1360" w:hanging="677"/>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Deerfield Mgmt IV, L.P.</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6,091,250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6,091,250</w:t>
      </w:r>
    </w:p>
    <w:p>
      <w:pPr>
        <w:spacing w:after="0" w:line="210" w:lineRule="exact"/>
        <w:rPr>
          <w:rFonts w:ascii="Arial" w:cs="Arial" w:eastAsia="Arial" w:hAnsi="Arial"/>
          <w:sz w:val="18"/>
          <w:szCs w:val="18"/>
          <w:color w:val="auto"/>
        </w:rPr>
      </w:pPr>
    </w:p>
    <w:p>
      <w:pPr>
        <w:ind w:left="1360" w:hanging="677"/>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Deerfield Management Company, L.P.</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6,091,250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6,091,250</w:t>
      </w:r>
    </w:p>
    <w:p>
      <w:pPr>
        <w:spacing w:after="0" w:line="210" w:lineRule="exact"/>
        <w:rPr>
          <w:rFonts w:ascii="Arial" w:cs="Arial" w:eastAsia="Arial" w:hAnsi="Arial"/>
          <w:sz w:val="18"/>
          <w:szCs w:val="18"/>
          <w:color w:val="auto"/>
        </w:rPr>
      </w:pPr>
    </w:p>
    <w:p>
      <w:pPr>
        <w:ind w:left="1360" w:hanging="677"/>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James E. Flynn</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Sole power to vote or direct the vote: 0</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Shared power to vote or direct the vote: 6,091,250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Sole power to dispose or to direct the disposition: 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Shared power to dispose or direct the disposition: 6,091,250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Funds collectively hold a majority of the outstanding Series A Preferred Units of Holdings and, accordingly, the Funds have the ability to elect a majority of the members of Holdings’ board of directors. James E. Flynn is the managing member of the general partner of each of Deerfield Mgmt III, L.P., Deerfield Mgmt IV, L.P., Deerfield Mgmt HIF, L.P. and Deerfield Management Company, L.P.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Deerfield Mgmt III, L.P. is the general partner of Deerfield Private Design Fund III,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Deerfield Mgmt IV, L.P. is the general partner of Deerfield Private Design Fund IV,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Deerfield Mgmt HIF, L.P. is the general partner of Deerfield Healthcare Innovations Fund, L.P.</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Deerfield Management Company, L.P. is the investment manager of </w:t>
      </w:r>
      <w:r>
        <w:rPr>
          <w:rFonts w:ascii="Arial" w:cs="Arial" w:eastAsia="Arial" w:hAnsi="Arial"/>
          <w:sz w:val="18"/>
          <w:szCs w:val="18"/>
          <w:u w:val="single" w:color="auto"/>
          <w:color w:val="auto"/>
        </w:rPr>
        <w:t>each of</w:t>
      </w:r>
      <w:r>
        <w:rPr>
          <w:rFonts w:ascii="Arial" w:cs="Arial" w:eastAsia="Arial" w:hAnsi="Arial"/>
          <w:sz w:val="18"/>
          <w:szCs w:val="18"/>
          <w:color w:val="auto"/>
        </w:rPr>
        <w:t xml:space="preserve"> Deerfield Private Design Fund III, L.P., Deerfield Private Design Fund IV, L.P. and Deerfield Healthcare Innovations Fund, L.P.</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Reporting Person may be deemed to be a member of a “group” for purposes of the Securities Exchange Act of 1934 with Holdings with respect to the shares held by Holdings (which are reported in this Schedule 13D).</w:t>
      </w:r>
    </w:p>
    <w:p>
      <w:pPr>
        <w:spacing w:after="0" w:line="17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Except as set forth in Item 3 of this Schedule 13D, no Reporting Person has effected any transactions in the Common Stock during the past 60 days.</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In connection with the Merger, the Company agreed to register for resale the shares of Common Stock held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Funds. In furtherance of such agreement, on June 8, 2020, the Funds and the Company entered into a Registration Rights Agreement, the form of which is attached hereto as Exhibit B, pursuant to which the Company is required to file a registration statement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with the SEC within 30 days following the date of the consummation of the Merger (the “</w:t>
      </w:r>
      <w:r>
        <w:rPr>
          <w:rFonts w:ascii="Arial" w:cs="Arial" w:eastAsia="Arial" w:hAnsi="Arial"/>
          <w:sz w:val="18"/>
          <w:szCs w:val="18"/>
          <w:u w:val="single" w:color="auto"/>
          <w:color w:val="auto"/>
        </w:rPr>
        <w:t>Registration Deadline</w:t>
      </w:r>
      <w:r>
        <w:rPr>
          <w:rFonts w:ascii="Arial" w:cs="Arial" w:eastAsia="Arial" w:hAnsi="Arial"/>
          <w:sz w:val="18"/>
          <w:szCs w:val="18"/>
          <w:color w:val="auto"/>
        </w:rPr>
        <w:t>”) to register the shares of Common Stock distributable by Holdings to certain of its members, including the Funds. If the Company fails to meet the Registration Deadline or maintain the effectiveness of the Registration Statement for the required effectiveness period, subject to certain permitted exceptions, the Company will be required to pay liquidated damages to the holders of the shares of Common Stock. The Company also agreed, among other things, to indemnify the selling holders under the Registration Statement from certain liabilities and to pay all fees and expenses incident to the Company’s performance of or compliance with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jc w:val="both"/>
        <w:ind w:firstLine="648"/>
        <w:spacing w:after="0" w:line="263" w:lineRule="auto"/>
        <w:rPr>
          <w:sz w:val="20"/>
          <w:szCs w:val="20"/>
          <w:color w:val="auto"/>
        </w:rPr>
      </w:pPr>
      <w:r>
        <w:rPr>
          <w:rFonts w:ascii="Arial" w:cs="Arial" w:eastAsia="Arial" w:hAnsi="Arial"/>
          <w:sz w:val="18"/>
          <w:szCs w:val="18"/>
          <w:i w:val="1"/>
          <w:iCs w:val="1"/>
          <w:color w:val="auto"/>
        </w:rPr>
        <w:t>Lock-Up Agreement</w:t>
      </w:r>
      <w:r>
        <w:rPr>
          <w:rFonts w:ascii="Arial" w:cs="Arial" w:eastAsia="Arial" w:hAnsi="Arial"/>
          <w:sz w:val="18"/>
          <w:szCs w:val="18"/>
          <w:color w:val="auto"/>
        </w:rPr>
        <w:t>. In connection with the Merger, the Funds and the Company executed a Lock-Up Agreement, the form of which is attached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as Exhibit C, pursuant to which the Funds have agreed, except in limited circumstances, not to sell or transfer, or engage in swap or similar transactions with respect to, shares of Common Stock received pursuant to the Merger for a period of 180 days.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ind w:left="920" w:hanging="453"/>
        <w:spacing w:after="0"/>
        <w:tabs>
          <w:tab w:leader="none" w:pos="920" w:val="left"/>
        </w:tabs>
        <w:numPr>
          <w:ilvl w:val="0"/>
          <w:numId w:val="26"/>
        </w:numPr>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Joint Filing Agreement, dated as of June 8, 2020, by and among the Reporting Persons.*</w:t>
        </w:r>
      </w:hyperlink>
    </w:p>
    <w:p>
      <w:pPr>
        <w:spacing w:after="0" w:line="23" w:lineRule="exact"/>
        <w:rPr>
          <w:rFonts w:ascii="Arial" w:cs="Arial" w:eastAsia="Arial" w:hAnsi="Arial"/>
          <w:sz w:val="18"/>
          <w:szCs w:val="18"/>
          <w:u w:val="single" w:color="auto"/>
          <w:color w:val="0000EE"/>
        </w:rPr>
      </w:pPr>
    </w:p>
    <w:p>
      <w:pPr>
        <w:ind w:left="920" w:hanging="453"/>
        <w:spacing w:after="0"/>
        <w:tabs>
          <w:tab w:leader="none" w:pos="920" w:val="left"/>
        </w:tabs>
        <w:numPr>
          <w:ilvl w:val="0"/>
          <w:numId w:val="26"/>
        </w:numPr>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Registration Rights Agreement, dated as of June 8, 2020, by and between the Funds and the Company. *</w:t>
        </w:r>
      </w:hyperlink>
    </w:p>
    <w:p>
      <w:pPr>
        <w:spacing w:after="0" w:line="9" w:lineRule="exact"/>
        <w:rPr>
          <w:rFonts w:ascii="Arial" w:cs="Arial" w:eastAsia="Arial" w:hAnsi="Arial"/>
          <w:sz w:val="18"/>
          <w:szCs w:val="18"/>
          <w:u w:val="single" w:color="auto"/>
          <w:color w:val="0000EE"/>
        </w:rPr>
      </w:pPr>
    </w:p>
    <w:p>
      <w:pPr>
        <w:ind w:left="920" w:right="3460" w:hanging="453"/>
        <w:spacing w:after="0" w:line="511" w:lineRule="auto"/>
        <w:tabs>
          <w:tab w:leader="none" w:pos="920" w:val="left"/>
        </w:tabs>
        <w:numPr>
          <w:ilvl w:val="0"/>
          <w:numId w:val="26"/>
        </w:numPr>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Lock-Up Agreement, dated as of May 28, 2020, by and between the Funds and the Company. *</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*Filed herewith.</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June 8, 2020</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DEERFIELD PRIVATE DESIGN FUND III, L.P.</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Deerfield Mgmt III, L.P., General Partner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J.E. Flynn Capital III, LLC, General Partner</w:t>
            </w: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Jonathan Isler</w:t>
            </w:r>
          </w:p>
        </w:tc>
        <w:tc>
          <w:tcPr>
            <w:tcW w:w="2420" w:type="dxa"/>
            <w:vAlign w:val="bottom"/>
          </w:tcPr>
          <w:p>
            <w:pPr>
              <w:spacing w:after="0"/>
              <w:rPr>
                <w:sz w:val="24"/>
                <w:szCs w:val="24"/>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gridSpan w:val="4"/>
          </w:tcPr>
          <w:p>
            <w:pPr>
              <w:spacing w:after="0"/>
              <w:rPr>
                <w:sz w:val="20"/>
                <w:szCs w:val="20"/>
                <w:color w:val="auto"/>
              </w:rPr>
            </w:pPr>
            <w:r>
              <w:rPr>
                <w:rFonts w:ascii="Arial" w:cs="Arial" w:eastAsia="Arial" w:hAnsi="Arial"/>
                <w:sz w:val="18"/>
                <w:szCs w:val="18"/>
                <w:color w:val="auto"/>
              </w:rPr>
              <w:t>Jonathan Isler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gridSpan w:val="4"/>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4340" w:type="dxa"/>
            <w:vAlign w:val="bottom"/>
            <w:gridSpan w:val="5"/>
          </w:tcPr>
          <w:p>
            <w:pPr>
              <w:spacing w:after="0"/>
              <w:rPr>
                <w:sz w:val="20"/>
                <w:szCs w:val="20"/>
                <w:color w:val="auto"/>
              </w:rPr>
            </w:pPr>
            <w:r>
              <w:rPr>
                <w:rFonts w:ascii="Arial" w:cs="Arial" w:eastAsia="Arial" w:hAnsi="Arial"/>
                <w:sz w:val="18"/>
                <w:szCs w:val="18"/>
                <w:color w:val="auto"/>
                <w:w w:val="95"/>
              </w:rPr>
              <w:t>DEERFIELD HEALTHCARE INNOVATIONS FUND, L.P.</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Deerfield Mgmt HIF, L.P., General Partner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J.E. Flynn Capital HIF, LLC, General Partner</w:t>
            </w:r>
          </w:p>
        </w:tc>
      </w:tr>
      <w:tr>
        <w:trPr>
          <w:trHeight w:val="39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Jonathan Isler</w:t>
            </w:r>
          </w:p>
        </w:tc>
        <w:tc>
          <w:tcPr>
            <w:tcW w:w="2420" w:type="dxa"/>
            <w:vAlign w:val="bottom"/>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Jonathan Isler, Attorney-In-Fact</w:t>
            </w:r>
          </w:p>
        </w:tc>
      </w:tr>
      <w:tr>
        <w:trPr>
          <w:trHeight w:val="634"/>
        </w:trPr>
        <w:tc>
          <w:tcPr>
            <w:tcW w:w="4340" w:type="dxa"/>
            <w:vAlign w:val="bottom"/>
            <w:gridSpan w:val="5"/>
          </w:tcPr>
          <w:p>
            <w:pPr>
              <w:spacing w:after="0"/>
              <w:rPr>
                <w:sz w:val="20"/>
                <w:szCs w:val="20"/>
                <w:color w:val="auto"/>
              </w:rPr>
            </w:pPr>
            <w:r>
              <w:rPr>
                <w:rFonts w:ascii="Arial" w:cs="Arial" w:eastAsia="Arial" w:hAnsi="Arial"/>
                <w:sz w:val="18"/>
                <w:szCs w:val="18"/>
                <w:color w:val="auto"/>
              </w:rPr>
              <w:t>DEERFIELD PRIVATE DESIGN FUND IV, L.P.</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Deerfield Mgmt IV, L.P., General Partner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J.E. Flynn Capital IV, LLC, General Partner</w:t>
            </w:r>
          </w:p>
        </w:tc>
      </w:tr>
      <w:tr>
        <w:trPr>
          <w:trHeight w:val="39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Jonathan Isler</w:t>
            </w:r>
          </w:p>
        </w:tc>
        <w:tc>
          <w:tcPr>
            <w:tcW w:w="2420" w:type="dxa"/>
            <w:vAlign w:val="bottom"/>
          </w:tcPr>
          <w:p>
            <w:pPr>
              <w:spacing w:after="0"/>
              <w:rPr>
                <w:sz w:val="24"/>
                <w:szCs w:val="24"/>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gridSpan w:val="4"/>
          </w:tcPr>
          <w:p>
            <w:pPr>
              <w:spacing w:after="0"/>
              <w:rPr>
                <w:sz w:val="20"/>
                <w:szCs w:val="20"/>
                <w:color w:val="auto"/>
              </w:rPr>
            </w:pPr>
            <w:r>
              <w:rPr>
                <w:rFonts w:ascii="Arial" w:cs="Arial" w:eastAsia="Arial" w:hAnsi="Arial"/>
                <w:sz w:val="18"/>
                <w:szCs w:val="18"/>
                <w:color w:val="auto"/>
              </w:rPr>
              <w:t>Jonathan Isler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gridSpan w:val="4"/>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4340" w:type="dxa"/>
            <w:vAlign w:val="bottom"/>
            <w:gridSpan w:val="5"/>
          </w:tcPr>
          <w:p>
            <w:pPr>
              <w:spacing w:after="0"/>
              <w:rPr>
                <w:sz w:val="20"/>
                <w:szCs w:val="20"/>
                <w:color w:val="auto"/>
              </w:rPr>
            </w:pPr>
            <w:r>
              <w:rPr>
                <w:rFonts w:ascii="Arial" w:cs="Arial" w:eastAsia="Arial" w:hAnsi="Arial"/>
                <w:sz w:val="18"/>
                <w:szCs w:val="18"/>
                <w:color w:val="auto"/>
              </w:rPr>
              <w:t>DEERFIELD MGMT III,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J.E. Flynn Capital III, LLC, General Partner</w:t>
            </w:r>
          </w:p>
        </w:tc>
      </w:tr>
      <w:tr>
        <w:trPr>
          <w:trHeight w:val="39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/s/ Jonathan Isler</w:t>
            </w: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gridSpan w:val="4"/>
          </w:tcPr>
          <w:p>
            <w:pPr>
              <w:spacing w:after="0"/>
              <w:rPr>
                <w:sz w:val="20"/>
                <w:szCs w:val="20"/>
                <w:color w:val="auto"/>
              </w:rPr>
            </w:pPr>
            <w:r>
              <w:rPr>
                <w:rFonts w:ascii="Arial" w:cs="Arial" w:eastAsia="Arial" w:hAnsi="Arial"/>
                <w:sz w:val="18"/>
                <w:szCs w:val="18"/>
                <w:color w:val="auto"/>
              </w:rPr>
              <w:t>Jonathan Isler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gridSpan w:val="4"/>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4340" w:type="dxa"/>
            <w:vAlign w:val="bottom"/>
            <w:gridSpan w:val="5"/>
          </w:tcPr>
          <w:p>
            <w:pPr>
              <w:spacing w:after="0"/>
              <w:rPr>
                <w:sz w:val="20"/>
                <w:szCs w:val="20"/>
                <w:color w:val="auto"/>
              </w:rPr>
            </w:pPr>
            <w:r>
              <w:rPr>
                <w:rFonts w:ascii="Arial" w:cs="Arial" w:eastAsia="Arial" w:hAnsi="Arial"/>
                <w:sz w:val="18"/>
                <w:szCs w:val="18"/>
                <w:color w:val="auto"/>
              </w:rPr>
              <w:t>DEERFIELD MGMT HIF,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J.E. Flynn Capital HIF, LLC, General Partner</w:t>
            </w:r>
          </w:p>
        </w:tc>
      </w:tr>
      <w:tr>
        <w:trPr>
          <w:trHeight w:val="39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Jonathan Isler</w:t>
            </w:r>
          </w:p>
        </w:tc>
        <w:tc>
          <w:tcPr>
            <w:tcW w:w="2420" w:type="dxa"/>
            <w:vAlign w:val="bottom"/>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Jonathan Isler, Attorney-in-Fact</w:t>
            </w:r>
          </w:p>
        </w:tc>
      </w:tr>
      <w:tr>
        <w:trPr>
          <w:trHeight w:val="634"/>
        </w:trPr>
        <w:tc>
          <w:tcPr>
            <w:tcW w:w="4340" w:type="dxa"/>
            <w:vAlign w:val="bottom"/>
            <w:gridSpan w:val="5"/>
          </w:tcPr>
          <w:p>
            <w:pPr>
              <w:spacing w:after="0"/>
              <w:rPr>
                <w:sz w:val="20"/>
                <w:szCs w:val="20"/>
                <w:color w:val="auto"/>
              </w:rPr>
            </w:pPr>
            <w:r>
              <w:rPr>
                <w:rFonts w:ascii="Arial" w:cs="Arial" w:eastAsia="Arial" w:hAnsi="Arial"/>
                <w:sz w:val="18"/>
                <w:szCs w:val="18"/>
                <w:color w:val="auto"/>
              </w:rPr>
              <w:t>DEERFIELD MGMT IV,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J.E. Flynn Capital IV, LLC, General Partner</w:t>
            </w:r>
          </w:p>
        </w:tc>
      </w:tr>
      <w:tr>
        <w:trPr>
          <w:trHeight w:val="39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/s/ Jonathan Isler</w:t>
            </w: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gridSpan w:val="4"/>
          </w:tcPr>
          <w:p>
            <w:pPr>
              <w:spacing w:after="0"/>
              <w:rPr>
                <w:sz w:val="20"/>
                <w:szCs w:val="20"/>
                <w:color w:val="auto"/>
              </w:rPr>
            </w:pPr>
            <w:r>
              <w:rPr>
                <w:rFonts w:ascii="Arial" w:cs="Arial" w:eastAsia="Arial" w:hAnsi="Arial"/>
                <w:sz w:val="18"/>
                <w:szCs w:val="18"/>
                <w:color w:val="auto"/>
              </w:rPr>
              <w:t>Jonathan Isler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gridSpan w:val="4"/>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4340" w:type="dxa"/>
            <w:vAlign w:val="bottom"/>
            <w:gridSpan w:val="5"/>
          </w:tcPr>
          <w:p>
            <w:pPr>
              <w:spacing w:after="0"/>
              <w:rPr>
                <w:sz w:val="20"/>
                <w:szCs w:val="20"/>
                <w:color w:val="auto"/>
              </w:rPr>
            </w:pPr>
            <w:r>
              <w:rPr>
                <w:rFonts w:ascii="Arial" w:cs="Arial" w:eastAsia="Arial" w:hAnsi="Arial"/>
                <w:sz w:val="18"/>
                <w:szCs w:val="18"/>
                <w:color w:val="auto"/>
              </w:rPr>
              <w:t>DEERFIELD MANAGEMENT COMPANY,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4"/>
          </w:tcPr>
          <w:p>
            <w:pPr>
              <w:spacing w:after="0"/>
              <w:rPr>
                <w:sz w:val="20"/>
                <w:szCs w:val="20"/>
                <w:color w:val="auto"/>
              </w:rPr>
            </w:pPr>
            <w:r>
              <w:rPr>
                <w:rFonts w:ascii="Arial" w:cs="Arial" w:eastAsia="Arial" w:hAnsi="Arial"/>
                <w:sz w:val="18"/>
                <w:szCs w:val="18"/>
                <w:color w:val="auto"/>
              </w:rPr>
              <w:t>Flynn Management LLC, General Partner</w:t>
            </w:r>
          </w:p>
        </w:tc>
      </w:tr>
      <w:tr>
        <w:trPr>
          <w:trHeight w:val="39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Jonathan Isler</w:t>
            </w:r>
          </w:p>
        </w:tc>
        <w:tc>
          <w:tcPr>
            <w:tcW w:w="2420" w:type="dxa"/>
            <w:vAlign w:val="bottom"/>
          </w:tcPr>
          <w:p>
            <w:pPr>
              <w:spacing w:after="0"/>
              <w:rPr>
                <w:sz w:val="24"/>
                <w:szCs w:val="24"/>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gridSpan w:val="4"/>
          </w:tcPr>
          <w:p>
            <w:pPr>
              <w:spacing w:after="0"/>
              <w:rPr>
                <w:sz w:val="20"/>
                <w:szCs w:val="20"/>
                <w:color w:val="auto"/>
              </w:rPr>
            </w:pPr>
            <w:r>
              <w:rPr>
                <w:rFonts w:ascii="Arial" w:cs="Arial" w:eastAsia="Arial" w:hAnsi="Arial"/>
                <w:sz w:val="18"/>
                <w:szCs w:val="18"/>
                <w:color w:val="auto"/>
              </w:rPr>
              <w:t>Jonathan Isler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gridSpan w:val="4"/>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1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Partner of Deerfield Private Design Fund III, L.P.</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general partner of Deerfield Private Design Fund III, L.P. is Deerfield Mgmt III, L.P. The address of the principal business and/or principal office of Deerfield Mgmt III, L.P. and Deerfield Private Design Fund III, L.P. is 780 Third Avenue, 37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Partner of Deerfield Mgmt III, L.P.</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8"/>
          <w:szCs w:val="18"/>
          <w:color w:val="auto"/>
        </w:rPr>
        <w:t>The general partner of Deerfield Mgmt III, L.P. is J.E. Flynn Capital III, LLC. The address of the principal business and/or principal office of Deerfield Mgmt III, L.P. and J.E. Flynn Capital III, LLC is 780 Third Avenue, 37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Partner of Deerfield Healthcare Innovations Fund, L.P.</w:t>
      </w:r>
    </w:p>
    <w:p>
      <w:pPr>
        <w:spacing w:after="0" w:line="22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The general partner of Deerfield Healthcare Innovations Fund, L.P. is Deerfield Mgmt HIF, L.P. The address of the principal business and/or principal office of Deerfield Healthcare Innovations Fund, L.P. and Deerfield Mgmt HIF, L.P. is 780 Third Avenue, 37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Partner of Deerfield Mgmt HIF, L.P.</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8"/>
          <w:szCs w:val="18"/>
          <w:color w:val="auto"/>
        </w:rPr>
        <w:t>The general partner of Deerfield Mgmt HIF, L.P. is J.E. Flynn Capital HIF, LLC. The address of the principal business and/or principal office of Deerfield Mgmt HIF, L.P. and J.E. Flynn Capital HIF, LLC is 780 Third Avenue, 37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Partner of Deerfield Private Design Fund IV, L.P.</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general partner of Deerfield Private Design Fund IV, L.P. is Deerfield Mgmt IV, L.P.. The address of the principal business and/or principal office of Deerfield Mgmt IV, L.P. and Deerfield Private Design Fund IV, L.P. is 780 Third Avenue, 37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Partner of Deerfield Mgmt IV, L.P.</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8"/>
          <w:szCs w:val="18"/>
          <w:color w:val="auto"/>
        </w:rPr>
        <w:t>The general partner of Deerfield Mgmt IV, L.P. is J.E. Flynn Capital IV, LLC. The address of the principal business and/or principal office of Deerfield Mgmt IV, L.P. and J.E. Flynn Capital IV, LLC is 780 Third Avenue, 37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Partner of Deerfield Management Company, L.P.</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general partner of Deerfield Management Company, L.P. is Flynn Management LLC. The address of the principal business and/or principal office of Deerfield Management Company, L.P. and Flynn Management LLC is 780 Third Avenue, 37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w:t>
      </w:r>
    </w:p>
    <w:p>
      <w:pPr>
        <w:sectPr>
          <w:pgSz w:w="11900" w:h="16838" w:orient="portrait"/>
          <w:cols w:equalWidth="0" w:num="1">
            <w:col w:w="11240"/>
          </w:cols>
          <w:pgMar w:left="320" w:top="341" w:right="339" w:bottom="1440" w:gutter="0" w:footer="0" w:header="0"/>
        </w:sectPr>
      </w:pPr>
    </w:p>
    <w:bookmarkStart w:id="16" w:name="page17"/>
    <w:bookmarkEnd w:id="16"/>
    <w:p>
      <w:pPr>
        <w:jc w:val="center"/>
        <w:ind w:right="-17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13D, and all amendments thereto, relating to the Common Stock of Larimar Therapeutics, Inc. shall be filed on behalf of the undersigned.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DEERFIELD PRIVATE DESIGN FUND III, L.P.</w:t>
      </w:r>
    </w:p>
    <w:p>
      <w:pPr>
        <w:spacing w:after="0" w:line="18" w:lineRule="exact"/>
        <w:rPr>
          <w:sz w:val="20"/>
          <w:szCs w:val="20"/>
          <w:color w:val="auto"/>
        </w:rPr>
      </w:pPr>
    </w:p>
    <w:tbl>
      <w:tblPr>
        <w:tblLayout w:type="fixed"/>
        <w:tblInd w:w="662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160" w:type="dxa"/>
            <w:vAlign w:val="bottom"/>
            <w:gridSpan w:val="2"/>
          </w:tcPr>
          <w:p>
            <w:pPr>
              <w:spacing w:after="0"/>
              <w:rPr>
                <w:sz w:val="20"/>
                <w:szCs w:val="20"/>
                <w:color w:val="auto"/>
              </w:rPr>
            </w:pPr>
            <w:r>
              <w:rPr>
                <w:rFonts w:ascii="Arial" w:cs="Arial" w:eastAsia="Arial" w:hAnsi="Arial"/>
                <w:sz w:val="18"/>
                <w:szCs w:val="18"/>
                <w:color w:val="auto"/>
                <w:w w:val="97"/>
              </w:rPr>
              <w:t>Deerfield Mgmt III, L.P., General Partner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160" w:type="dxa"/>
            <w:vAlign w:val="bottom"/>
            <w:gridSpan w:val="2"/>
          </w:tcPr>
          <w:p>
            <w:pPr>
              <w:spacing w:after="0"/>
              <w:rPr>
                <w:sz w:val="20"/>
                <w:szCs w:val="20"/>
                <w:color w:val="auto"/>
              </w:rPr>
            </w:pPr>
            <w:r>
              <w:rPr>
                <w:rFonts w:ascii="Arial" w:cs="Arial" w:eastAsia="Arial" w:hAnsi="Arial"/>
                <w:sz w:val="18"/>
                <w:szCs w:val="18"/>
                <w:color w:val="auto"/>
                <w:w w:val="91"/>
              </w:rPr>
              <w:t>J.E. Flynn Capital III, LLC, General Partner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Jonathan Isler</w:t>
            </w:r>
          </w:p>
        </w:tc>
        <w:tc>
          <w:tcPr>
            <w:tcW w:w="1940" w:type="dxa"/>
            <w:vAlign w:val="bottom"/>
          </w:tcPr>
          <w:p>
            <w:pPr>
              <w:spacing w:after="0"/>
              <w:rPr>
                <w:sz w:val="24"/>
                <w:szCs w:val="24"/>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160" w:type="dxa"/>
            <w:vAlign w:val="bottom"/>
            <w:gridSpan w:val="2"/>
          </w:tcPr>
          <w:p>
            <w:pPr>
              <w:spacing w:after="0"/>
              <w:rPr>
                <w:sz w:val="20"/>
                <w:szCs w:val="20"/>
                <w:color w:val="auto"/>
              </w:rPr>
            </w:pPr>
            <w:r>
              <w:rPr>
                <w:rFonts w:ascii="Arial" w:cs="Arial" w:eastAsia="Arial" w:hAnsi="Arial"/>
                <w:sz w:val="18"/>
                <w:szCs w:val="18"/>
                <w:color w:val="auto"/>
              </w:rPr>
              <w:t>Jonathan Isler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160" w:type="dxa"/>
            <w:vAlign w:val="bottom"/>
            <w:gridSpan w:val="2"/>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1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DEERFIELD HEALTHCARE INNOVATIONS FUND, L.P.</w:t>
      </w:r>
    </w:p>
    <w:p>
      <w:pPr>
        <w:spacing w:after="0" w:line="237"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gridSpan w:val="4"/>
          </w:tcPr>
          <w:p>
            <w:pPr>
              <w:spacing w:after="0"/>
              <w:rPr>
                <w:sz w:val="20"/>
                <w:szCs w:val="20"/>
                <w:color w:val="auto"/>
              </w:rPr>
            </w:pPr>
            <w:r>
              <w:rPr>
                <w:rFonts w:ascii="Arial" w:cs="Arial" w:eastAsia="Arial" w:hAnsi="Arial"/>
                <w:sz w:val="18"/>
                <w:szCs w:val="18"/>
                <w:color w:val="auto"/>
                <w:w w:val="96"/>
              </w:rPr>
              <w:t>Deerfield Mgmt HIF, L.P., General Partner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gridSpan w:val="4"/>
          </w:tcPr>
          <w:p>
            <w:pPr>
              <w:spacing w:after="0"/>
              <w:rPr>
                <w:sz w:val="20"/>
                <w:szCs w:val="20"/>
                <w:color w:val="auto"/>
              </w:rPr>
            </w:pPr>
            <w:r>
              <w:rPr>
                <w:rFonts w:ascii="Arial" w:cs="Arial" w:eastAsia="Arial" w:hAnsi="Arial"/>
                <w:sz w:val="18"/>
                <w:szCs w:val="18"/>
                <w:color w:val="auto"/>
                <w:w w:val="90"/>
              </w:rPr>
              <w:t>J.E. Flynn Capital HIF, LLC, General Partner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Jonathan Isler</w:t>
            </w:r>
          </w:p>
        </w:tc>
        <w:tc>
          <w:tcPr>
            <w:tcW w:w="2020" w:type="dxa"/>
            <w:vAlign w:val="bottom"/>
          </w:tcPr>
          <w:p>
            <w:pPr>
              <w:spacing w:after="0"/>
              <w:rPr>
                <w:sz w:val="24"/>
                <w:szCs w:val="24"/>
                <w:color w:val="auto"/>
              </w:rPr>
            </w:pPr>
          </w:p>
        </w:tc>
      </w:tr>
      <w:tr>
        <w:trPr>
          <w:trHeight w:val="236"/>
        </w:trPr>
        <w:tc>
          <w:tcPr>
            <w:tcW w:w="660" w:type="dxa"/>
            <w:vAlign w:val="bottom"/>
          </w:tcPr>
          <w:p>
            <w:pPr>
              <w:spacing w:after="0"/>
              <w:rPr>
                <w:sz w:val="20"/>
                <w:szCs w:val="20"/>
                <w:color w:val="auto"/>
              </w:rPr>
            </w:pPr>
          </w:p>
        </w:tc>
        <w:tc>
          <w:tcPr>
            <w:tcW w:w="3260" w:type="dxa"/>
            <w:vAlign w:val="bottom"/>
            <w:gridSpan w:val="4"/>
          </w:tcPr>
          <w:p>
            <w:pPr>
              <w:spacing w:after="0"/>
              <w:rPr>
                <w:sz w:val="20"/>
                <w:szCs w:val="20"/>
                <w:color w:val="auto"/>
              </w:rPr>
            </w:pPr>
            <w:r>
              <w:rPr>
                <w:rFonts w:ascii="Arial" w:cs="Arial" w:eastAsia="Arial" w:hAnsi="Arial"/>
                <w:sz w:val="18"/>
                <w:szCs w:val="18"/>
                <w:color w:val="auto"/>
              </w:rPr>
              <w:t>Jonathan Isler, Attorney-In-Fact</w:t>
            </w:r>
          </w:p>
        </w:tc>
      </w:tr>
      <w:tr>
        <w:trPr>
          <w:trHeight w:val="634"/>
        </w:trPr>
        <w:tc>
          <w:tcPr>
            <w:tcW w:w="3920" w:type="dxa"/>
            <w:vAlign w:val="bottom"/>
            <w:gridSpan w:val="5"/>
          </w:tcPr>
          <w:p>
            <w:pPr>
              <w:spacing w:after="0"/>
              <w:rPr>
                <w:sz w:val="20"/>
                <w:szCs w:val="20"/>
                <w:color w:val="auto"/>
              </w:rPr>
            </w:pPr>
            <w:r>
              <w:rPr>
                <w:rFonts w:ascii="Arial" w:cs="Arial" w:eastAsia="Arial" w:hAnsi="Arial"/>
                <w:sz w:val="18"/>
                <w:szCs w:val="18"/>
                <w:color w:val="auto"/>
              </w:rPr>
              <w:t>DEERFIELD PRIVATE DESIGN FUND IV, L.P.</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gridSpan w:val="4"/>
          </w:tcPr>
          <w:p>
            <w:pPr>
              <w:spacing w:after="0"/>
              <w:rPr>
                <w:sz w:val="20"/>
                <w:szCs w:val="20"/>
                <w:color w:val="auto"/>
              </w:rPr>
            </w:pPr>
            <w:r>
              <w:rPr>
                <w:rFonts w:ascii="Arial" w:cs="Arial" w:eastAsia="Arial" w:hAnsi="Arial"/>
                <w:sz w:val="18"/>
                <w:szCs w:val="18"/>
                <w:color w:val="auto"/>
                <w:w w:val="99"/>
              </w:rPr>
              <w:t>Deerfield Mgmt IV, L.P., General Partner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gridSpan w:val="4"/>
          </w:tcPr>
          <w:p>
            <w:pPr>
              <w:spacing w:after="0"/>
              <w:rPr>
                <w:sz w:val="20"/>
                <w:szCs w:val="20"/>
                <w:color w:val="auto"/>
              </w:rPr>
            </w:pPr>
            <w:r>
              <w:rPr>
                <w:rFonts w:ascii="Arial" w:cs="Arial" w:eastAsia="Arial" w:hAnsi="Arial"/>
                <w:sz w:val="18"/>
                <w:szCs w:val="18"/>
                <w:color w:val="auto"/>
                <w:w w:val="94"/>
              </w:rPr>
              <w:t>J.E. Flynn Capital IV, LLC, General Partner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Jonathan Isler</w:t>
            </w:r>
          </w:p>
        </w:tc>
        <w:tc>
          <w:tcPr>
            <w:tcW w:w="2020" w:type="dxa"/>
            <w:vAlign w:val="bottom"/>
          </w:tcPr>
          <w:p>
            <w:pPr>
              <w:spacing w:after="0"/>
              <w:rPr>
                <w:sz w:val="24"/>
                <w:szCs w:val="24"/>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260" w:type="dxa"/>
            <w:vAlign w:val="bottom"/>
            <w:gridSpan w:val="4"/>
          </w:tcPr>
          <w:p>
            <w:pPr>
              <w:spacing w:after="0"/>
              <w:rPr>
                <w:sz w:val="20"/>
                <w:szCs w:val="20"/>
                <w:color w:val="auto"/>
              </w:rPr>
            </w:pPr>
            <w:r>
              <w:rPr>
                <w:rFonts w:ascii="Arial" w:cs="Arial" w:eastAsia="Arial" w:hAnsi="Arial"/>
                <w:sz w:val="18"/>
                <w:szCs w:val="18"/>
                <w:color w:val="auto"/>
              </w:rPr>
              <w:t>Jonathan Isler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60" w:type="dxa"/>
            <w:vAlign w:val="bottom"/>
            <w:gridSpan w:val="4"/>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3920" w:type="dxa"/>
            <w:vAlign w:val="bottom"/>
            <w:gridSpan w:val="5"/>
          </w:tcPr>
          <w:p>
            <w:pPr>
              <w:spacing w:after="0"/>
              <w:rPr>
                <w:sz w:val="20"/>
                <w:szCs w:val="20"/>
                <w:color w:val="auto"/>
              </w:rPr>
            </w:pPr>
            <w:r>
              <w:rPr>
                <w:rFonts w:ascii="Arial" w:cs="Arial" w:eastAsia="Arial" w:hAnsi="Arial"/>
                <w:sz w:val="18"/>
                <w:szCs w:val="18"/>
                <w:color w:val="auto"/>
              </w:rPr>
              <w:t>DEERFIELD MGMT III, L.P.</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gridSpan w:val="4"/>
          </w:tcPr>
          <w:p>
            <w:pPr>
              <w:spacing w:after="0"/>
              <w:rPr>
                <w:sz w:val="20"/>
                <w:szCs w:val="20"/>
                <w:color w:val="auto"/>
              </w:rPr>
            </w:pPr>
            <w:r>
              <w:rPr>
                <w:rFonts w:ascii="Arial" w:cs="Arial" w:eastAsia="Arial" w:hAnsi="Arial"/>
                <w:sz w:val="18"/>
                <w:szCs w:val="18"/>
                <w:color w:val="auto"/>
                <w:w w:val="94"/>
              </w:rPr>
              <w:t>J.E. Flynn Capital III, LLC,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gridSpan w:val="4"/>
          </w:tcPr>
          <w:p>
            <w:pPr>
              <w:spacing w:after="0"/>
              <w:rPr>
                <w:sz w:val="20"/>
                <w:szCs w:val="20"/>
                <w:color w:val="auto"/>
              </w:rPr>
            </w:pPr>
            <w:r>
              <w:rPr>
                <w:rFonts w:ascii="Arial" w:cs="Arial" w:eastAsia="Arial" w:hAnsi="Arial"/>
                <w:sz w:val="18"/>
                <w:szCs w:val="18"/>
                <w:color w:val="auto"/>
              </w:rPr>
              <w:t>/s/ Jonathan Isler</w:t>
            </w: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260" w:type="dxa"/>
            <w:vAlign w:val="bottom"/>
            <w:gridSpan w:val="4"/>
          </w:tcPr>
          <w:p>
            <w:pPr>
              <w:spacing w:after="0"/>
              <w:rPr>
                <w:sz w:val="20"/>
                <w:szCs w:val="20"/>
                <w:color w:val="auto"/>
              </w:rPr>
            </w:pPr>
            <w:r>
              <w:rPr>
                <w:rFonts w:ascii="Arial" w:cs="Arial" w:eastAsia="Arial" w:hAnsi="Arial"/>
                <w:sz w:val="18"/>
                <w:szCs w:val="18"/>
                <w:color w:val="auto"/>
              </w:rPr>
              <w:t>Jonathan Isler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60" w:type="dxa"/>
            <w:vAlign w:val="bottom"/>
            <w:gridSpan w:val="4"/>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3920" w:type="dxa"/>
            <w:vAlign w:val="bottom"/>
            <w:gridSpan w:val="5"/>
          </w:tcPr>
          <w:p>
            <w:pPr>
              <w:spacing w:after="0"/>
              <w:rPr>
                <w:sz w:val="20"/>
                <w:szCs w:val="20"/>
                <w:color w:val="auto"/>
              </w:rPr>
            </w:pPr>
            <w:r>
              <w:rPr>
                <w:rFonts w:ascii="Arial" w:cs="Arial" w:eastAsia="Arial" w:hAnsi="Arial"/>
                <w:sz w:val="18"/>
                <w:szCs w:val="18"/>
                <w:color w:val="auto"/>
              </w:rPr>
              <w:t>DEERFIELD MGMT HIF, L.P.</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gridSpan w:val="4"/>
          </w:tcPr>
          <w:p>
            <w:pPr>
              <w:spacing w:after="0"/>
              <w:rPr>
                <w:sz w:val="20"/>
                <w:szCs w:val="20"/>
                <w:color w:val="auto"/>
              </w:rPr>
            </w:pPr>
            <w:r>
              <w:rPr>
                <w:rFonts w:ascii="Arial" w:cs="Arial" w:eastAsia="Arial" w:hAnsi="Arial"/>
                <w:sz w:val="18"/>
                <w:szCs w:val="18"/>
                <w:color w:val="auto"/>
                <w:w w:val="90"/>
              </w:rPr>
              <w:t>J.E. Flynn Capital HIF, LLC,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Jonathan Isler</w:t>
            </w:r>
          </w:p>
        </w:tc>
        <w:tc>
          <w:tcPr>
            <w:tcW w:w="20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3260" w:type="dxa"/>
            <w:vAlign w:val="bottom"/>
            <w:gridSpan w:val="4"/>
          </w:tcPr>
          <w:p>
            <w:pPr>
              <w:spacing w:after="0"/>
              <w:rPr>
                <w:sz w:val="20"/>
                <w:szCs w:val="20"/>
                <w:color w:val="auto"/>
              </w:rPr>
            </w:pPr>
            <w:r>
              <w:rPr>
                <w:rFonts w:ascii="Arial" w:cs="Arial" w:eastAsia="Arial" w:hAnsi="Arial"/>
                <w:sz w:val="18"/>
                <w:szCs w:val="18"/>
                <w:color w:val="auto"/>
              </w:rPr>
              <w:t>Jonathan Isler, Attorney-in-Fact</w:t>
            </w:r>
          </w:p>
        </w:tc>
      </w:tr>
      <w:tr>
        <w:trPr>
          <w:trHeight w:val="634"/>
        </w:trPr>
        <w:tc>
          <w:tcPr>
            <w:tcW w:w="3920" w:type="dxa"/>
            <w:vAlign w:val="bottom"/>
            <w:gridSpan w:val="5"/>
          </w:tcPr>
          <w:p>
            <w:pPr>
              <w:spacing w:after="0"/>
              <w:rPr>
                <w:sz w:val="20"/>
                <w:szCs w:val="20"/>
                <w:color w:val="auto"/>
              </w:rPr>
            </w:pPr>
            <w:r>
              <w:rPr>
                <w:rFonts w:ascii="Arial" w:cs="Arial" w:eastAsia="Arial" w:hAnsi="Arial"/>
                <w:sz w:val="18"/>
                <w:szCs w:val="18"/>
                <w:color w:val="auto"/>
              </w:rPr>
              <w:t>DEERFIELD MGMT IV, L.P.</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gridSpan w:val="4"/>
          </w:tcPr>
          <w:p>
            <w:pPr>
              <w:spacing w:after="0"/>
              <w:rPr>
                <w:sz w:val="20"/>
                <w:szCs w:val="20"/>
                <w:color w:val="auto"/>
              </w:rPr>
            </w:pPr>
            <w:r>
              <w:rPr>
                <w:rFonts w:ascii="Arial" w:cs="Arial" w:eastAsia="Arial" w:hAnsi="Arial"/>
                <w:sz w:val="18"/>
                <w:szCs w:val="18"/>
                <w:color w:val="auto"/>
                <w:w w:val="94"/>
              </w:rPr>
              <w:t>J.E. Flynn Capital IV, LLC,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gridSpan w:val="4"/>
          </w:tcPr>
          <w:p>
            <w:pPr>
              <w:spacing w:after="0"/>
              <w:rPr>
                <w:sz w:val="20"/>
                <w:szCs w:val="20"/>
                <w:color w:val="auto"/>
              </w:rPr>
            </w:pPr>
            <w:r>
              <w:rPr>
                <w:rFonts w:ascii="Arial" w:cs="Arial" w:eastAsia="Arial" w:hAnsi="Arial"/>
                <w:sz w:val="18"/>
                <w:szCs w:val="18"/>
                <w:color w:val="auto"/>
              </w:rPr>
              <w:t>/s/ Jonathan Isler</w:t>
            </w: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260" w:type="dxa"/>
            <w:vAlign w:val="bottom"/>
            <w:gridSpan w:val="4"/>
          </w:tcPr>
          <w:p>
            <w:pPr>
              <w:spacing w:after="0"/>
              <w:rPr>
                <w:sz w:val="20"/>
                <w:szCs w:val="20"/>
                <w:color w:val="auto"/>
              </w:rPr>
            </w:pPr>
            <w:r>
              <w:rPr>
                <w:rFonts w:ascii="Arial" w:cs="Arial" w:eastAsia="Arial" w:hAnsi="Arial"/>
                <w:sz w:val="18"/>
                <w:szCs w:val="18"/>
                <w:color w:val="auto"/>
              </w:rPr>
              <w:t>Jonathan Isler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60" w:type="dxa"/>
            <w:vAlign w:val="bottom"/>
            <w:gridSpan w:val="4"/>
          </w:tcPr>
          <w:p>
            <w:pPr>
              <w:spacing w:after="0"/>
              <w:rPr>
                <w:sz w:val="20"/>
                <w:szCs w:val="20"/>
                <w:color w:val="auto"/>
              </w:rPr>
            </w:pPr>
            <w:r>
              <w:rPr>
                <w:rFonts w:ascii="Arial" w:cs="Arial" w:eastAsia="Arial" w:hAnsi="Arial"/>
                <w:sz w:val="18"/>
                <w:szCs w:val="18"/>
                <w:color w:val="auto"/>
              </w:rPr>
              <w:t>Attorney-in-Fact</w:t>
            </w:r>
          </w:p>
        </w:tc>
      </w:tr>
      <w:tr>
        <w:trPr>
          <w:trHeight w:val="648"/>
        </w:trPr>
        <w:tc>
          <w:tcPr>
            <w:tcW w:w="3920" w:type="dxa"/>
            <w:vAlign w:val="bottom"/>
            <w:gridSpan w:val="5"/>
          </w:tcPr>
          <w:p>
            <w:pPr>
              <w:spacing w:after="0"/>
              <w:rPr>
                <w:sz w:val="20"/>
                <w:szCs w:val="20"/>
                <w:color w:val="auto"/>
              </w:rPr>
            </w:pPr>
            <w:r>
              <w:rPr>
                <w:rFonts w:ascii="Arial" w:cs="Arial" w:eastAsia="Arial" w:hAnsi="Arial"/>
                <w:sz w:val="18"/>
                <w:szCs w:val="18"/>
                <w:color w:val="auto"/>
              </w:rPr>
              <w:t>DEERFIELD MANAGEMENT COMPANY, L.P.</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gridSpan w:val="4"/>
          </w:tcPr>
          <w:p>
            <w:pPr>
              <w:spacing w:after="0"/>
              <w:rPr>
                <w:sz w:val="20"/>
                <w:szCs w:val="20"/>
                <w:color w:val="auto"/>
              </w:rPr>
            </w:pPr>
            <w:r>
              <w:rPr>
                <w:rFonts w:ascii="Arial" w:cs="Arial" w:eastAsia="Arial" w:hAnsi="Arial"/>
                <w:sz w:val="18"/>
                <w:szCs w:val="18"/>
                <w:color w:val="auto"/>
                <w:w w:val="98"/>
              </w:rPr>
              <w:t>Flynn Management LLC,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Jonathan Isler</w:t>
            </w:r>
          </w:p>
        </w:tc>
        <w:tc>
          <w:tcPr>
            <w:tcW w:w="2020" w:type="dxa"/>
            <w:vAlign w:val="bottom"/>
          </w:tcPr>
          <w:p>
            <w:pPr>
              <w:spacing w:after="0"/>
              <w:rPr>
                <w:sz w:val="24"/>
                <w:szCs w:val="24"/>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260" w:type="dxa"/>
            <w:vAlign w:val="bottom"/>
            <w:gridSpan w:val="4"/>
          </w:tcPr>
          <w:p>
            <w:pPr>
              <w:spacing w:after="0"/>
              <w:rPr>
                <w:sz w:val="20"/>
                <w:szCs w:val="20"/>
                <w:color w:val="auto"/>
              </w:rPr>
            </w:pPr>
            <w:r>
              <w:rPr>
                <w:rFonts w:ascii="Arial" w:cs="Arial" w:eastAsia="Arial" w:hAnsi="Arial"/>
                <w:sz w:val="18"/>
                <w:szCs w:val="18"/>
                <w:color w:val="auto"/>
              </w:rPr>
              <w:t>Jonathan Isler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60" w:type="dxa"/>
            <w:vAlign w:val="bottom"/>
            <w:gridSpan w:val="4"/>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1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Jonathan Isler, Attorney-in-Fact</w:t>
      </w:r>
    </w:p>
    <w:p>
      <w:pPr>
        <w:sectPr>
          <w:pgSz w:w="11900" w:h="16838" w:orient="portrait"/>
          <w:cols w:equalWidth="0" w:num="1">
            <w:col w:w="11060"/>
          </w:cols>
          <w:pgMar w:left="320" w:top="364" w:right="519" w:bottom="78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REGISTRATION RIGHTS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June 8, 2020 (the “</w:t>
      </w:r>
      <w:r>
        <w:rPr>
          <w:rFonts w:ascii="Arial" w:cs="Arial" w:eastAsia="Arial" w:hAnsi="Arial"/>
          <w:sz w:val="18"/>
          <w:szCs w:val="18"/>
          <w:b w:val="1"/>
          <w:bCs w:val="1"/>
          <w:color w:val="auto"/>
        </w:rPr>
        <w:t>Effective Date</w:t>
      </w:r>
      <w:r>
        <w:rPr>
          <w:rFonts w:ascii="Arial" w:cs="Arial" w:eastAsia="Arial" w:hAnsi="Arial"/>
          <w:sz w:val="18"/>
          <w:szCs w:val="18"/>
          <w:color w:val="auto"/>
        </w:rPr>
        <w:t>”), is made and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by and among Larimar Therapeutics, Inc., a Delaware corporation (f/k/a Zafgen, Inc.) (the “</w:t>
      </w:r>
      <w:r>
        <w:rPr>
          <w:rFonts w:ascii="Arial" w:cs="Arial" w:eastAsia="Arial" w:hAnsi="Arial"/>
          <w:sz w:val="18"/>
          <w:szCs w:val="18"/>
          <w:b w:val="1"/>
          <w:bCs w:val="1"/>
          <w:color w:val="auto"/>
        </w:rPr>
        <w:t>Company</w:t>
      </w:r>
      <w:r>
        <w:rPr>
          <w:rFonts w:ascii="Arial" w:cs="Arial" w:eastAsia="Arial" w:hAnsi="Arial"/>
          <w:sz w:val="18"/>
          <w:szCs w:val="18"/>
          <w:color w:val="auto"/>
        </w:rPr>
        <w:t>”), and each of the investors set forth on the signature pages hereto (each, an “</w:t>
      </w:r>
      <w:r>
        <w:rPr>
          <w:rFonts w:ascii="Arial" w:cs="Arial" w:eastAsia="Arial" w:hAnsi="Arial"/>
          <w:sz w:val="18"/>
          <w:szCs w:val="18"/>
          <w:b w:val="1"/>
          <w:bCs w:val="1"/>
          <w:color w:val="auto"/>
        </w:rPr>
        <w:t>Investor</w:t>
      </w:r>
      <w:r>
        <w:rPr>
          <w:rFonts w:ascii="Arial" w:cs="Arial" w:eastAsia="Arial" w:hAnsi="Arial"/>
          <w:sz w:val="18"/>
          <w:szCs w:val="18"/>
          <w:color w:val="auto"/>
        </w:rPr>
        <w:t>”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following the Effective Date, certain of the Investors will acquire shares of common stock (the “</w:t>
      </w:r>
      <w:r>
        <w:rPr>
          <w:rFonts w:ascii="Arial" w:cs="Arial" w:eastAsia="Arial" w:hAnsi="Arial"/>
          <w:sz w:val="17"/>
          <w:szCs w:val="17"/>
          <w:u w:val="single" w:color="auto"/>
          <w:color w:val="auto"/>
        </w:rPr>
        <w:t>Merger Shares</w:t>
      </w:r>
      <w:r>
        <w:rPr>
          <w:rFonts w:ascii="Arial" w:cs="Arial" w:eastAsia="Arial" w:hAnsi="Arial"/>
          <w:sz w:val="17"/>
          <w:szCs w:val="17"/>
          <w:color w:val="auto"/>
        </w:rPr>
        <w:t>”)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in connection with the consummation of the transactions contemplated by that certain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dated as of December 17, 2019, by and among the Company, Zordich Merger Sub, Inc., a Delaware corporation and wholly owned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Chondrial Therapeutics, Inc. (“</w:t>
      </w:r>
      <w:r>
        <w:rPr>
          <w:rFonts w:ascii="Arial" w:cs="Arial" w:eastAsia="Arial" w:hAnsi="Arial"/>
          <w:sz w:val="17"/>
          <w:szCs w:val="17"/>
          <w:u w:val="single" w:color="auto"/>
          <w:color w:val="auto"/>
        </w:rPr>
        <w:t>Chondrial</w:t>
      </w:r>
      <w:r>
        <w:rPr>
          <w:rFonts w:ascii="Arial" w:cs="Arial" w:eastAsia="Arial" w:hAnsi="Arial"/>
          <w:sz w:val="17"/>
          <w:szCs w:val="17"/>
          <w:color w:val="auto"/>
        </w:rPr>
        <w:t>”), pursuant to which Merger Sub merged with and into Chondrial, with Chondrial surviving as a wholly owned subsidiary of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w:t>
      </w:r>
    </w:p>
    <w:p>
      <w:pPr>
        <w:spacing w:after="0" w:line="168"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NOW, THEREFORE, IN CONSIDERATION </w:t>
      </w:r>
      <w:r>
        <w:rPr>
          <w:rFonts w:ascii="Arial" w:cs="Arial" w:eastAsia="Arial" w:hAnsi="Arial"/>
          <w:sz w:val="16"/>
          <w:szCs w:val="16"/>
          <w:color w:val="auto"/>
        </w:rPr>
        <w:t>of the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20" w:lineRule="exact"/>
        <w:rPr>
          <w:sz w:val="20"/>
          <w:szCs w:val="20"/>
          <w:color w:val="auto"/>
        </w:rPr>
      </w:pPr>
    </w:p>
    <w:p>
      <w:pPr>
        <w:ind w:left="960" w:hanging="952"/>
        <w:spacing w:after="0"/>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As used in this Agreement, the following capitalized terms used herein shall have the following meanings:</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 Trade</w:t>
      </w:r>
      <w:r>
        <w:rPr>
          <w:rFonts w:ascii="Arial" w:cs="Arial" w:eastAsia="Arial" w:hAnsi="Arial"/>
          <w:sz w:val="18"/>
          <w:szCs w:val="18"/>
          <w:color w:val="auto"/>
        </w:rPr>
        <w:t>” means an offering and/or sale of Registrable Securities by any Investor on a block trade or underwritten basis (whether firm commitment or otherwise) without substantial marketing efforts prior to pricing, including, without limitation, a same day trade, overnight trade or similar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ascribed to such term in the Merger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w:t>
      </w:r>
      <w:r>
        <w:rPr>
          <w:rFonts w:ascii="Arial" w:cs="Arial" w:eastAsia="Arial" w:hAnsi="Arial"/>
          <w:sz w:val="17"/>
          <w:szCs w:val="17"/>
          <w:color w:val="auto"/>
        </w:rPr>
        <w:t>,” “</w:t>
      </w:r>
      <w:r>
        <w:rPr>
          <w:rFonts w:ascii="Arial" w:cs="Arial" w:eastAsia="Arial" w:hAnsi="Arial"/>
          <w:sz w:val="17"/>
          <w:szCs w:val="17"/>
          <w:b w:val="1"/>
          <w:bCs w:val="1"/>
          <w:color w:val="auto"/>
        </w:rPr>
        <w:t>registered</w:t>
      </w:r>
      <w:r>
        <w:rPr>
          <w:rFonts w:ascii="Arial" w:cs="Arial" w:eastAsia="Arial" w:hAnsi="Arial"/>
          <w:sz w:val="17"/>
          <w:szCs w:val="17"/>
          <w:color w:val="auto"/>
        </w:rPr>
        <w:t>” and “</w:t>
      </w:r>
      <w:r>
        <w:rPr>
          <w:rFonts w:ascii="Arial" w:cs="Arial" w:eastAsia="Arial" w:hAnsi="Arial"/>
          <w:sz w:val="17"/>
          <w:szCs w:val="17"/>
          <w:b w:val="1"/>
          <w:bCs w:val="1"/>
          <w:color w:val="auto"/>
        </w:rPr>
        <w:t>registration</w:t>
      </w:r>
      <w:r>
        <w:rPr>
          <w:rFonts w:ascii="Arial" w:cs="Arial" w:eastAsia="Arial" w:hAnsi="Arial"/>
          <w:sz w:val="17"/>
          <w:szCs w:val="17"/>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means (i) the Merger Shares and (ii) any other securities issued or issuable with respect to or in exchange for Merger Shares; </w:t>
      </w:r>
      <w:r>
        <w:rPr>
          <w:rFonts w:ascii="Arial" w:cs="Arial" w:eastAsia="Arial" w:hAnsi="Arial"/>
          <w:sz w:val="18"/>
          <w:szCs w:val="18"/>
          <w:u w:val="single" w:color="auto"/>
          <w:color w:val="auto"/>
        </w:rPr>
        <w:t>provided</w:t>
      </w:r>
      <w:r>
        <w:rPr>
          <w:rFonts w:ascii="Arial" w:cs="Arial" w:eastAsia="Arial" w:hAnsi="Arial"/>
          <w:sz w:val="18"/>
          <w:szCs w:val="18"/>
          <w:color w:val="auto"/>
        </w:rPr>
        <w:t>, that, a security shall cease to be a Registrable Security upon (A) sale pursuant to a Registration Statement or Rule 144 under the 1933 Act, or (B) such security becoming eligible for sale without restriction or limitation by such Investor (and any of its Affiliates whose shares must be aggregated with those of such Investor under Rule 144) pursuant to Rule 144 and without the requirement to be in compliance with Rule 144(c)(1) (or any successor thereto) promulgated under the 1933 Act.</w:t>
      </w:r>
    </w:p>
    <w:p>
      <w:pPr>
        <w:spacing w:after="0" w:line="18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any registration statement filed by the Company under the 1933 Act and the rules and regulations promulgated thereunder that covers the resale of any of the Registrable Securities pursuant to the provisions of this Agreement, amendments and supplements to such Registration Statement, including post-effective amendments, and all exhibits to and all material incorporated by reference in such Registration Statement.</w:t>
      </w:r>
    </w:p>
    <w:p>
      <w:pPr>
        <w:spacing w:after="0" w:line="14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Investors</w:t>
      </w:r>
      <w:r>
        <w:rPr>
          <w:rFonts w:ascii="Arial" w:cs="Arial" w:eastAsia="Arial" w:hAnsi="Arial"/>
          <w:sz w:val="18"/>
          <w:szCs w:val="18"/>
          <w:color w:val="auto"/>
        </w:rPr>
        <w:t>” means (i) the Investors holding a majority of the Registrable Securities outstanding from time to time and (ii) whether or not included in clause (i), any Investor that is (or is part of a group that collectively is) an “affiliate” (as such term is used under Rule 144 under the 1933 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Investor</w:t>
      </w:r>
      <w:r>
        <w:rPr>
          <w:rFonts w:ascii="Arial" w:cs="Arial" w:eastAsia="Arial" w:hAnsi="Arial"/>
          <w:sz w:val="18"/>
          <w:szCs w:val="18"/>
          <w:color w:val="auto"/>
        </w:rPr>
        <w:t>” means any Investor electing to sell any of its Registrable Securities in a Registration.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Investor Questionnaire</w:t>
      </w:r>
      <w:r>
        <w:rPr>
          <w:rFonts w:ascii="Arial" w:cs="Arial" w:eastAsia="Arial" w:hAnsi="Arial"/>
          <w:sz w:val="18"/>
          <w:szCs w:val="18"/>
          <w:color w:val="auto"/>
        </w:rPr>
        <w:t xml:space="preserve">” means a questionnaire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or such other form of questionnaire as may reasonably be adopted by the Company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Common Stock is listed or quoted and traded on the Nasdaq Global Market.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6" w:lineRule="exact"/>
        <w:rPr>
          <w:sz w:val="20"/>
          <w:szCs w:val="20"/>
          <w:color w:val="auto"/>
        </w:rPr>
      </w:pPr>
    </w:p>
    <w:p>
      <w:pPr>
        <w:ind w:left="960" w:hanging="95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304"/>
        <w:spacing w:after="0" w:line="287" w:lineRule="auto"/>
        <w:tabs>
          <w:tab w:leader="none" w:pos="2298" w:val="left"/>
        </w:tabs>
        <w:numPr>
          <w:ilvl w:val="2"/>
          <w:numId w:val="28"/>
        </w:numPr>
        <w:rPr>
          <w:rFonts w:ascii="Arial" w:cs="Arial" w:eastAsia="Arial" w:hAnsi="Arial"/>
          <w:sz w:val="16"/>
          <w:szCs w:val="16"/>
          <w:color w:val="auto"/>
        </w:rPr>
      </w:pPr>
      <w:r>
        <w:rPr>
          <w:rFonts w:ascii="Arial" w:cs="Arial" w:eastAsia="Arial" w:hAnsi="Arial"/>
          <w:sz w:val="16"/>
          <w:szCs w:val="16"/>
          <w:color w:val="auto"/>
        </w:rPr>
        <w:t>Promptly following the Effective Date but no later than thirty (30) days after the Closing Date (the “</w:t>
      </w:r>
      <w:r>
        <w:rPr>
          <w:rFonts w:ascii="Arial" w:cs="Arial" w:eastAsia="Arial" w:hAnsi="Arial"/>
          <w:sz w:val="16"/>
          <w:szCs w:val="16"/>
          <w:b w:val="1"/>
          <w:bCs w:val="1"/>
          <w:color w:val="auto"/>
        </w:rPr>
        <w:t>Filing Deadline</w:t>
      </w:r>
      <w:r>
        <w:rPr>
          <w:rFonts w:ascii="Arial" w:cs="Arial" w:eastAsia="Arial" w:hAnsi="Arial"/>
          <w:sz w:val="16"/>
          <w:szCs w:val="16"/>
          <w:color w:val="auto"/>
        </w:rPr>
        <w:t>”), the Company shall prepare and file with the SEC a Registration Statement covering the resale of all of the Registrable Securities for an offering to be made on a continuous basis pursuant to Rule 415 under the 1933 Act (</w:t>
      </w:r>
      <w:r>
        <w:rPr>
          <w:rFonts w:ascii="Arial" w:cs="Arial" w:eastAsia="Arial" w:hAnsi="Arial"/>
          <w:sz w:val="16"/>
          <w:szCs w:val="16"/>
          <w:b w:val="1"/>
          <w:bCs w:val="1"/>
          <w:color w:val="auto"/>
        </w:rPr>
        <w:t>“Rule 415</w:t>
      </w:r>
      <w:r>
        <w:rPr>
          <w:rFonts w:ascii="Arial" w:cs="Arial" w:eastAsia="Arial" w:hAnsi="Arial"/>
          <w:sz w:val="16"/>
          <w:szCs w:val="16"/>
          <w:color w:val="auto"/>
        </w:rPr>
        <w:t>”) or, if Rule 415 is not available for offers and sales of the Registrable Securities, by such other means of distribution of Registrable Securities as the Investors may reasonably specify (the “</w:t>
      </w:r>
      <w:r>
        <w:rPr>
          <w:rFonts w:ascii="Arial" w:cs="Arial" w:eastAsia="Arial" w:hAnsi="Arial"/>
          <w:sz w:val="16"/>
          <w:szCs w:val="16"/>
          <w:b w:val="1"/>
          <w:bCs w:val="1"/>
          <w:color w:val="auto"/>
        </w:rPr>
        <w:t>Initial Registration Statement</w:t>
      </w:r>
      <w:r>
        <w:rPr>
          <w:rFonts w:ascii="Arial" w:cs="Arial" w:eastAsia="Arial" w:hAnsi="Arial"/>
          <w:sz w:val="16"/>
          <w:szCs w:val="16"/>
          <w:color w:val="auto"/>
        </w:rPr>
        <w:t xml:space="preserve">”). The Initial Registration Statement shall be on Form S-3 (except if the Company is then ineligible to register for resale the Registrable Securities on Form S-3, in which case such registration shall be on such other form available to register for resale the Registrable Securities as a secondary offering) subject to the provisions of </w:t>
      </w:r>
      <w:r>
        <w:rPr>
          <w:rFonts w:ascii="Arial" w:cs="Arial" w:eastAsia="Arial" w:hAnsi="Arial"/>
          <w:sz w:val="16"/>
          <w:szCs w:val="16"/>
          <w:u w:val="single" w:color="auto"/>
          <w:color w:val="auto"/>
        </w:rPr>
        <w:t>Section 2(a)(ii)</w:t>
      </w:r>
      <w:r>
        <w:rPr>
          <w:rFonts w:ascii="Arial" w:cs="Arial" w:eastAsia="Arial" w:hAnsi="Arial"/>
          <w:sz w:val="16"/>
          <w:szCs w:val="16"/>
          <w:color w:val="auto"/>
        </w:rPr>
        <w:t xml:space="preserve"> and shall contain (except if otherwise required pursuant to written comments received from the SEC upon review of such Registration Statement) a “Plan of Distribution”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(which may be modified to respond to comments, if any, provided by the SEC);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Investor shall be named as an Underwriter in such Registration Statement without the Investor’s prior written consent. In the event that the Company is not eligible to register the Registrable Securities on Form S-3 and instead registers the Registrable Securities on another form of registration statement pursuant to the 1933 Act, the Company shall convert or replace such registration statement with a registration statement on Form S-3 promptly following confirmation that the Company becomes eligible to use Form S-3 to register the Registrable Securities.</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left="-60" w:firstLine="1304"/>
        <w:spacing w:after="0" w:line="257" w:lineRule="auto"/>
        <w:tabs>
          <w:tab w:leader="none" w:pos="24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Such Registration Statement also shall cover, to the extent allowable under the 1933 Act and the rules promulgated thereunder (including Rule 416), such indeterminate number of additional shares of Common Stock resulting from stock splits, stock combinations, stock dividends or similar transactions with respect to the Registrable Securities. Such Registration Statement (and each amendment or supplement thereto, and each request for acceleration of effectiveness thereof) shall be provided in accordance with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to the Investors prior to its filing or other submission.</w:t>
      </w:r>
    </w:p>
    <w:p>
      <w:pPr>
        <w:spacing w:after="0" w:line="187" w:lineRule="exact"/>
        <w:rPr>
          <w:rFonts w:ascii="Arial" w:cs="Arial" w:eastAsia="Arial" w:hAnsi="Arial"/>
          <w:sz w:val="18"/>
          <w:szCs w:val="18"/>
          <w:color w:val="auto"/>
        </w:rPr>
      </w:pPr>
    </w:p>
    <w:p>
      <w:pPr>
        <w:jc w:val="both"/>
        <w:ind w:left="-60" w:firstLine="656"/>
        <w:spacing w:after="0" w:line="257" w:lineRule="auto"/>
        <w:tabs>
          <w:tab w:leader="none" w:pos="148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and the reasonable fees and expenses of one (1) counsel to the Investors (not to exceed $35,000), but excluding discounts, commissions, fees of underwriters, selling brokers, dealer managers or similar securities industry professionals with respect to the Registrable Securities being sold.</w:t>
      </w:r>
    </w:p>
    <w:p>
      <w:pPr>
        <w:spacing w:after="0" w:line="187" w:lineRule="exact"/>
        <w:rPr>
          <w:rFonts w:ascii="Arial" w:cs="Arial" w:eastAsia="Arial" w:hAnsi="Arial"/>
          <w:sz w:val="18"/>
          <w:szCs w:val="18"/>
          <w:color w:val="auto"/>
        </w:rPr>
      </w:pPr>
    </w:p>
    <w:p>
      <w:pPr>
        <w:ind w:left="1480" w:hanging="884"/>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0" w:firstLine="1304"/>
        <w:spacing w:after="0" w:line="301" w:lineRule="auto"/>
        <w:tabs>
          <w:tab w:leader="none" w:pos="2278"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have each Registration Statement declared effective as soon as practicable after the filing. The Company shall notify the Investors as promptly as practicable, and in any event, within twenty-four (24) hours, after the Registration Statement is declared effective and shall simultaneously or prior thereto file with the SEC pursuant to Rule 424(b) under the 1933 Act, and provide the Investors with copies of, any related Prospectus to be used in connection with the sale or other disposition of the securities covered thereby.</w:t>
      </w:r>
    </w:p>
    <w:p>
      <w:pPr>
        <w:spacing w:after="0" w:line="157" w:lineRule="exact"/>
        <w:rPr>
          <w:sz w:val="20"/>
          <w:szCs w:val="20"/>
          <w:color w:val="auto"/>
        </w:rPr>
      </w:pPr>
    </w:p>
    <w:p>
      <w:pPr>
        <w:jc w:val="both"/>
        <w:ind w:left="-60" w:firstLine="1304"/>
        <w:spacing w:after="0" w:line="269" w:lineRule="auto"/>
        <w:tabs>
          <w:tab w:leader="none" w:pos="2099"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For not more than ten (10) consecutive days or for a total of not more than twenty (20) days in any twelve (12) month period, the Company may suspend the use of any Prospectus included in any Registration Statement contemplated by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any Misstatement (an “</w:t>
      </w:r>
      <w:r>
        <w:rPr>
          <w:rFonts w:ascii="Arial" w:cs="Arial" w:eastAsia="Arial" w:hAnsi="Arial"/>
          <w:sz w:val="17"/>
          <w:szCs w:val="17"/>
          <w:b w:val="1"/>
          <w:bCs w:val="1"/>
          <w:color w:val="auto"/>
        </w:rPr>
        <w:t>Allowed Delay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promptly (1) notify each Investor in writing of the commencement of an Allowed Delay, but shall not (without the prior written consent of an Investor) disclose to such Investor any material non-public information giving rise to an Allowed Delay, (2) advise the Investors in writing to cease all sales under such Registration Statement until the end of the Allowed Delay (but not, for the avoidance of doubt, any sale pursuant to Rule 144 or other applicable exemption under the 1933 Act) and (3) use commercially reasonable efforts to terminate an Allowed Delay as promptly as practicable.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73" w:right="339" w:bottom="1440" w:gutter="0" w:footer="0" w:header="0"/>
        </w:sectPr>
      </w:pPr>
    </w:p>
    <w:bookmarkStart w:id="20" w:name="page21"/>
    <w:bookmarkEnd w:id="20"/>
    <w:p>
      <w:pPr>
        <w:jc w:val="both"/>
        <w:ind w:left="-8" w:firstLine="656"/>
        <w:spacing w:after="0" w:line="291" w:lineRule="auto"/>
        <w:tabs>
          <w:tab w:leader="none" w:pos="1524"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Liquidated Damages</w:t>
      </w:r>
      <w:r>
        <w:rPr>
          <w:rFonts w:ascii="Arial" w:cs="Arial" w:eastAsia="Arial" w:hAnsi="Arial"/>
          <w:sz w:val="16"/>
          <w:szCs w:val="16"/>
          <w:color w:val="auto"/>
        </w:rPr>
        <w:t>. If: (i) the Registration Statement is not filed on or prior to the Filing Deadline, (ii) the Company fails to file with the SEC a request for acceleration of a Registration Statement in accordance with Rule 461 promulgated by the SEC pursuant to the 1933 Act, within five</w:t>
      </w:r>
    </w:p>
    <w:p>
      <w:pPr>
        <w:jc w:val="both"/>
        <w:ind w:left="-8" w:firstLine="8"/>
        <w:spacing w:after="0" w:line="283" w:lineRule="auto"/>
        <w:tabs>
          <w:tab w:leader="none" w:pos="2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Trading Days of the date that the Company is notified (orally or in writing, whichever is earlier) by the SEC that such Registration Statement will not be “reviewed” or will not be subject to further review, (iii) prior to the effective date of a Registration Statement, the Company fails to file a pre-effective amendment and otherwise respond in writing to comments made by the SEC in respect of such Registration Statement within ten (10) calendar days after the receipt of comments by or notice from the SEC that such amendment is required in order for such Registration Statement to be declared effective, or (iv) the Company fails to maintain the effectiveness of the Registration Statement during the Effectiveness Period other than in connection with an Allowed Delay, or the Allowed Delay is exceeded (any such failure or breach being referred to as an “</w:t>
      </w:r>
      <w:r>
        <w:rPr>
          <w:rFonts w:ascii="Arial" w:cs="Arial" w:eastAsia="Arial" w:hAnsi="Arial"/>
          <w:sz w:val="16"/>
          <w:szCs w:val="16"/>
          <w:b w:val="1"/>
          <w:bCs w:val="1"/>
          <w:color w:val="auto"/>
        </w:rPr>
        <w:t>Event</w:t>
      </w:r>
      <w:r>
        <w:rPr>
          <w:rFonts w:ascii="Arial" w:cs="Arial" w:eastAsia="Arial" w:hAnsi="Arial"/>
          <w:sz w:val="16"/>
          <w:szCs w:val="16"/>
          <w:color w:val="auto"/>
        </w:rPr>
        <w:t>”, and for purpose of clause (i), the date on which such Event occurs, and for purpose of clause (ii) the date on which such five (5) Trading Day period is exceeded, and for purpose of clause (iii) the date which such ten (10) calendar day period is exceeded, and for purpose of clause (iv) the date on which the Allowed Delay is exceeded being referred to as the “</w:t>
      </w:r>
      <w:r>
        <w:rPr>
          <w:rFonts w:ascii="Arial" w:cs="Arial" w:eastAsia="Arial" w:hAnsi="Arial"/>
          <w:sz w:val="16"/>
          <w:szCs w:val="16"/>
          <w:b w:val="1"/>
          <w:bCs w:val="1"/>
          <w:color w:val="auto"/>
        </w:rPr>
        <w:t>Event Date</w:t>
      </w:r>
      <w:r>
        <w:rPr>
          <w:rFonts w:ascii="Arial" w:cs="Arial" w:eastAsia="Arial" w:hAnsi="Arial"/>
          <w:sz w:val="16"/>
          <w:szCs w:val="16"/>
          <w:color w:val="auto"/>
        </w:rPr>
        <w:t>”), then, in addition to any other rights and remedies the Investors may have hereunder or under applicable law or in equity, on each such Event Date and on each monthly anniversary of each such Event Date (if the applicable Event shall not have been cured by such date) until the applicable Event is cured, the Company shall pay to each Investor an amount in cash, as partial liquidated damages and not as a penalty, equal to the product of 1.0% multiplied by the aggregate value of such Investor’s Merger Shares as of the date hereof. The amounts payable pursuant to the foregoing sentence are referred to collectively as “</w:t>
      </w:r>
      <w:r>
        <w:rPr>
          <w:rFonts w:ascii="Arial" w:cs="Arial" w:eastAsia="Arial" w:hAnsi="Arial"/>
          <w:sz w:val="16"/>
          <w:szCs w:val="16"/>
          <w:b w:val="1"/>
          <w:bCs w:val="1"/>
          <w:color w:val="auto"/>
        </w:rPr>
        <w:t>Liquidated Damages</w:t>
      </w:r>
      <w:r>
        <w:rPr>
          <w:rFonts w:ascii="Arial" w:cs="Arial" w:eastAsia="Arial" w:hAnsi="Arial"/>
          <w:sz w:val="16"/>
          <w:szCs w:val="16"/>
          <w:color w:val="auto"/>
        </w:rPr>
        <w:t>”. The parties agree that (1) notwithstanding anything to the contrary herein, no Liquidated Damages shall be payable with respect to any period after the expiration of the Effectiveness Period and in no event shall the aggregate amount of Liquidated Damages payable to an Investor pursuant to this Section 2.(d) exceed, in the aggregate, five percent (5%) of the aggregate value of such Investor’s Merger Shares as of the date hereof and (2) in no event shall the Company be liable in any thirty (30)-day period for Liquidated Damages under this Agreement in excess of one percent (1.0)% of the aggregate value of the Merger Shares as of the date hereof. If the Company fails to pay any Liquidated Damages pursuant to this Section 2(d) in full within seven (7) calendar days after the date payable, the Company will pay interest thereon at a rate of one percent (1.0%) per annum (or such lesser maximum amount that is permitted to be paid by applicable Law) to the Investor, accruing daily from the date such Liquidated Damages are due until such amounts, plus all such interest thereon, are paid in full. The Liquidated Damages pursuant to the terms hereof shall apply on a daily pro rata basis for any portion of a month prior to the cure of an Event. The Effectiveness Deadline for a Registration Statement shall be extended without default and without the payment of Liquidated Damages hereunder in the event that the Company’s failure to obtain the effectiveness of the Registration Statement on a timely basis results from the failure of an Investor to timely provide the Company with information reasonably requested by the Company and necessary to complete the Registration Statement in accordance with the requirements of the 1933 Act.</w:t>
      </w:r>
    </w:p>
    <w:p>
      <w:pPr>
        <w:spacing w:after="0" w:line="280"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73" w:right="339" w:bottom="1440" w:gutter="0" w:footer="0" w:header="0"/>
        </w:sectPr>
      </w:pPr>
    </w:p>
    <w:bookmarkStart w:id="21" w:name="page22"/>
    <w:bookmarkEnd w:id="21"/>
    <w:p>
      <w:pPr>
        <w:jc w:val="both"/>
        <w:ind w:left="-60" w:firstLine="656"/>
        <w:spacing w:after="0" w:line="284" w:lineRule="auto"/>
        <w:tabs>
          <w:tab w:leader="none" w:pos="173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Rule 415; Cutback</w:t>
      </w:r>
      <w:r>
        <w:rPr>
          <w:rFonts w:ascii="Arial" w:cs="Arial" w:eastAsia="Arial" w:hAnsi="Arial"/>
          <w:sz w:val="16"/>
          <w:szCs w:val="16"/>
          <w:color w:val="auto"/>
        </w:rPr>
        <w:t xml:space="preserve">.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to review and oversee any registration or matters pursuant to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including participation in any meetings or discussions with the SEC regarding the SEC’s position and to comment on any written submission made to the SEC with respect thereto, which counsel shall be designated by the holders of a majority of the Registrable Securities. No such written submission with respect to this matter shall be made to the SEC to which the Investors’ counsel reasonably objects. In the event that, despite the Company’s commercially reasonable efforts and compliance with the terms of this </w:t>
      </w:r>
      <w:r>
        <w:rPr>
          <w:rFonts w:ascii="Arial" w:cs="Arial" w:eastAsia="Arial" w:hAnsi="Arial"/>
          <w:sz w:val="16"/>
          <w:szCs w:val="16"/>
          <w:u w:val="single" w:color="auto"/>
          <w:color w:val="auto"/>
        </w:rPr>
        <w:t>Section 2(e)</w:t>
      </w:r>
      <w:r>
        <w:rPr>
          <w:rFonts w:ascii="Arial" w:cs="Arial" w:eastAsia="Arial" w:hAnsi="Arial"/>
          <w:sz w:val="16"/>
          <w:szCs w:val="16"/>
          <w:color w:val="auto"/>
        </w:rPr>
        <w:t>, the SEC refuses to alter its position, the Company shall (i) remove from such Registration Statement such portion of the Registrable Securities (the “</w:t>
      </w:r>
      <w:r>
        <w:rPr>
          <w:rFonts w:ascii="Arial" w:cs="Arial" w:eastAsia="Arial" w:hAnsi="Arial"/>
          <w:sz w:val="16"/>
          <w:szCs w:val="16"/>
          <w:b w:val="1"/>
          <w:bCs w:val="1"/>
          <w:color w:val="auto"/>
        </w:rPr>
        <w:t>Cut Back Shares</w:t>
      </w:r>
      <w:r>
        <w:rPr>
          <w:rFonts w:ascii="Arial" w:cs="Arial" w:eastAsia="Arial" w:hAnsi="Arial"/>
          <w:sz w:val="16"/>
          <w:szCs w:val="16"/>
          <w:color w:val="auto"/>
        </w:rPr>
        <w:t>”) and/or (ii) 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6"/>
          <w:szCs w:val="16"/>
          <w:b w:val="1"/>
          <w:bCs w:val="1"/>
          <w:color w:val="auto"/>
        </w:rPr>
        <w:t>SEC Restrictions</w:t>
      </w:r>
      <w:r>
        <w:rPr>
          <w:rFonts w:ascii="Arial" w:cs="Arial" w:eastAsia="Arial" w:hAnsi="Arial"/>
          <w:sz w:val="16"/>
          <w:szCs w:val="16"/>
          <w:color w:val="auto"/>
        </w:rPr>
        <w:t xml:space="preserve">”); provided, however, that the Company shall not agree to name any Investor as an Underwriter in such Registration Statement without the prior written consent of such Investor. Any cut-back imposed on the Investors pursuant to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the first date on which the Company is able to effect the registration of such Cut Back Shares (such date, the “</w:t>
      </w:r>
      <w:r>
        <w:rPr>
          <w:rFonts w:ascii="Arial" w:cs="Arial" w:eastAsia="Arial" w:hAnsi="Arial"/>
          <w:sz w:val="16"/>
          <w:szCs w:val="16"/>
          <w:b w:val="1"/>
          <w:bCs w:val="1"/>
          <w:color w:val="auto"/>
        </w:rPr>
        <w:t>Restriction Termination Date</w:t>
      </w:r>
      <w:r>
        <w:rPr>
          <w:rFonts w:ascii="Arial" w:cs="Arial" w:eastAsia="Arial" w:hAnsi="Arial"/>
          <w:sz w:val="16"/>
          <w:szCs w:val="16"/>
          <w:color w:val="auto"/>
        </w:rPr>
        <w:t xml:space="preserve">”), all of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the Company’s obligations with respect to the filing of a Registration Statement and its obligations to use commercially reasonable efforts to have such Registration Statement declared effective within the time periods set forth herein) shall again be applicable to such Cut Back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Filing Deadline for such Registration Statement including such Cut Back Shares shall be ten (10) Business Days after the Restriction Termination Date, and (ii) the date by which the Company is required to obtain effectiveness with respect to such Cut Back Shares under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shall be the 30th day immediately after the Restriction Termination Date (or the 90th day if the SEC reviews such Registration Statement). Notwithstanding anything to the contrary in this Section 2, the Company shall not be liable for Liquidated Damages under this Agreement as to any Registrable Securities which are not permitted by the SEC to be included in a Registration Statement due solely to the SEC Restrictions. In such case, the Liquidated Damages shall be calculated to only apply to the percentage of Registrable Securities which are permitted in accordance with the SEC Restrictions to be included in such Registration Statement.</w:t>
      </w:r>
    </w:p>
    <w:p>
      <w:pPr>
        <w:spacing w:after="0" w:line="390" w:lineRule="exact"/>
        <w:rPr>
          <w:rFonts w:ascii="Arial" w:cs="Arial" w:eastAsia="Arial" w:hAnsi="Arial"/>
          <w:sz w:val="16"/>
          <w:szCs w:val="16"/>
          <w:color w:val="auto"/>
        </w:rPr>
      </w:pPr>
    </w:p>
    <w:p>
      <w:pPr>
        <w:ind w:left="1500" w:hanging="904"/>
        <w:spacing w:after="0"/>
        <w:tabs>
          <w:tab w:leader="none" w:pos="15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0" w:firstLine="1304"/>
        <w:spacing w:after="0" w:line="269" w:lineRule="auto"/>
        <w:tabs>
          <w:tab w:leader="none" w:pos="2359"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At any time and from time to time when there is no valid Registration Statement in effect, the Required Investors (the “</w:t>
      </w:r>
      <w:r>
        <w:rPr>
          <w:rFonts w:ascii="Arial" w:cs="Arial" w:eastAsia="Arial" w:hAnsi="Arial"/>
          <w:sz w:val="17"/>
          <w:szCs w:val="17"/>
          <w:b w:val="1"/>
          <w:bCs w:val="1"/>
          <w:color w:val="auto"/>
        </w:rPr>
        <w:t>Demanding Holders</w:t>
      </w:r>
      <w:r>
        <w:rPr>
          <w:rFonts w:ascii="Arial" w:cs="Arial" w:eastAsia="Arial" w:hAnsi="Arial"/>
          <w:sz w:val="17"/>
          <w:szCs w:val="17"/>
          <w:color w:val="auto"/>
        </w:rPr>
        <w:t>”) may make a written demand for registration under the 1933 Act of all or part of their Registrable Securities (a “</w:t>
      </w:r>
      <w:r>
        <w:rPr>
          <w:rFonts w:ascii="Arial" w:cs="Arial" w:eastAsia="Arial" w:hAnsi="Arial"/>
          <w:sz w:val="17"/>
          <w:szCs w:val="17"/>
          <w:b w:val="1"/>
          <w:bCs w:val="1"/>
          <w:color w:val="auto"/>
        </w:rPr>
        <w:t>Demand Registration</w:t>
      </w:r>
      <w:r>
        <w:rPr>
          <w:rFonts w:ascii="Arial" w:cs="Arial" w:eastAsia="Arial" w:hAnsi="Arial"/>
          <w:sz w:val="17"/>
          <w:szCs w:val="17"/>
          <w:color w:val="auto"/>
        </w:rPr>
        <w:t>”). Any demand for a Demand Registration shall specify the number of Registrable Securities proposed to be sold and the intended method(s) of distribution thereof. The Company will within ten (10) days of the Company’s receipt of the Demand Registration notify all holders of Registrable Securities of the demand, and each holder of Registrable Securities who wishes to include all or a portion of such holder’s Registrable Securities in the Demand Registration (each, a “</w:t>
      </w:r>
      <w:r>
        <w:rPr>
          <w:rFonts w:ascii="Arial" w:cs="Arial" w:eastAsia="Arial" w:hAnsi="Arial"/>
          <w:sz w:val="17"/>
          <w:szCs w:val="17"/>
          <w:b w:val="1"/>
          <w:bCs w:val="1"/>
          <w:color w:val="auto"/>
        </w:rPr>
        <w:t>Demand Requesting Holder</w:t>
      </w:r>
      <w:r>
        <w:rPr>
          <w:rFonts w:ascii="Arial" w:cs="Arial" w:eastAsia="Arial" w:hAnsi="Arial"/>
          <w:sz w:val="17"/>
          <w:szCs w:val="17"/>
          <w:color w:val="auto"/>
        </w:rPr>
        <w:t>”) shall so notify the Company within ten (10) days after the receipt by the holder of the notice from the Company. Upon any such request, the Demanding Holders and the Demand Requesting Holders shall be entitled to have their Registrable Securities included in the Demand Registration, subject to Section 2(f)(iv) and Section 2(e), to be effected by the Company as soon as reasonably practicable, but in no event later than sixty (60) days after receipt of such Demand Registration. The Company shall not be obligated to effect more than an aggregate of two (2) Demand Registrations under this Section 2(f).</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73" w:right="339" w:bottom="1440" w:gutter="0" w:footer="0" w:header="0"/>
        </w:sectPr>
      </w:pPr>
    </w:p>
    <w:bookmarkStart w:id="22" w:name="page23"/>
    <w:bookmarkEnd w:id="22"/>
    <w:p>
      <w:pPr>
        <w:jc w:val="both"/>
        <w:ind w:left="-60" w:firstLine="1304"/>
        <w:spacing w:after="0" w:line="254" w:lineRule="auto"/>
        <w:tabs>
          <w:tab w:leader="none" w:pos="211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Effective Registration</w:t>
      </w:r>
      <w:r>
        <w:rPr>
          <w:rFonts w:ascii="Arial" w:cs="Arial" w:eastAsia="Arial" w:hAnsi="Arial"/>
          <w:sz w:val="18"/>
          <w:szCs w:val="18"/>
          <w:color w:val="auto"/>
        </w:rPr>
        <w:t xml:space="preserve">.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(a) such stop order or injunction is removed, rescinded or otherwise terminated, and (b) a majority-in-interest of the Demanding Holders who initiated such Demand Registration thereafter affirmatively elect to continue the offering and notify the Company thereof in writing, but in no event later than five (5) days of such election.</w:t>
      </w:r>
    </w:p>
    <w:p>
      <w:pPr>
        <w:spacing w:after="0" w:line="191" w:lineRule="exact"/>
        <w:rPr>
          <w:rFonts w:ascii="Arial" w:cs="Arial" w:eastAsia="Arial" w:hAnsi="Arial"/>
          <w:sz w:val="18"/>
          <w:szCs w:val="18"/>
          <w:color w:val="auto"/>
        </w:rPr>
      </w:pPr>
    </w:p>
    <w:p>
      <w:pPr>
        <w:jc w:val="both"/>
        <w:ind w:left="-60" w:firstLine="1304"/>
        <w:spacing w:after="0" w:line="291" w:lineRule="auto"/>
        <w:tabs>
          <w:tab w:leader="none" w:pos="2154"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Underwritten Offering</w:t>
      </w:r>
      <w:r>
        <w:rPr>
          <w:rFonts w:ascii="Arial" w:cs="Arial" w:eastAsia="Arial" w:hAnsi="Arial"/>
          <w:sz w:val="16"/>
          <w:szCs w:val="16"/>
          <w:color w:val="auto"/>
        </w:rPr>
        <w:t>. If a majority-in-interest of the Demanding Holders who initiate a Demand Registration so elect and such holders so advise the Company as part of their written demand for a Demand Registration, the offering of such Registrable Securities pursuant to such Demand Registration shall be in the form of an underwritten offering (which, for the avoidance of doubt, may be an underwritten Block Trade).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securities through such underwriting shall enter into an underwriting agreement in reasonable and customary form with the Underwriter or Underwriters selected for such underwriting by a majority-in-interest of the holders initiating the Demand Registration.</w:t>
      </w:r>
    </w:p>
    <w:p>
      <w:pPr>
        <w:spacing w:after="0" w:line="166" w:lineRule="exact"/>
        <w:rPr>
          <w:rFonts w:ascii="Arial" w:cs="Arial" w:eastAsia="Arial" w:hAnsi="Arial"/>
          <w:sz w:val="16"/>
          <w:szCs w:val="16"/>
          <w:color w:val="auto"/>
        </w:rPr>
      </w:pPr>
    </w:p>
    <w:p>
      <w:pPr>
        <w:jc w:val="both"/>
        <w:ind w:left="-60" w:firstLine="1304"/>
        <w:spacing w:after="0" w:line="268" w:lineRule="auto"/>
        <w:tabs>
          <w:tab w:leader="none" w:pos="2134"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Reduction of Offering</w:t>
      </w:r>
      <w:r>
        <w:rPr>
          <w:rFonts w:ascii="Arial" w:cs="Arial" w:eastAsia="Arial" w:hAnsi="Arial"/>
          <w:sz w:val="17"/>
          <w:szCs w:val="17"/>
          <w:color w:val="auto"/>
        </w:rPr>
        <w:t>. If the managing Underwriter or Underwriters for a Demand Registration that is to be an underwritten offering, in good faith, advises the Company, the Demanding Holders and the Demand Requesting Holders that the dollar amount or number of shares of Registrable Securities which the Demanding Holders and Demand Requesting Holders (if any) desire to sell, taken together with all other shares of Common Stock or other securities which the Company desires to sell and the shares of Common Stock, if any, as to which Registration has been requested pursuant to registration rights held by other stockholders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7"/>
          <w:szCs w:val="17"/>
          <w:b w:val="1"/>
          <w:bCs w:val="1"/>
          <w:color w:val="auto"/>
        </w:rPr>
        <w:t>Maximum Number of Shares</w:t>
      </w:r>
      <w:r>
        <w:rPr>
          <w:rFonts w:ascii="Arial" w:cs="Arial" w:eastAsia="Arial" w:hAnsi="Arial"/>
          <w:sz w:val="17"/>
          <w:szCs w:val="17"/>
          <w:color w:val="auto"/>
        </w:rPr>
        <w:t>”), then the Company shall include in such Registration: (i) the Registrable Securities as to which Demand Registration has been requested by the Demanding Holders and Demand Requesting Holders (if any) on a pro rata basis that can be sold without exceeding the Maximum Number of Shares; (ii) to the extent that the Maximum Number of Shares has not been reached under the foregoing clause (i), the shares of Common Stock or other securities that the Company desires to sell that can be sold without exceeding the Maximum Number of Shares and (iii) to the extent that the Maximum Number of Shares have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73" w:right="339" w:bottom="1440" w:gutter="0" w:footer="0" w:header="0"/>
        </w:sectPr>
      </w:pPr>
    </w:p>
    <w:bookmarkStart w:id="23" w:name="page24"/>
    <w:bookmarkEnd w:id="23"/>
    <w:p>
      <w:pPr>
        <w:ind w:left="1480" w:hanging="884"/>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0" w:firstLine="1304"/>
        <w:spacing w:after="0" w:line="267" w:lineRule="auto"/>
        <w:tabs>
          <w:tab w:leader="none" w:pos="2278"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Piggy-Back Rights</w:t>
      </w:r>
      <w:r>
        <w:rPr>
          <w:rFonts w:ascii="Arial" w:cs="Arial" w:eastAsia="Arial" w:hAnsi="Arial"/>
          <w:sz w:val="17"/>
          <w:szCs w:val="17"/>
          <w:color w:val="auto"/>
        </w:rPr>
        <w:t>. If at any time on or after the date hereof the Company proposes to file a Registration Statement under the 1933 Act with respect to an offering of equity securities, or securities or other obligations exercisable or exchangeable for, or convertible into, equity securities, by the Company for its own account or for stockholders of the Company for their account (or by the Company and by stockholders of the Company including, without limitation, pursuant to Section 2(f)), other than a Registration Statement (i) filed in connection with any employee stock option or other benefit plan, (ii) for an exchange offer or offering of securities solely to the Company’s existing stockholders, (iii) for an offering solely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7"/>
          <w:szCs w:val="17"/>
          <w:b w:val="1"/>
          <w:bCs w:val="1"/>
          <w:color w:val="auto"/>
        </w:rPr>
        <w:t>Piggy-Back Registration</w:t>
      </w:r>
      <w:r>
        <w:rPr>
          <w:rFonts w:ascii="Arial" w:cs="Arial" w:eastAsia="Arial" w:hAnsi="Arial"/>
          <w:sz w:val="17"/>
          <w:szCs w:val="17"/>
          <w:color w:val="auto"/>
        </w:rPr>
        <w:t xml:space="preserve">”). The Company shall, in good faith, cause such Registrable Securities to be included in such Registration and shall use its commercially reasonable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reasonable and customary form with the Underwriter or Underwriters selected for such Piggy-Back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that no Investor including Registrable Securities in any underwritten offering shall be required to make any representations or warranties to the Company or the Underwriters, other than representations and warranties regarding such Investor or such Investor’s ownership of its Registrable Securities to be sold in the offering or to undertake any indemnification obligations to the Company or the underwriters with respect thereto except to the extent expressly set forth in Section 5(b) hereof.</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73" w:right="339" w:bottom="1440" w:gutter="0" w:footer="0" w:header="0"/>
        </w:sectPr>
      </w:pPr>
    </w:p>
    <w:bookmarkStart w:id="24" w:name="page25"/>
    <w:bookmarkEnd w:id="24"/>
    <w:p>
      <w:pPr>
        <w:jc w:val="both"/>
        <w:ind w:left="-60" w:firstLine="1304"/>
        <w:spacing w:after="0" w:line="254" w:lineRule="auto"/>
        <w:tabs>
          <w:tab w:leader="none" w:pos="246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that the dollar amount or number of shares of Common Stock which the Company desires to sell, taken together with shares of Common Stock, if any, as to which Registration has been demanded pursuant to separate written contractual arrangements with persons or entities other than the Holders of Registrable Securities hereunder, the Registrable Securities as to which Registration has been requested under this Section 2(g), and the shares of Common Stock, if any, as to which Registration has been requested pursuant to the written contractual piggy-back registration rights of other stockholders of the Company, exceeds the Maximum Number of Shares, then the Company shall include in any such Registration:</w:t>
      </w:r>
    </w:p>
    <w:p>
      <w:pPr>
        <w:spacing w:after="0" w:line="194" w:lineRule="exact"/>
        <w:rPr>
          <w:rFonts w:ascii="Arial" w:cs="Arial" w:eastAsia="Arial" w:hAnsi="Arial"/>
          <w:sz w:val="18"/>
          <w:szCs w:val="18"/>
          <w:color w:val="auto"/>
        </w:rPr>
      </w:pPr>
    </w:p>
    <w:p>
      <w:pPr>
        <w:jc w:val="both"/>
        <w:ind w:left="-60" w:firstLine="1952"/>
        <w:spacing w:after="0" w:line="271" w:lineRule="auto"/>
        <w:tabs>
          <w:tab w:leader="none" w:pos="2903" w:val="left"/>
        </w:tabs>
        <w:numPr>
          <w:ilvl w:val="1"/>
          <w:numId w:val="37"/>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the shares of Common Stock or other securities that the Company desires to sell for its own account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the Investors pursuant to Section 2(g)(i), on a pro rata basis, that can be sold without exceeding the Maximum Number of Shares; and (C) to the extent that the Maximum Number of Shares has not been reached under the foregoing clauses (A), (B) and (C), the shares of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78" w:lineRule="exact"/>
        <w:rPr>
          <w:rFonts w:ascii="Arial" w:cs="Arial" w:eastAsia="Arial" w:hAnsi="Arial"/>
          <w:sz w:val="17"/>
          <w:szCs w:val="17"/>
          <w:color w:val="auto"/>
        </w:rPr>
      </w:pPr>
    </w:p>
    <w:p>
      <w:pPr>
        <w:jc w:val="both"/>
        <w:ind w:left="-60" w:firstLine="1952"/>
        <w:spacing w:after="0" w:line="269" w:lineRule="auto"/>
        <w:tabs>
          <w:tab w:leader="none" w:pos="2809" w:val="left"/>
        </w:tabs>
        <w:numPr>
          <w:ilvl w:val="1"/>
          <w:numId w:val="37"/>
        </w:numPr>
        <w:rPr>
          <w:rFonts w:ascii="Arial" w:cs="Arial" w:eastAsia="Arial" w:hAnsi="Arial"/>
          <w:sz w:val="17"/>
          <w:szCs w:val="17"/>
          <w:color w:val="auto"/>
        </w:rPr>
      </w:pPr>
      <w:r>
        <w:rPr>
          <w:rFonts w:ascii="Arial" w:cs="Arial" w:eastAsia="Arial" w:hAnsi="Arial"/>
          <w:sz w:val="17"/>
          <w:szCs w:val="17"/>
          <w:color w:val="auto"/>
        </w:rPr>
        <w:t>If the Registration is a “demand” registration undertaken at the demand of persons or entities other than the holders of Registrable Securities, (A) the shares of Common Stock or other securities for the account of the demanding persons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Holders under Section 2(g)(i), on a pro rata basis, that can be sold without exceeding the Maximum Number of Shares; (C) to the extent that the Maximum Number of Shares has not been reached under the foregoing clauses (A) and (B), the shares of Common Stock or other securities that the Company desires to sell for its own account that can be sold without exceeding the Maximum Number of Shares; and (D)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85" w:lineRule="exact"/>
        <w:rPr>
          <w:rFonts w:ascii="Arial" w:cs="Arial" w:eastAsia="Arial" w:hAnsi="Arial"/>
          <w:sz w:val="17"/>
          <w:szCs w:val="17"/>
          <w:color w:val="auto"/>
        </w:rPr>
      </w:pPr>
    </w:p>
    <w:p>
      <w:pPr>
        <w:ind w:left="-60" w:firstLine="1304"/>
        <w:spacing w:after="0" w:line="277" w:lineRule="auto"/>
        <w:tabs>
          <w:tab w:leader="none" w:pos="211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For purposes of clarity, any Registration effected pursuant to Section 2(g) hereof shall not be counted as a Registration pursuant to a Demand Registration effected under Section 2(f) hereof.</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73" w:right="339" w:bottom="1440" w:gutter="0" w:footer="0" w:header="0"/>
        </w:sectPr>
      </w:pPr>
    </w:p>
    <w:bookmarkStart w:id="25" w:name="page26"/>
    <w:bookmarkEnd w:id="25"/>
    <w:p>
      <w:pPr>
        <w:ind w:left="-8" w:right="60" w:firstLine="8"/>
        <w:spacing w:after="0" w:line="277" w:lineRule="auto"/>
        <w:tabs>
          <w:tab w:leader="none" w:pos="93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COMPANY OBLIGATIONS</w:t>
      </w:r>
      <w:r>
        <w:rPr>
          <w:rFonts w:ascii="Arial" w:cs="Arial" w:eastAsia="Arial" w:hAnsi="Arial"/>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170" w:lineRule="exact"/>
        <w:rPr>
          <w:rFonts w:ascii="Arial" w:cs="Arial" w:eastAsia="Arial" w:hAnsi="Arial"/>
          <w:sz w:val="18"/>
          <w:szCs w:val="18"/>
          <w:color w:val="auto"/>
        </w:rPr>
      </w:pPr>
    </w:p>
    <w:p>
      <w:pPr>
        <w:jc w:val="both"/>
        <w:ind w:left="-8" w:firstLine="656"/>
        <w:spacing w:after="0" w:line="257" w:lineRule="auto"/>
        <w:tabs>
          <w:tab w:leader="none" w:pos="1514" w:val="left"/>
        </w:tabs>
        <w:numPr>
          <w:ilvl w:val="1"/>
          <w:numId w:val="38"/>
        </w:numPr>
        <w:rPr>
          <w:rFonts w:ascii="Arial" w:cs="Arial" w:eastAsia="Arial" w:hAnsi="Arial"/>
          <w:sz w:val="18"/>
          <w:szCs w:val="18"/>
          <w:color w:val="auto"/>
        </w:rPr>
      </w:pPr>
      <w:r>
        <w:rPr>
          <w:rFonts w:ascii="Arial" w:cs="Arial" w:eastAsia="Arial" w:hAnsi="Arial"/>
          <w:sz w:val="18"/>
          <w:szCs w:val="18"/>
          <w:color w:val="auto"/>
        </w:rPr>
        <w:t>use commercially reasonable efforts to cause such Registration Statement to become effective and to remain continuously effective for a period that will terminate upon the date on which all Registrable Securities covered by such Registration Statement may be sold without restriction or limitation pursuant to Rule 144 and without the requirement to be in compliance with Rule 144(c)(1) (or any successor thereto) promulgated under the 1933 Act during any ninety (90) day period (the “</w:t>
      </w:r>
      <w:r>
        <w:rPr>
          <w:rFonts w:ascii="Arial" w:cs="Arial" w:eastAsia="Arial" w:hAnsi="Arial"/>
          <w:sz w:val="18"/>
          <w:szCs w:val="18"/>
          <w:b w:val="1"/>
          <w:bCs w:val="1"/>
          <w:color w:val="auto"/>
        </w:rPr>
        <w:t>Effectiveness Period</w:t>
      </w:r>
      <w:r>
        <w:rPr>
          <w:rFonts w:ascii="Arial" w:cs="Arial" w:eastAsia="Arial" w:hAnsi="Arial"/>
          <w:sz w:val="18"/>
          <w:szCs w:val="18"/>
          <w:color w:val="auto"/>
        </w:rPr>
        <w:t>”) and advise the Investors promptly in writing when the Effectiveness Period has expired;</w:t>
      </w:r>
    </w:p>
    <w:p>
      <w:pPr>
        <w:spacing w:after="0" w:line="187" w:lineRule="exact"/>
        <w:rPr>
          <w:rFonts w:ascii="Arial" w:cs="Arial" w:eastAsia="Arial" w:hAnsi="Arial"/>
          <w:sz w:val="18"/>
          <w:szCs w:val="18"/>
          <w:color w:val="auto"/>
        </w:rPr>
      </w:pPr>
    </w:p>
    <w:p>
      <w:pPr>
        <w:jc w:val="both"/>
        <w:ind w:left="-8" w:firstLine="656"/>
        <w:spacing w:after="0" w:line="263" w:lineRule="auto"/>
        <w:tabs>
          <w:tab w:leader="none" w:pos="17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83" w:lineRule="exact"/>
        <w:rPr>
          <w:rFonts w:ascii="Arial" w:cs="Arial" w:eastAsia="Arial" w:hAnsi="Arial"/>
          <w:sz w:val="18"/>
          <w:szCs w:val="18"/>
          <w:color w:val="auto"/>
        </w:rPr>
      </w:pPr>
    </w:p>
    <w:p>
      <w:pPr>
        <w:jc w:val="both"/>
        <w:ind w:left="-8" w:firstLine="656"/>
        <w:spacing w:after="0" w:line="291" w:lineRule="auto"/>
        <w:tabs>
          <w:tab w:leader="none" w:pos="1528"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provide copies to and permit the Investors to review each Registration Statement and all amendments and supplements thereto not less than five (5) Trading Days prior to the filing of each Registration Statement and not less than one (1) Trading Day prior to the filing of any related Prospectus or any amendment or supplement thereto (except for Annual Reports on Form 10-K, Quarterly Reports on Form 10-Q and Current Reports on Form 8-K and any similar or successor reports) and not file any document to which such Investor reasonably objects in good faith (it being acknowledged and agreed that if an Investor does not object to or comment on the aforementioned documents within such five (5) Trading Day or one (1) Trading Day period, as the case may be, then the Investor shall be deemed to have consented to the use of such documents), provided that, the Company is notified of such objection in writing within the five (5) Trading Day or one (1) Trading Day period described in this </w:t>
      </w:r>
      <w:r>
        <w:rPr>
          <w:rFonts w:ascii="Arial" w:cs="Arial" w:eastAsia="Arial" w:hAnsi="Arial"/>
          <w:sz w:val="16"/>
          <w:szCs w:val="16"/>
          <w:u w:val="single" w:color="auto"/>
          <w:color w:val="auto"/>
        </w:rPr>
        <w:t>Section 3(c)</w:t>
      </w:r>
      <w:r>
        <w:rPr>
          <w:rFonts w:ascii="Arial" w:cs="Arial" w:eastAsia="Arial" w:hAnsi="Arial"/>
          <w:sz w:val="16"/>
          <w:szCs w:val="16"/>
          <w:color w:val="auto"/>
        </w:rPr>
        <w:t>, as applicable;</w:t>
      </w:r>
    </w:p>
    <w:p>
      <w:pPr>
        <w:spacing w:after="0" w:line="166" w:lineRule="exact"/>
        <w:rPr>
          <w:rFonts w:ascii="Arial" w:cs="Arial" w:eastAsia="Arial" w:hAnsi="Arial"/>
          <w:sz w:val="16"/>
          <w:szCs w:val="16"/>
          <w:color w:val="auto"/>
        </w:rPr>
      </w:pPr>
    </w:p>
    <w:p>
      <w:pPr>
        <w:jc w:val="both"/>
        <w:ind w:left="-8" w:firstLine="656"/>
        <w:spacing w:after="0" w:line="273" w:lineRule="auto"/>
        <w:tabs>
          <w:tab w:leader="none" w:pos="1808" w:val="left"/>
        </w:tabs>
        <w:numPr>
          <w:ilvl w:val="1"/>
          <w:numId w:val="38"/>
        </w:numPr>
        <w:rPr>
          <w:rFonts w:ascii="Arial" w:cs="Arial" w:eastAsia="Arial" w:hAnsi="Arial"/>
          <w:sz w:val="17"/>
          <w:szCs w:val="17"/>
          <w:color w:val="auto"/>
        </w:rPr>
      </w:pPr>
      <w:r>
        <w:rPr>
          <w:rFonts w:ascii="Arial" w:cs="Arial" w:eastAsia="Arial" w:hAnsi="Arial"/>
          <w:sz w:val="17"/>
          <w:szCs w:val="17"/>
          <w:color w:val="auto"/>
        </w:rPr>
        <w:t>furnish to each Investor whose Registrable Securities are included in any Registration Statement (i) promptly after the same is prepared and filed with the SEC, if requested by the Investor, one (1) copy of any Registration Statement and any amendment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have no obligation to provide any document pursuant to this clause that is available on the SEC’s EDGAR system), each preliminary prospectus and Prospectus and each amendment or supplement thereto,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such Registration Statement;</w:t>
      </w:r>
    </w:p>
    <w:p>
      <w:pPr>
        <w:spacing w:after="0" w:line="177" w:lineRule="exact"/>
        <w:rPr>
          <w:rFonts w:ascii="Arial" w:cs="Arial" w:eastAsia="Arial" w:hAnsi="Arial"/>
          <w:sz w:val="17"/>
          <w:szCs w:val="17"/>
          <w:color w:val="auto"/>
        </w:rPr>
      </w:pPr>
    </w:p>
    <w:p>
      <w:pPr>
        <w:ind w:left="-8" w:firstLine="656"/>
        <w:spacing w:after="0" w:line="277" w:lineRule="auto"/>
        <w:tabs>
          <w:tab w:leader="none" w:pos="1595" w:val="left"/>
        </w:tabs>
        <w:numPr>
          <w:ilvl w:val="1"/>
          <w:numId w:val="38"/>
        </w:numPr>
        <w:rPr>
          <w:rFonts w:ascii="Arial" w:cs="Arial" w:eastAsia="Arial" w:hAnsi="Arial"/>
          <w:sz w:val="18"/>
          <w:szCs w:val="18"/>
          <w:color w:val="auto"/>
        </w:rPr>
      </w:pPr>
      <w:r>
        <w:rPr>
          <w:rFonts w:ascii="Arial" w:cs="Arial" w:eastAsia="Arial" w:hAnsi="Arial"/>
          <w:sz w:val="18"/>
          <w:szCs w:val="18"/>
          <w:color w:val="auto"/>
        </w:rPr>
        <w:t>use commercially reasonable efforts to (i) prevent the issuance of any stop order or other suspension of effectiveness and (ii) if such order is issued, obtain the withdrawal of any such order at the earliest practical moment;</w:t>
      </w:r>
    </w:p>
    <w:p>
      <w:pPr>
        <w:spacing w:after="0" w:line="271"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73" w:right="339" w:bottom="1440" w:gutter="0" w:footer="0" w:header="0"/>
        </w:sectPr>
      </w:pPr>
    </w:p>
    <w:bookmarkStart w:id="26" w:name="page27"/>
    <w:bookmarkEnd w:id="26"/>
    <w:p>
      <w:pPr>
        <w:jc w:val="both"/>
        <w:ind w:left="-60" w:firstLine="656"/>
        <w:spacing w:after="0" w:line="272" w:lineRule="auto"/>
        <w:tabs>
          <w:tab w:leader="none" w:pos="1541"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prior to any public offering of Registrable Securities, use commercially reasonable efforts to register or qualify or cooperate with the Investors and their counsel in connection with the registration or qualification of such Registrable Securities for the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(ii) subject itself to general taxation in any jurisdiction where it would not otherwise be so subject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or (iii) file a general consent to service of process in any such jurisdiction;</w:t>
      </w:r>
    </w:p>
    <w:p>
      <w:pPr>
        <w:spacing w:after="0" w:line="177" w:lineRule="exact"/>
        <w:rPr>
          <w:rFonts w:ascii="Arial" w:cs="Arial" w:eastAsia="Arial" w:hAnsi="Arial"/>
          <w:sz w:val="17"/>
          <w:szCs w:val="17"/>
          <w:color w:val="auto"/>
        </w:rPr>
      </w:pPr>
    </w:p>
    <w:p>
      <w:pPr>
        <w:ind w:left="-60" w:right="20" w:firstLine="656"/>
        <w:spacing w:after="0" w:line="277" w:lineRule="auto"/>
        <w:tabs>
          <w:tab w:leader="none" w:pos="17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Securities covered by a Registration Statement to be listed on each securities exchange or other market on which similar securities issued by the Company are then listed or quoted;</w:t>
      </w:r>
    </w:p>
    <w:p>
      <w:pPr>
        <w:spacing w:after="0" w:line="170" w:lineRule="exact"/>
        <w:rPr>
          <w:rFonts w:ascii="Arial" w:cs="Arial" w:eastAsia="Arial" w:hAnsi="Arial"/>
          <w:sz w:val="18"/>
          <w:szCs w:val="18"/>
          <w:color w:val="auto"/>
        </w:rPr>
      </w:pPr>
    </w:p>
    <w:p>
      <w:pPr>
        <w:jc w:val="both"/>
        <w:ind w:left="-60" w:firstLine="656"/>
        <w:spacing w:after="0" w:line="257" w:lineRule="auto"/>
        <w:tabs>
          <w:tab w:leader="none" w:pos="15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 “</w:t>
      </w:r>
      <w:r>
        <w:rPr>
          <w:rFonts w:ascii="Arial" w:cs="Arial" w:eastAsia="Arial" w:hAnsi="Arial"/>
          <w:sz w:val="18"/>
          <w:szCs w:val="18"/>
          <w:b w:val="1"/>
          <w:bCs w:val="1"/>
          <w:color w:val="auto"/>
        </w:rPr>
        <w:t>Misstatement</w:t>
      </w:r>
      <w:r>
        <w:rPr>
          <w:rFonts w:ascii="Arial" w:cs="Arial" w:eastAsia="Arial" w:hAnsi="Arial"/>
          <w:sz w:val="18"/>
          <w:szCs w:val="18"/>
          <w:color w:val="auto"/>
        </w:rPr>
        <w:t>”), and promptly prepare, file with the SEC and furnish to such holder a supplement to or an amendment of such Prospectus as may be necessary so that such Prospectus shall not include such Misstatement; and</w:t>
      </w:r>
    </w:p>
    <w:p>
      <w:pPr>
        <w:spacing w:after="0" w:line="187" w:lineRule="exact"/>
        <w:rPr>
          <w:rFonts w:ascii="Arial" w:cs="Arial" w:eastAsia="Arial" w:hAnsi="Arial"/>
          <w:sz w:val="18"/>
          <w:szCs w:val="18"/>
          <w:color w:val="auto"/>
        </w:rPr>
      </w:pPr>
    </w:p>
    <w:p>
      <w:pPr>
        <w:jc w:val="both"/>
        <w:ind w:left="-60" w:firstLine="656"/>
        <w:spacing w:after="0" w:line="269" w:lineRule="auto"/>
        <w:tabs>
          <w:tab w:leader="none" w:pos="1549"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w:t>
      </w:r>
      <w:r>
        <w:rPr>
          <w:rFonts w:ascii="Arial" w:cs="Arial" w:eastAsia="Arial" w:hAnsi="Arial"/>
          <w:sz w:val="17"/>
          <w:szCs w:val="17"/>
          <w:u w:val="single" w:color="auto"/>
          <w:color w:val="auto"/>
        </w:rPr>
        <w:t>Section 3(i)</w:t>
      </w:r>
      <w:r>
        <w:rPr>
          <w:rFonts w:ascii="Arial" w:cs="Arial" w:eastAsia="Arial" w:hAnsi="Arial"/>
          <w:sz w:val="17"/>
          <w:szCs w:val="17"/>
          <w:color w:val="auto"/>
        </w:rPr>
        <w:t>, “</w:t>
      </w:r>
      <w:r>
        <w:rPr>
          <w:rFonts w:ascii="Arial" w:cs="Arial" w:eastAsia="Arial" w:hAnsi="Arial"/>
          <w:sz w:val="17"/>
          <w:szCs w:val="17"/>
          <w:b w:val="1"/>
          <w:bCs w:val="1"/>
          <w:color w:val="auto"/>
        </w:rPr>
        <w:t>Availability Date</w:t>
      </w:r>
      <w:r>
        <w:rPr>
          <w:rFonts w:ascii="Arial" w:cs="Arial" w:eastAsia="Arial" w:hAnsi="Arial"/>
          <w:sz w:val="17"/>
          <w:szCs w:val="17"/>
          <w:color w:val="auto"/>
        </w:rPr>
        <w:t>” means the 45th day following the end of the fourth fiscal quarter that includes the effective date of such Registration Statement, except that, if such fourth fiscal quarter is the last quarter of the Company’s fiscal year, “</w:t>
      </w:r>
      <w:r>
        <w:rPr>
          <w:rFonts w:ascii="Arial" w:cs="Arial" w:eastAsia="Arial" w:hAnsi="Arial"/>
          <w:sz w:val="17"/>
          <w:szCs w:val="17"/>
          <w:b w:val="1"/>
          <w:bCs w:val="1"/>
          <w:color w:val="auto"/>
        </w:rPr>
        <w:t>Availability Date</w:t>
      </w:r>
      <w:r>
        <w:rPr>
          <w:rFonts w:ascii="Arial" w:cs="Arial" w:eastAsia="Arial" w:hAnsi="Arial"/>
          <w:sz w:val="17"/>
          <w:szCs w:val="17"/>
          <w:color w:val="auto"/>
        </w:rPr>
        <w:t>” means the 90th day after the end of such fourth fiscal quarter).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73" w:right="339" w:bottom="1440" w:gutter="0" w:footer="0" w:header="0"/>
        </w:sectPr>
      </w:pPr>
    </w:p>
    <w:bookmarkStart w:id="27" w:name="page28"/>
    <w:bookmarkEnd w:id="27"/>
    <w:p>
      <w:pPr>
        <w:jc w:val="both"/>
        <w:spacing w:after="0" w:line="269" w:lineRule="auto"/>
        <w:rPr>
          <w:sz w:val="20"/>
          <w:szCs w:val="20"/>
          <w:color w:val="auto"/>
        </w:rPr>
      </w:pPr>
      <w:r>
        <w:rPr>
          <w:rFonts w:ascii="Arial" w:cs="Arial" w:eastAsia="Arial" w:hAnsi="Arial"/>
          <w:sz w:val="17"/>
          <w:szCs w:val="17"/>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or (B) such date as all of the Registrable Securities shall have been resold pursuant to a Registration Statement or Rule 144; (ii) file with the SEC in a timely manner all reports and other documents required of the Company under the 1934 Act; (iii) prior to the filing of any Registration Statement or any amendment thereto (whether pre-effective or post-effective) and prior to the filing of any Prospectus, provide to each Investor copies of all pages thereof (if any) that reference such Investors, and (iv)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182" w:lineRule="exact"/>
        <w:rPr>
          <w:sz w:val="20"/>
          <w:szCs w:val="20"/>
          <w:color w:val="auto"/>
        </w:rPr>
      </w:pPr>
    </w:p>
    <w:p>
      <w:pPr>
        <w:ind w:left="960" w:hanging="95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OBLIGATION OF THE INVESTORS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85" w:lineRule="auto"/>
        <w:tabs>
          <w:tab w:leader="none" w:pos="1671"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Each Investor agrees to furnish to the Company a completed Selling Investor Questionnaire within ten (10) Trading Days after the Effective Date. At least ten (10) Trading Days prior to the first anticipated filing date of a Registration Statement for any registration under this Agreement, the Company will notify each Investor of the information the Company reasonably requires from that Investor regarding itself, the Registrable Securities held by it and the intended method of disposition of the Registrable Securities held by it, other than the information contained in the Selling Investor Questionnaire, if any. Each Investor shall furnish such information to the Company in writing promptly upon receiving such notification and, in any event, at least two (2) Trading Days prior to the applicable anticipated filing date (unless such Investor has notified the Company in writing of its election to exclude all of its Registrable Securities from such Registration Statement) and shall execute such documents in connection with such registration as the Company may reasonably request. Each Investor further agrees that it shall not be entitled to be named as a selling securityholder in the Registration Statement or use the Prospectus for offers and resales of Registrable Securities at any time, unless such Investor has returned to the Company a completed and signed Selling Investor Questionnaire and a response to any reasonable requests for further information as described in the previous sentence. If an Investor returns a Selling Investor Questionnaire or a request for further information, in either case, after its respective deadline, the Company shall use its reasonable best efforts to take such actions as are required to name such Investor as a selling security holder in the Registration Statement or any pre-effective or post-effective amendment thereto and to include (to the extent not theretofore included) in the Registration Statement the Registrable Securities identified in such late Selling Investor Questionnaire or request for further information. Each Investor acknowledges and agrees that the information in the Selling Investor Questionnaire or request for further information as described in this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will be used by the Company in the preparation of the Registration Statement and hereby consents to the inclusion of such information in the Registration Statement.</w:t>
      </w:r>
    </w:p>
    <w:p>
      <w:pPr>
        <w:spacing w:after="0" w:line="176" w:lineRule="exact"/>
        <w:rPr>
          <w:rFonts w:ascii="Arial" w:cs="Arial" w:eastAsia="Arial" w:hAnsi="Arial"/>
          <w:sz w:val="16"/>
          <w:szCs w:val="16"/>
          <w:color w:val="auto"/>
        </w:rPr>
      </w:pPr>
    </w:p>
    <w:p>
      <w:pPr>
        <w:ind w:left="1540" w:hanging="884"/>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1617"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8" w:name="page29"/>
    <w:bookmarkEnd w:id="28"/>
    <w:p>
      <w:pPr>
        <w:jc w:val="both"/>
        <w:ind w:left="-8" w:firstLine="656"/>
        <w:spacing w:after="0" w:line="287" w:lineRule="auto"/>
        <w:tabs>
          <w:tab w:leader="none" w:pos="1794"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Each Investor agrees that, upon receipt of any notice from the Company of either (i) the commencement of an Allowed Delay pursuant to </w:t>
      </w:r>
      <w:r>
        <w:rPr>
          <w:rFonts w:ascii="Arial" w:cs="Arial" w:eastAsia="Arial" w:hAnsi="Arial"/>
          <w:sz w:val="16"/>
          <w:szCs w:val="16"/>
          <w:u w:val="single" w:color="auto"/>
          <w:color w:val="auto"/>
        </w:rPr>
        <w:t>Section 2(c)(i)</w:t>
      </w:r>
      <w:r>
        <w:rPr>
          <w:rFonts w:ascii="Arial" w:cs="Arial" w:eastAsia="Arial" w:hAnsi="Arial"/>
          <w:sz w:val="16"/>
          <w:szCs w:val="16"/>
          <w:color w:val="auto"/>
        </w:rPr>
        <w:t xml:space="preserve"> or (ii) the happening of an event pursuant to </w:t>
      </w:r>
      <w:r>
        <w:rPr>
          <w:rFonts w:ascii="Arial" w:cs="Arial" w:eastAsia="Arial" w:hAnsi="Arial"/>
          <w:sz w:val="16"/>
          <w:szCs w:val="16"/>
          <w:u w:val="single" w:color="auto"/>
          <w:color w:val="auto"/>
        </w:rPr>
        <w:t>Section 3(h)</w:t>
      </w:r>
      <w:r>
        <w:rPr>
          <w:rFonts w:ascii="Arial" w:cs="Arial" w:eastAsia="Arial" w:hAnsi="Arial"/>
          <w:sz w:val="16"/>
          <w:szCs w:val="16"/>
          <w:color w:val="auto"/>
        </w:rPr>
        <w:t xml:space="preserve"> hereof, such Investor will immediately discontinue disposition of Registrable Securities pursuant to any Registration Statement covering such Registrable Securities (but not, for the avoidance of doubt, pursuant to Rule</w:t>
      </w:r>
    </w:p>
    <w:p>
      <w:pPr>
        <w:spacing w:after="0" w:line="2" w:lineRule="exact"/>
        <w:rPr>
          <w:rFonts w:ascii="Arial" w:cs="Arial" w:eastAsia="Arial" w:hAnsi="Arial"/>
          <w:sz w:val="16"/>
          <w:szCs w:val="16"/>
          <w:color w:val="auto"/>
        </w:rPr>
      </w:pPr>
    </w:p>
    <w:p>
      <w:pPr>
        <w:ind w:left="-8" w:right="20" w:firstLine="8"/>
        <w:spacing w:after="0" w:line="260" w:lineRule="auto"/>
        <w:tabs>
          <w:tab w:leader="none" w:pos="3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or other applicable exemption under the 1933 Act), until the Investor is advised by the Company that such dispositions may again be made pursuant to such Registration Statement.</w:t>
      </w:r>
    </w:p>
    <w:p>
      <w:pPr>
        <w:spacing w:after="0" w:line="185" w:lineRule="exact"/>
        <w:rPr>
          <w:rFonts w:ascii="Arial" w:cs="Arial" w:eastAsia="Arial" w:hAnsi="Arial"/>
          <w:sz w:val="18"/>
          <w:szCs w:val="18"/>
          <w:color w:val="auto"/>
        </w:rPr>
      </w:pPr>
    </w:p>
    <w:p>
      <w:pPr>
        <w:ind w:left="952" w:hanging="952"/>
        <w:spacing w:after="0"/>
        <w:tabs>
          <w:tab w:leader="none" w:pos="9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68" w:lineRule="auto"/>
        <w:tabs>
          <w:tab w:leader="none" w:pos="1676"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agrees to indemnify and hold harmless each Investor, and each of its officers, employees, Affiliates, directors, partners, members, managers, equityholders, attorneys, advisors and agents, and each person or entity, if any, who controls (within the meaning of Section 15 of the 1933 Act or Section 20 of the 1934 Act) each Investor (each, an “</w:t>
      </w:r>
      <w:r>
        <w:rPr>
          <w:rFonts w:ascii="Arial" w:cs="Arial" w:eastAsia="Arial" w:hAnsi="Arial"/>
          <w:sz w:val="17"/>
          <w:szCs w:val="17"/>
          <w:b w:val="1"/>
          <w:bCs w:val="1"/>
          <w:color w:val="auto"/>
        </w:rPr>
        <w:t>Investor Indemnified Party</w:t>
      </w:r>
      <w:r>
        <w:rPr>
          <w:rFonts w:ascii="Arial" w:cs="Arial" w:eastAsia="Arial" w:hAnsi="Arial"/>
          <w:sz w:val="17"/>
          <w:szCs w:val="17"/>
          <w:color w:val="auto"/>
        </w:rPr>
        <w:t>”), to the fullest extent permitted by applicable law, from and against any expenses, losses, judgments, actions, claims, proceedings (whether commenced or threatened), damages, liabilities or costs (including, without limitation, reasonable attorneys’ fees), whether joint or several (collectively, “</w:t>
      </w:r>
      <w:r>
        <w:rPr>
          <w:rFonts w:ascii="Arial" w:cs="Arial" w:eastAsia="Arial" w:hAnsi="Arial"/>
          <w:sz w:val="17"/>
          <w:szCs w:val="17"/>
          <w:b w:val="1"/>
          <w:bCs w:val="1"/>
          <w:color w:val="auto"/>
        </w:rPr>
        <w:t>Losses</w:t>
      </w:r>
      <w:r>
        <w:rPr>
          <w:rFonts w:ascii="Arial" w:cs="Arial" w:eastAsia="Arial" w:hAnsi="Arial"/>
          <w:sz w:val="17"/>
          <w:szCs w:val="17"/>
          <w:color w:val="auto"/>
        </w:rPr>
        <w:t xml:space="preserve">”), as incurred, arising out of or based upon any Misstatement contained in any Registration Statement under which the sale of such Registrable Securities was registered under the 1933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1933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Investor Indemnified Party for any reasonable, customary and documented out-of-pocket legal and any other expenses incurred, as incurred, by such Investor Indemnified Party in connection with investigating and defending any such Losses, except, with respect to any Investor of Registrable Securities, to the extent such Investor is liable to indemnify the Company for such Losses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5(b)</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8" w:firstLine="656"/>
        <w:spacing w:after="0" w:line="287" w:lineRule="auto"/>
        <w:tabs>
          <w:tab w:leader="none" w:pos="1754"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Indemnification by Investors</w:t>
      </w:r>
      <w:r>
        <w:rPr>
          <w:rFonts w:ascii="Arial" w:cs="Arial" w:eastAsia="Arial" w:hAnsi="Arial"/>
          <w:sz w:val="16"/>
          <w:szCs w:val="16"/>
          <w:color w:val="auto"/>
        </w:rPr>
        <w:t>. Each Selling Investor will, in the event that any Registration is being effected under the 1933 Act pursuant to this Agreement of any Registrable Securities held by such Investor and the Company has required all Selling Investors to provide such an undertaking on the same terms, indemnify and hold harmless the Company, each of its directors and officers and each Underwriter (if any), and each other Selling Investor and each other person, if any, who controls another Selling Investor or such underwriter within the meaning of the 1933 Act, against any Losses, insofar as such Losses arise out of or are based upon any Misstatement contained in any Registration Statement under which the sale of such Registrable Securities was Registered under the 1933 Act, any preliminary Prospectus, final Prospectus or summary Prospectus contained in the Registration Statement, or any amendment or supplement thereto, if the Misstatement was made in reliance upon and in conformity with information furnished in writing to the Company by such Selling Investor expressly for use therein, and shall reimburse the Company, its directors and officers, and each other Selling Investor for any reasonable, customary and documented out-of-pocket legal or other expenses incurred by any of them in connection with investigation or defending any such Loss. Each Selling Investor’s indemnification obligations hereunder shall be several and not joint and shall be proportional to and limited to the amount of any net proceeds (after payment of any underwriting fees, discounts, commissions or taxes) actually received by such Selling Investor in connection with the sale of Registrable Securities under a Registration Statement from which such Losses arise.</w:t>
      </w:r>
    </w:p>
    <w:p>
      <w:pPr>
        <w:spacing w:after="0" w:line="269"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73" w:right="339" w:bottom="1440" w:gutter="0" w:footer="0" w:header="0"/>
        </w:sectPr>
      </w:pPr>
    </w:p>
    <w:bookmarkStart w:id="29" w:name="page30"/>
    <w:bookmarkEnd w:id="29"/>
    <w:p>
      <w:pPr>
        <w:jc w:val="both"/>
        <w:ind w:left="-60" w:firstLine="656"/>
        <w:spacing w:after="0" w:line="285" w:lineRule="auto"/>
        <w:tabs>
          <w:tab w:leader="none" w:pos="146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in respect of which indemnity may be sought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5</w:t>
      </w:r>
      <w:r>
        <w:rPr>
          <w:rFonts w:ascii="Arial" w:cs="Arial" w:eastAsia="Arial" w:hAnsi="Arial"/>
          <w:sz w:val="16"/>
          <w:szCs w:val="16"/>
          <w:u w:val="single" w:color="auto"/>
          <w:color w:val="auto"/>
        </w:rPr>
        <w:t>(b)</w:t>
      </w:r>
      <w:r>
        <w:rPr>
          <w:rFonts w:ascii="Arial" w:cs="Arial" w:eastAsia="Arial" w:hAnsi="Arial"/>
          <w:sz w:val="16"/>
          <w:szCs w:val="16"/>
          <w:color w:val="auto"/>
        </w:rPr>
        <w:t>,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if a claim in respect thereof is to be made against any other person for indemnification hereunder, notify such other person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in writing of the Loss;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by the Indemnified Party to notify the Indemnifying Party shall not relieve the Indemnifying Party from any liability which the Indemnifying Party may have to such Indemnified Party hereunder, except and solely to the extent the Indemnifying Party is actually and materially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reasonably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action in which both the Indemnified Party and the Indemnifying Party are named as defendants, the Indemnified Party shall have the right to employ separate counsel (but no more than one such separate counsel, in addition to local counsel) to represent the Indemnified Party and its controlling persons who may be subject to liability arising out of any claim in respect of which indemnity may be sought by the Indemnified Party against the Indemnifying Party, with the reasonable and documented fees and expenses of such counsel to be paid by such Indemnifying Party if, based upon the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any Losses for which the Indemnified Party seeks indemnification hereunder if such settlement or judgment includes any non-monetary remedies binding on the Indemnified Party, requires an admission of fault or culpability on the part of the Indemnified Party or does not include an unconditional release from all liability of the Indemnified Party in respect of such Losses.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73" w:right="339" w:bottom="1440" w:gutter="0" w:footer="0" w:header="0"/>
        </w:sectPr>
      </w:pPr>
    </w:p>
    <w:bookmarkStart w:id="30" w:name="page31"/>
    <w:bookmarkEnd w:id="30"/>
    <w:p>
      <w:pPr>
        <w:jc w:val="both"/>
        <w:ind w:left="-8" w:firstLine="656"/>
        <w:spacing w:after="0" w:line="267" w:lineRule="auto"/>
        <w:tabs>
          <w:tab w:leader="none" w:pos="1646"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the foregoing </w:t>
      </w:r>
      <w:r>
        <w:rPr>
          <w:rFonts w:ascii="Arial" w:cs="Arial" w:eastAsia="Arial" w:hAnsi="Arial"/>
          <w:sz w:val="17"/>
          <w:szCs w:val="17"/>
          <w:u w:val="single" w:color="auto"/>
          <w:color w:val="auto"/>
        </w:rPr>
        <w:t>Sections 5(a)</w:t>
      </w:r>
      <w:r>
        <w:rPr>
          <w:rFonts w:ascii="Arial" w:cs="Arial" w:eastAsia="Arial" w:hAnsi="Arial"/>
          <w:sz w:val="17"/>
          <w:szCs w:val="17"/>
          <w:color w:val="auto"/>
        </w:rPr>
        <w:t xml:space="preserve"> and 5</w:t>
      </w:r>
      <w:r>
        <w:rPr>
          <w:rFonts w:ascii="Arial" w:cs="Arial" w:eastAsia="Arial" w:hAnsi="Arial"/>
          <w:sz w:val="17"/>
          <w:szCs w:val="17"/>
          <w:u w:val="single" w:color="auto"/>
          <w:color w:val="auto"/>
        </w:rPr>
        <w:t>(b)</w:t>
      </w:r>
      <w:r>
        <w:rPr>
          <w:rFonts w:ascii="Arial" w:cs="Arial" w:eastAsia="Arial" w:hAnsi="Arial"/>
          <w:sz w:val="17"/>
          <w:szCs w:val="17"/>
          <w:color w:val="auto"/>
        </w:rPr>
        <w:t xml:space="preserve"> is unavailable to any Indemnified Party in respect of any Loss referred to herein, then each such Indemnifying Party, in lieu of indemnifying such Indemnified Party, shall contribute to the amount paid or payable by such Indemnified Party as a result of such Loss in such proportion as is appropriate to reflect the relative fault of the Indemnified Parties and the Indemnifying Parties in connection with the actions or omissions which resulted in such Loss. The relative fault of any Indemnified Party and any Indemnifying Party shall be determined by reference to, among other things, whether the Misstatement relates to information supplied by such Indemnified Party or such Indemnifying Party (in the case of an Investor, such Misstatement was made in reliance upon and in conformity with information furnished in writing to the Company by such Investor expressly for use therein) and the parties’ relative intent, knowledge, access to information and opportunity to correct or prevent such Misstatement. The parties hereto agree that it would not be just and equitable if contribution pursuant to this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or by any other method of allocation which does not take account of the equitable considerations referred to in this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The amount paid or payable by an Indemnified Party as a result of any Loss referred to in this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Arial" w:cs="Arial" w:eastAsia="Arial" w:hAnsi="Arial"/>
          <w:sz w:val="17"/>
          <w:szCs w:val="17"/>
          <w:u w:val="single" w:color="auto"/>
          <w:color w:val="auto"/>
        </w:rPr>
        <w:t>Section 5(d)</w:t>
      </w:r>
      <w:r>
        <w:rPr>
          <w:rFonts w:ascii="Arial" w:cs="Arial" w:eastAsia="Arial" w:hAnsi="Arial"/>
          <w:sz w:val="17"/>
          <w:szCs w:val="17"/>
          <w:color w:val="auto"/>
        </w:rPr>
        <w:t>, no Investor shall be required to contribute any amount in excess of the dollar amount of the net proceeds (after payment of any underwriting fees, discounts, commissions or taxes) actually received by such Investor from the sale of Registrable Securities which gave rise to such contribution obligation, less the aggregate amount of any damages or other amounts such Investor has otherwise been required to pay (pursuant to Section 5(b) otherwise) as a result of the Misstatement. No person guilty of fraudulent misrepresentation (within the meaning of Section 11(f) of the 1933 Act) shall be entitled to contribution from any person who was not guilty of such fraudulent misrepresentation.</w:t>
      </w:r>
    </w:p>
    <w:p>
      <w:pPr>
        <w:spacing w:after="0" w:line="191" w:lineRule="exact"/>
        <w:rPr>
          <w:rFonts w:ascii="Arial" w:cs="Arial" w:eastAsia="Arial" w:hAnsi="Arial"/>
          <w:sz w:val="17"/>
          <w:szCs w:val="17"/>
          <w:color w:val="auto"/>
        </w:rPr>
      </w:pPr>
    </w:p>
    <w:p>
      <w:pPr>
        <w:ind w:left="952" w:hanging="952"/>
        <w:spacing w:after="0"/>
        <w:tabs>
          <w:tab w:leader="none" w:pos="9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ind w:left="1532" w:hanging="884"/>
        <w:spacing w:after="0"/>
        <w:tabs>
          <w:tab w:leader="none" w:pos="153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 effective as of the Effective Date.</w:t>
      </w:r>
    </w:p>
    <w:p>
      <w:pPr>
        <w:spacing w:after="0" w:line="225" w:lineRule="exact"/>
        <w:rPr>
          <w:rFonts w:ascii="Arial" w:cs="Arial" w:eastAsia="Arial" w:hAnsi="Arial"/>
          <w:sz w:val="18"/>
          <w:szCs w:val="18"/>
          <w:color w:val="auto"/>
        </w:rPr>
      </w:pPr>
    </w:p>
    <w:p>
      <w:pPr>
        <w:jc w:val="both"/>
        <w:ind w:left="-8" w:firstLine="656"/>
        <w:spacing w:after="0" w:line="275" w:lineRule="auto"/>
        <w:tabs>
          <w:tab w:leader="none" w:pos="1619"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w:t>
      </w:r>
    </w:p>
    <w:p>
      <w:pPr>
        <w:spacing w:after="0" w:line="176" w:lineRule="exact"/>
        <w:rPr>
          <w:rFonts w:ascii="Arial" w:cs="Arial" w:eastAsia="Arial" w:hAnsi="Arial"/>
          <w:sz w:val="17"/>
          <w:szCs w:val="17"/>
          <w:color w:val="auto"/>
        </w:rPr>
      </w:pPr>
    </w:p>
    <w:p>
      <w:pPr>
        <w:jc w:val="both"/>
        <w:ind w:left="-8" w:firstLine="656"/>
        <w:spacing w:after="0" w:line="311" w:lineRule="auto"/>
        <w:tabs>
          <w:tab w:leader="none" w:pos="1541"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communications required or permitted to be given under the terms of this Agreement must be in writing and will be deemed to have been delivered upon receipt, when delivered personally or by a nationally recognized overnight delivery service or by e-mail, in each case properly addressed to the party to receive the same. The addresses for such communications shall be:</w:t>
      </w:r>
    </w:p>
    <w:p>
      <w:pPr>
        <w:spacing w:after="0" w:line="14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Attention: Dr. Carole Ben-Maimon, M.D.</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Email: cbenmaimon@larimartx.com</w:t>
      </w:r>
    </w:p>
    <w:p>
      <w:pPr>
        <w:spacing w:after="0" w:line="312"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73" w:right="339" w:bottom="1440" w:gutter="0" w:footer="0" w:header="0"/>
        </w:sectPr>
      </w:pPr>
    </w:p>
    <w:bookmarkStart w:id="31" w:name="page32"/>
    <w:bookmarkEnd w:id="31"/>
    <w:p>
      <w:pPr>
        <w:ind w:left="1300"/>
        <w:spacing w:after="0"/>
        <w:rPr>
          <w:sz w:val="20"/>
          <w:szCs w:val="20"/>
          <w:color w:val="auto"/>
        </w:rPr>
      </w:pPr>
      <w:r>
        <w:rPr>
          <w:rFonts w:ascii="Arial" w:cs="Arial" w:eastAsia="Arial" w:hAnsi="Arial"/>
          <w:sz w:val="18"/>
          <w:szCs w:val="18"/>
          <w:color w:val="auto"/>
        </w:rPr>
        <w:t>With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Pepper Hamilton,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Rachael M. Bushey and Jennifer Porter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busheyr@pepperlaw.com; porterj@pepperlaw.com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to an Investor, to it at the address set forth under such Investor’s name on its signature page hereto, or, in the case of an Investor or any other party named above, at such other address or to the attention of such other Person as the recipient party has specified by written notice given to each other party five (5) days prior to the effectiveness of such change. Written confirmation of receipt (i) given by the recipient of such notice, consent, waiver or other communication; (ii) provided by affidavit of personal delivery by a delivery service selected by the Company; or (iii) provided by a nationally recognized overnight delivery service shall be rebuttable evidence of personal service, deposit with a nationally recognized overnight delivery service or electronic transmission.</w:t>
      </w:r>
    </w:p>
    <w:p>
      <w:pPr>
        <w:spacing w:after="0" w:line="192" w:lineRule="exact"/>
        <w:rPr>
          <w:sz w:val="20"/>
          <w:szCs w:val="20"/>
          <w:color w:val="auto"/>
        </w:rPr>
      </w:pPr>
    </w:p>
    <w:p>
      <w:pPr>
        <w:jc w:val="both"/>
        <w:ind w:firstLine="656"/>
        <w:spacing w:after="0" w:line="257" w:lineRule="auto"/>
        <w:tabs>
          <w:tab w:leader="none" w:pos="176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Investors</w:t>
      </w:r>
      <w:r>
        <w:rPr>
          <w:rFonts w:ascii="Arial" w:cs="Arial" w:eastAsia="Arial" w:hAnsi="Arial"/>
          <w:sz w:val="18"/>
          <w:szCs w:val="18"/>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provides written notice of assignment to the Company promptly after such assignment is effected, and such person agrees in writing to be bound by all of the provisions contained herein.</w:t>
      </w:r>
    </w:p>
    <w:p>
      <w:pPr>
        <w:spacing w:after="0" w:line="187" w:lineRule="exact"/>
        <w:rPr>
          <w:rFonts w:ascii="Arial" w:cs="Arial" w:eastAsia="Arial" w:hAnsi="Arial"/>
          <w:sz w:val="18"/>
          <w:szCs w:val="18"/>
          <w:color w:val="auto"/>
        </w:rPr>
      </w:pPr>
    </w:p>
    <w:p>
      <w:pPr>
        <w:jc w:val="both"/>
        <w:ind w:firstLine="656"/>
        <w:spacing w:after="0" w:line="254" w:lineRule="auto"/>
        <w:tabs>
          <w:tab w:leader="none" w:pos="160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194" w:lineRule="exact"/>
        <w:rPr>
          <w:rFonts w:ascii="Arial" w:cs="Arial" w:eastAsia="Arial" w:hAnsi="Arial"/>
          <w:sz w:val="18"/>
          <w:szCs w:val="18"/>
          <w:color w:val="auto"/>
        </w:rPr>
      </w:pPr>
    </w:p>
    <w:p>
      <w:pPr>
        <w:jc w:val="both"/>
        <w:ind w:firstLine="656"/>
        <w:spacing w:after="0" w:line="259" w:lineRule="auto"/>
        <w:tabs>
          <w:tab w:leader="none" w:pos="187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(including Section 5 hereof).</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jc w:val="both"/>
        <w:ind w:firstLine="656"/>
        <w:spacing w:after="0" w:line="254" w:lineRule="auto"/>
        <w:tabs>
          <w:tab w:leader="none" w:pos="162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 Execution</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A PDF or other reproduction of this Agreement may be executed by one or more parties hereto, and an executed copy of this Agreement may be delivered by one or more parties hereto by e-mail or other electronic transmission device pursuant to which the signature of or on behalf of such party can be seen, and such execution and delivery shall be considered legal, valid, binding and effective for all purposes. The parties hereto hereby agree that no party shall raise the execution of a PDF or other reproduction of this Agreement, or the fact that any signature or document was transmitted or communicated by e-mail or other electronic transmission device, as a defense to the formation of this Agreement.</w:t>
      </w:r>
    </w:p>
    <w:p>
      <w:pPr>
        <w:spacing w:after="0" w:line="194" w:lineRule="exact"/>
        <w:rPr>
          <w:rFonts w:ascii="Arial" w:cs="Arial" w:eastAsia="Arial" w:hAnsi="Arial"/>
          <w:sz w:val="18"/>
          <w:szCs w:val="18"/>
          <w:color w:val="auto"/>
        </w:rPr>
      </w:pPr>
    </w:p>
    <w:p>
      <w:pPr>
        <w:ind w:left="1600" w:hanging="944"/>
        <w:spacing w:after="0"/>
        <w:tabs>
          <w:tab w:leader="none" w:pos="160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Agreement are for convenience of reference and shall not form part of, or affect the interpretation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8" w:lineRule="exact"/>
        <w:rPr>
          <w:sz w:val="20"/>
          <w:szCs w:val="20"/>
          <w:color w:val="auto"/>
        </w:rPr>
      </w:pPr>
    </w:p>
    <w:p>
      <w:pPr>
        <w:ind w:firstLine="656"/>
        <w:spacing w:after="0" w:line="342" w:lineRule="auto"/>
        <w:tabs>
          <w:tab w:leader="none" w:pos="165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3" w:lineRule="exact"/>
        <w:rPr>
          <w:rFonts w:ascii="Arial" w:cs="Arial" w:eastAsia="Arial" w:hAnsi="Arial"/>
          <w:sz w:val="16"/>
          <w:szCs w:val="16"/>
          <w:color w:val="auto"/>
        </w:rPr>
      </w:pPr>
    </w:p>
    <w:p>
      <w:pPr>
        <w:ind w:right="20" w:firstLine="656"/>
        <w:spacing w:after="0" w:line="277" w:lineRule="auto"/>
        <w:tabs>
          <w:tab w:leader="none" w:pos="157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thereto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66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3" w:name="page34"/>
    <w:bookmarkEnd w:id="33"/>
    <w:p>
      <w:pPr>
        <w:jc w:val="both"/>
        <w:ind w:left="-20" w:firstLine="656"/>
        <w:spacing w:after="0" w:line="268" w:lineRule="auto"/>
        <w:tabs>
          <w:tab w:leader="none" w:pos="1594"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Governing Law; Consent to Jurisdiction; Waiver of Jury Trial</w:t>
      </w:r>
      <w:r>
        <w:rPr>
          <w:rFonts w:ascii="Arial" w:cs="Arial" w:eastAsia="Arial" w:hAnsi="Arial"/>
          <w:sz w:val="17"/>
          <w:szCs w:val="17"/>
          <w:color w:val="auto"/>
        </w:rPr>
        <w:t>.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 that would cause the application of the laws of any jurisdiction other than the State of Delaware. Each party hereby irrevocably submits to the exclusive jurisdiction of the courts of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OF THE PARTIES HERETO IRREVOCABLY WAIVES ANY RIGHT TO REQUEST A TRIAL BY JURY FOR THE ADJUDICATION OF ANY DISPUTE HEREUNDER OR IN CONNECTION HEREWITH OR ARISING OUT OF THIS AGREEMENT AND REPRESENTS THAT COUNSEL HAS BEEN CONSULTED SPECIFICALLY AS TO THIS WAIVER.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34" w:name="page35"/>
    <w:bookmarkEnd w:id="34"/>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46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460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46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-115570</wp:posOffset>
            </wp:positionV>
            <wp:extent cx="28460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460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460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or supplement to this prospectus under Rule 424(b)(3) or other applicable provision of the 1933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jc w:val="both"/>
        <w:spacing w:after="0" w:line="272" w:lineRule="auto"/>
        <w:rPr>
          <w:sz w:val="20"/>
          <w:szCs w:val="20"/>
          <w:color w:val="auto"/>
        </w:rPr>
      </w:pPr>
      <w:r>
        <w:rPr>
          <w:rFonts w:ascii="Arial" w:cs="Arial" w:eastAsia="Arial" w:hAnsi="Arial"/>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(supplemented or amended as necessary to reflect such transaction).</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selling stockholders also may resell all or a portion of the shares in open market transactions in reliance upon Rule 144 under the 1933 Act</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deemed to be “underwriters” within the meaning of Section 2(11) of the 1933 Act. Any discounts, commissions, concessions or profit they earn on any resale of the shares may be underwriting discounts and commissions under the 1933 Act. 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comply with the securities laws of some states, if applicable, the common stock may be sold in these jurisdictions only through registered or licensed brokers or dealers. We have advised the selling stockholders that the anti-manipulation rules of Regulation M under the 1934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any prospectus delivery requirements of the 1933 Act. The selling stockholders may indemnify any broker-dealer that participates in transactions involving the sale of the shares against certain liabilities, including liabilities arising under the 1933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1933 Act and state securities laws, relating to the registration of the shares offered by this prospectus.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such registration statement or (2) the date on which all of the shares may be sold by the selling stockholders without restriction (including any current public information requirement) pursuant to Rule 144 of the 1933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Selling Investor Questionnaire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9019"/>
          </w:cols>
          <w:pgMar w:left="1440" w:top="769"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LOCK-UP AGREEMENT</w:t>
      </w:r>
    </w:p>
    <w:p>
      <w:pPr>
        <w:spacing w:after="0" w:line="225"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May 28,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175 Portland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signatory of this lock-up agreement (this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understands that Zafgen, Inc., a Delaware corporation (“</w:t>
      </w:r>
      <w:r>
        <w:rPr>
          <w:rFonts w:ascii="Arial" w:cs="Arial" w:eastAsia="Arial" w:hAnsi="Arial"/>
          <w:sz w:val="18"/>
          <w:szCs w:val="18"/>
          <w:b w:val="1"/>
          <w:bCs w:val="1"/>
          <w:i w:val="1"/>
          <w:iCs w:val="1"/>
          <w:color w:val="auto"/>
        </w:rPr>
        <w:t>Zordich</w:t>
      </w:r>
      <w:r>
        <w:rPr>
          <w:rFonts w:ascii="Arial" w:cs="Arial" w:eastAsia="Arial" w:hAnsi="Arial"/>
          <w:sz w:val="18"/>
          <w:szCs w:val="18"/>
          <w:color w:val="auto"/>
        </w:rPr>
        <w:t>”), has entered into an Agreement and Plan of Merger, dated as of December 17, 2019 (as the same may be amended from time to time,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with Zordich Merger Sub, Inc., a Delaware corporation and a wholly owned subsidiary of Zordich, and Chondrial Therapeutics, Inc., a Delaware corporation. Capitalized terms used but not otherwise defined herein shall have the respective meanings ascribed to such terms in the Merger Agreement.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material inducement to each of the Parties to enter into the Merger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Zordich, the undersigned will not, during the period commencing upon the Closing and ending on the date that is 180 days after the Closing Date (the “</w:t>
      </w:r>
      <w:r>
        <w:rPr>
          <w:rFonts w:ascii="Arial" w:cs="Arial" w:eastAsia="Arial" w:hAnsi="Arial"/>
          <w:sz w:val="17"/>
          <w:szCs w:val="17"/>
          <w:b w:val="1"/>
          <w:bCs w:val="1"/>
          <w:i w:val="1"/>
          <w:iCs w:val="1"/>
          <w:color w:val="auto"/>
        </w:rPr>
        <w:t>Restricted Period</w:t>
      </w:r>
      <w:r>
        <w:rPr>
          <w:rFonts w:ascii="Arial" w:cs="Arial" w:eastAsia="Arial" w:hAnsi="Arial"/>
          <w:sz w:val="17"/>
          <w:szCs w:val="17"/>
          <w:color w:val="auto"/>
        </w:rPr>
        <w:t>”):</w:t>
      </w:r>
    </w:p>
    <w:p>
      <w:pPr>
        <w:spacing w:after="0" w:line="171" w:lineRule="exact"/>
        <w:rPr>
          <w:sz w:val="20"/>
          <w:szCs w:val="20"/>
          <w:color w:val="auto"/>
        </w:rPr>
      </w:pPr>
    </w:p>
    <w:p>
      <w:pPr>
        <w:jc w:val="both"/>
        <w:ind w:left="1300" w:hanging="332"/>
        <w:spacing w:after="0" w:line="291"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or otherwise transfer or dispose of, directly or indirectly, any shares of Zordich Common Stock or any securities convertible into or exercisable or exchangeable for Zordich Common Stock (including without limitation, Zordich Common Stock or such other securities which may be deemed to be beneficially owned by the undersigned in accordance with the rules and regulations of the SEC and securities of Zordich which may be issued upon exercise of a stock option or warrant or settlement of a restricted stock unit (“</w:t>
      </w:r>
      <w:r>
        <w:rPr>
          <w:rFonts w:ascii="Arial" w:cs="Arial" w:eastAsia="Arial" w:hAnsi="Arial"/>
          <w:sz w:val="16"/>
          <w:szCs w:val="16"/>
          <w:b w:val="1"/>
          <w:bCs w:val="1"/>
          <w:i w:val="1"/>
          <w:iCs w:val="1"/>
          <w:color w:val="auto"/>
        </w:rPr>
        <w:t>RSU</w:t>
      </w:r>
      <w:r>
        <w:rPr>
          <w:rFonts w:ascii="Arial" w:cs="Arial" w:eastAsia="Arial" w:hAnsi="Arial"/>
          <w:sz w:val="16"/>
          <w:szCs w:val="16"/>
          <w:color w:val="auto"/>
        </w:rPr>
        <w:t>”)) that are currently or hereafter owned by the undersigned (collectively, the “</w:t>
      </w:r>
      <w:r>
        <w:rPr>
          <w:rFonts w:ascii="Arial" w:cs="Arial" w:eastAsia="Arial" w:hAnsi="Arial"/>
          <w:sz w:val="16"/>
          <w:szCs w:val="16"/>
          <w:b w:val="1"/>
          <w:bCs w:val="1"/>
          <w:i w:val="1"/>
          <w:iCs w:val="1"/>
          <w:color w:val="auto"/>
        </w:rPr>
        <w:t>Undersigned’s Shares</w:t>
      </w:r>
      <w:r>
        <w:rPr>
          <w:rFonts w:ascii="Arial" w:cs="Arial" w:eastAsia="Arial" w:hAnsi="Arial"/>
          <w:sz w:val="16"/>
          <w:szCs w:val="16"/>
          <w:color w:val="auto"/>
        </w:rPr>
        <w:t>”), or publicly disclose the intention to make any such offer, sale, pledge, grant, transfer or disposition;</w:t>
      </w:r>
    </w:p>
    <w:p>
      <w:pPr>
        <w:spacing w:after="0" w:line="166" w:lineRule="exact"/>
        <w:rPr>
          <w:rFonts w:ascii="Arial" w:cs="Arial" w:eastAsia="Arial" w:hAnsi="Arial"/>
          <w:sz w:val="16"/>
          <w:szCs w:val="16"/>
          <w:color w:val="auto"/>
        </w:rPr>
      </w:pPr>
    </w:p>
    <w:p>
      <w:pPr>
        <w:jc w:val="both"/>
        <w:ind w:left="1300" w:hanging="332"/>
        <w:spacing w:after="0" w:line="286" w:lineRule="auto"/>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Zordich Common Stock or such other securities, in cash or otherwise; or</w:t>
      </w:r>
    </w:p>
    <w:p>
      <w:pPr>
        <w:spacing w:after="0" w:line="165" w:lineRule="exact"/>
        <w:rPr>
          <w:rFonts w:ascii="Arial" w:cs="Arial" w:eastAsia="Arial" w:hAnsi="Arial"/>
          <w:sz w:val="17"/>
          <w:szCs w:val="17"/>
          <w:color w:val="auto"/>
        </w:rPr>
      </w:pPr>
    </w:p>
    <w:p>
      <w:pPr>
        <w:ind w:left="1300" w:right="20" w:hanging="332"/>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Zordich Common Stock or any security convertible into or exercisable or exchangeable for Zordich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340360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restrictions and obligations contemplated by this Lock-Up Agreement shall not apply to:</w:t>
      </w:r>
    </w:p>
    <w:p>
      <w:pPr>
        <w:spacing w:after="0" w:line="225" w:lineRule="exact"/>
        <w:rPr>
          <w:sz w:val="20"/>
          <w:szCs w:val="20"/>
          <w:color w:val="auto"/>
        </w:rPr>
      </w:pPr>
    </w:p>
    <w:p>
      <w:pPr>
        <w:ind w:left="1020" w:hanging="377"/>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transfers of the Undersigned’s Shares:</w:t>
      </w:r>
    </w:p>
    <w:p>
      <w:pPr>
        <w:spacing w:after="0" w:line="225" w:lineRule="exact"/>
        <w:rPr>
          <w:rFonts w:ascii="Arial" w:cs="Arial" w:eastAsia="Arial" w:hAnsi="Arial"/>
          <w:sz w:val="18"/>
          <w:szCs w:val="18"/>
          <w:color w:val="auto"/>
        </w:rPr>
      </w:pPr>
    </w:p>
    <w:p>
      <w:pPr>
        <w:jc w:val="both"/>
        <w:ind w:left="1280" w:hanging="312"/>
        <w:spacing w:after="0" w:line="257" w:lineRule="auto"/>
        <w:tabs>
          <w:tab w:leader="none" w:pos="12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if the undersigned is a </w:t>
      </w:r>
      <w:r>
        <w:rPr>
          <w:rFonts w:ascii="Arial" w:cs="Arial" w:eastAsia="Arial" w:hAnsi="Arial"/>
          <w:sz w:val="18"/>
          <w:szCs w:val="18"/>
          <w:u w:val="single" w:color="auto"/>
          <w:color w:val="auto"/>
        </w:rPr>
        <w:t>natural person</w:t>
      </w:r>
      <w:r>
        <w:rPr>
          <w:rFonts w:ascii="Arial" w:cs="Arial" w:eastAsia="Arial" w:hAnsi="Arial"/>
          <w:sz w:val="18"/>
          <w:szCs w:val="18"/>
          <w:color w:val="auto"/>
        </w:rPr>
        <w:t>, (A) to any person related to the undersigned by blood or adoption who is an immediate family member of the undersigned, or by marriage or domestic partnership (a “</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or to a trust formed for the benefit of the undersigned or any of the undersigned’s Family Members, (B) to the undersigned’s estate, following the death of the undersigned, by will, intestacy or other operation of law, (C) as a bona fide gift to a charitable organization, (D) by operation of law pursuant to a qualified domestic order or in connection with a divorce settlement or</w:t>
      </w:r>
    </w:p>
    <w:p>
      <w:pPr>
        <w:spacing w:after="0" w:line="187" w:lineRule="exact"/>
        <w:rPr>
          <w:rFonts w:ascii="Arial" w:cs="Arial" w:eastAsia="Arial" w:hAnsi="Arial"/>
          <w:sz w:val="18"/>
          <w:szCs w:val="18"/>
          <w:color w:val="auto"/>
        </w:rPr>
      </w:pPr>
    </w:p>
    <w:p>
      <w:pPr>
        <w:ind w:left="1300" w:right="380" w:hanging="9"/>
        <w:spacing w:after="0" w:line="277" w:lineRule="auto"/>
        <w:tabs>
          <w:tab w:leader="none" w:pos="1575" w:val="left"/>
        </w:tabs>
        <w:numPr>
          <w:ilvl w:val="2"/>
          <w:numId w:val="53"/>
        </w:numPr>
        <w:rPr>
          <w:rFonts w:ascii="Arial" w:cs="Arial" w:eastAsia="Arial" w:hAnsi="Arial"/>
          <w:sz w:val="18"/>
          <w:szCs w:val="18"/>
          <w:color w:val="auto"/>
        </w:rPr>
      </w:pPr>
      <w:r>
        <w:rPr>
          <w:rFonts w:ascii="Arial" w:cs="Arial" w:eastAsia="Arial" w:hAnsi="Arial"/>
          <w:sz w:val="18"/>
          <w:szCs w:val="18"/>
          <w:color w:val="auto"/>
        </w:rPr>
        <w:t>to any partnership, corporation or limited liability company which is controlled by the undersigned and/or by any such Family Member(s);</w:t>
      </w:r>
    </w:p>
    <w:p>
      <w:pPr>
        <w:spacing w:after="0" w:line="170" w:lineRule="exact"/>
        <w:rPr>
          <w:sz w:val="20"/>
          <w:szCs w:val="20"/>
          <w:color w:val="auto"/>
        </w:rPr>
      </w:pPr>
    </w:p>
    <w:p>
      <w:pPr>
        <w:jc w:val="both"/>
        <w:ind w:left="1280" w:hanging="326"/>
        <w:spacing w:after="0" w:line="255" w:lineRule="auto"/>
        <w:tabs>
          <w:tab w:leader="none" w:pos="1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if the undersigned is a </w:t>
      </w:r>
      <w:r>
        <w:rPr>
          <w:rFonts w:ascii="Arial" w:cs="Arial" w:eastAsia="Arial" w:hAnsi="Arial"/>
          <w:sz w:val="18"/>
          <w:szCs w:val="18"/>
          <w:u w:val="single" w:color="auto"/>
          <w:color w:val="auto"/>
        </w:rPr>
        <w:t>corporation, partnership or other business entity</w:t>
      </w:r>
      <w:r>
        <w:rPr>
          <w:rFonts w:ascii="Arial" w:cs="Arial" w:eastAsia="Arial" w:hAnsi="Arial"/>
          <w:sz w:val="18"/>
          <w:szCs w:val="18"/>
          <w:color w:val="auto"/>
        </w:rPr>
        <w:t>, (A) to another corporation, partnership or other business entity that is an affiliate (as defined under Rule 12b-2 of the Exchange Act) of the undersigned, including investment funds or other entities under common control or management with the undersigned, (B) as a distribution or dividend to equity holders (including, without limitation, general or limited partners and members) of the undersigned (including upon the liquidation and dissolution of the undersigned pursuant to a plan of liquidation approved by the undersigned’s equity holders) or (C) as a bona fide gift to a charitable organization; or</w:t>
      </w:r>
    </w:p>
    <w:p>
      <w:pPr>
        <w:spacing w:after="0" w:line="192" w:lineRule="exact"/>
        <w:rPr>
          <w:rFonts w:ascii="Arial" w:cs="Arial" w:eastAsia="Arial" w:hAnsi="Arial"/>
          <w:sz w:val="18"/>
          <w:szCs w:val="18"/>
          <w:color w:val="auto"/>
        </w:rPr>
      </w:pPr>
    </w:p>
    <w:p>
      <w:pPr>
        <w:ind w:left="1280" w:hanging="326"/>
        <w:spacing w:after="0"/>
        <w:tabs>
          <w:tab w:leader="none" w:pos="1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if the undersigned is a </w:t>
      </w:r>
      <w:r>
        <w:rPr>
          <w:rFonts w:ascii="Arial" w:cs="Arial" w:eastAsia="Arial" w:hAnsi="Arial"/>
          <w:sz w:val="18"/>
          <w:szCs w:val="18"/>
          <w:u w:val="single" w:color="auto"/>
          <w:color w:val="auto"/>
        </w:rPr>
        <w:t>trust</w:t>
      </w:r>
      <w:r>
        <w:rPr>
          <w:rFonts w:ascii="Arial" w:cs="Arial" w:eastAsia="Arial" w:hAnsi="Arial"/>
          <w:sz w:val="18"/>
          <w:szCs w:val="18"/>
          <w:color w:val="auto"/>
        </w:rPr>
        <w:t>, to any grantors or beneficiaries of the trust;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provided that, in the case of any transfer or distribution pursuant to this clause (a), such transfer is not for value and each donee, heir, beneficiary or other transferee or distributee shall sign and deliver to Zordich a lock-up agreement in the form of this Lock-Up Agreement with respect to the shares of Zordich Common Stock or such other securities that have been so transferred or distributed;</w:t>
      </w:r>
    </w:p>
    <w:p>
      <w:pPr>
        <w:spacing w:after="0" w:line="184" w:lineRule="exact"/>
        <w:rPr>
          <w:sz w:val="20"/>
          <w:szCs w:val="20"/>
          <w:color w:val="auto"/>
        </w:rPr>
      </w:pPr>
    </w:p>
    <w:p>
      <w:pPr>
        <w:jc w:val="both"/>
        <w:ind w:firstLine="693"/>
        <w:spacing w:after="0" w:line="296" w:lineRule="auto"/>
        <w:tabs>
          <w:tab w:leader="none" w:pos="1836"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the exercise of an option (including a net or cashless exercise of an option) to purchase shares of Zordich Common Stock, and any related transfer of shares of Zordich Common Stock to Zordich for the purpose of paying the exercise price of such options or for paying taxes (including estimated taxes) due as a result of the exercise of such options (or the disposition to Zordich of any shares of restricted stock granted pursuant to the terms of any employee benefit plan or restricted stock purchase agreement);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for the avoidance of doubt, the underlying shares of Zordich Common Stock shall continue to be subject to the restrictions on transfer set forth in this Lock-Up Agreement;</w:t>
      </w:r>
    </w:p>
    <w:p>
      <w:pPr>
        <w:spacing w:after="0" w:line="161" w:lineRule="exact"/>
        <w:rPr>
          <w:rFonts w:ascii="Arial" w:cs="Arial" w:eastAsia="Arial" w:hAnsi="Arial"/>
          <w:sz w:val="16"/>
          <w:szCs w:val="16"/>
          <w:color w:val="auto"/>
        </w:rPr>
      </w:pPr>
    </w:p>
    <w:p>
      <w:pPr>
        <w:jc w:val="both"/>
        <w:ind w:right="20" w:firstLine="644"/>
        <w:spacing w:after="0" w:line="263" w:lineRule="auto"/>
        <w:tabs>
          <w:tab w:leader="none" w:pos="172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transfers for the net settlement of RSUs settled in Zordich Common Stock to pay any tax withholding obligations;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for the avoidance of doubt, the underlying shares of Zordich Common Stock shall continue to be subject to the restrictions on transfer set forth in this Lock-Up Agreement;</w:t>
      </w:r>
    </w:p>
    <w:p>
      <w:pPr>
        <w:spacing w:after="0" w:line="183" w:lineRule="exact"/>
        <w:rPr>
          <w:rFonts w:ascii="Arial" w:cs="Arial" w:eastAsia="Arial" w:hAnsi="Arial"/>
          <w:sz w:val="18"/>
          <w:szCs w:val="18"/>
          <w:color w:val="auto"/>
        </w:rPr>
      </w:pPr>
    </w:p>
    <w:p>
      <w:pPr>
        <w:ind w:right="20" w:firstLine="644"/>
        <w:spacing w:after="0" w:line="277" w:lineRule="auto"/>
        <w:tabs>
          <w:tab w:leader="none" w:pos="17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Zordich Common Stock; </w:t>
      </w:r>
      <w:r>
        <w:rPr>
          <w:rFonts w:ascii="Arial" w:cs="Arial" w:eastAsia="Arial" w:hAnsi="Arial"/>
          <w:sz w:val="18"/>
          <w:szCs w:val="18"/>
          <w:i w:val="1"/>
          <w:iCs w:val="1"/>
          <w:u w:val="single" w:color="auto"/>
          <w:color w:val="auto"/>
        </w:rPr>
        <w:t>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such plan does not provide for any transfers of Zordich Common Stock during the Restricted Period; or</w:t>
      </w:r>
    </w:p>
    <w:p>
      <w:pPr>
        <w:spacing w:after="0" w:line="170" w:lineRule="exact"/>
        <w:rPr>
          <w:rFonts w:ascii="Arial" w:cs="Arial" w:eastAsia="Arial" w:hAnsi="Arial"/>
          <w:sz w:val="18"/>
          <w:szCs w:val="18"/>
          <w:color w:val="auto"/>
        </w:rPr>
      </w:pPr>
    </w:p>
    <w:p>
      <w:pPr>
        <w:ind w:left="1680" w:hanging="1036"/>
        <w:spacing w:after="0"/>
        <w:tabs>
          <w:tab w:leader="none" w:pos="1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transfers by the undersigned of shares of Zordich Common Stock purchased by the undersigned on the open market following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 Date;</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u w:val="single" w:color="auto"/>
          <w:color w:val="auto"/>
        </w:rPr>
        <w:t>provided, further</w:t>
      </w:r>
      <w:r>
        <w:rPr>
          <w:rFonts w:ascii="Arial" w:cs="Arial" w:eastAsia="Arial" w:hAnsi="Arial"/>
          <w:sz w:val="17"/>
          <w:szCs w:val="17"/>
          <w:color w:val="auto"/>
        </w:rPr>
        <w:t>, that, with respect to each of (a), (b), (c) and (d) above, no filing by any party (including any donor, donee, transferor, transferee, distributor or distributee) under the Exchange Act (other than any such filings that are required under Sections 13 or 16 under the Exchange Act upon the distribution of the Undersigned’s Shares on or promptly following the Closing Date)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 under the Exchange Act in connection with the exercise of an option to purchase Zordich Common Stock following such individual’s termination of employment with Zordich that would otherwise expire during the Restricted Period, provided that reasonable notice shall be provided to Zordich prior to any such filing). Notwithstanding the foregoing, the undersigned shall be permitted to transfer, with or without consideration, some or all of the Undersigned's Shares to any fund under common control with the undersigned provided that the transferee shall sign and deliver to Zordich a lock-up agreement in the form of this Lock-Up Agreement with respect to the shares of Zordich Common Stock that have been so transferred.</w:t>
      </w: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773" w:right="439" w:bottom="1440" w:gutter="0" w:footer="0" w:header="0"/>
        </w:sectPr>
      </w:pPr>
    </w:p>
    <w:bookmarkStart w:id="42" w:name="page43"/>
    <w:bookmarkEnd w:id="42"/>
    <w:p>
      <w:pPr>
        <w:jc w:val="both"/>
        <w:ind w:firstLine="648"/>
        <w:spacing w:after="0" w:line="293" w:lineRule="auto"/>
        <w:rPr>
          <w:sz w:val="20"/>
          <w:szCs w:val="20"/>
          <w:color w:val="auto"/>
        </w:rPr>
      </w:pPr>
      <w:r>
        <w:rPr>
          <w:rFonts w:ascii="Arial" w:cs="Arial" w:eastAsia="Arial" w:hAnsi="Arial"/>
          <w:sz w:val="16"/>
          <w:szCs w:val="16"/>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Zordich. In furtherance of the foregoing, the undersigned agrees that Zordich and any duly appointed transfer agent for the registration or transfer of the securities described herein are hereby authorized to decline to make any transfer of securities if such transfer would constitute a violation or breach of this Lock-Up Agreement. Zordich may cause the legend set forth below, or a legend substantially equivalent thereto, to be placed upon any certificate(s) or other documents, ledgers or instruments evidencing the undersigned’s ownership of Zordich Common Stock:</w:t>
      </w:r>
    </w:p>
    <w:p>
      <w:pPr>
        <w:spacing w:after="0" w:line="164" w:lineRule="exact"/>
        <w:rPr>
          <w:sz w:val="20"/>
          <w:szCs w:val="20"/>
          <w:color w:val="auto"/>
        </w:rPr>
      </w:pPr>
    </w:p>
    <w:p>
      <w:pPr>
        <w:ind w:left="640" w:right="20"/>
        <w:spacing w:after="0" w:line="308" w:lineRule="auto"/>
        <w:rPr>
          <w:sz w:val="20"/>
          <w:szCs w:val="20"/>
          <w:color w:val="auto"/>
        </w:rPr>
      </w:pPr>
      <w:r>
        <w:rPr>
          <w:rFonts w:ascii="Arial" w:cs="Arial" w:eastAsia="Arial" w:hAnsi="Arial"/>
          <w:sz w:val="17"/>
          <w:szCs w:val="17"/>
          <w:color w:val="auto"/>
        </w:rPr>
        <w:t>THE SHARES REPRESENTED BY THIS CERTIFICATE ARE SUBJECT TO AND MAY ONLY BE TRANSFERRED IN COMPLIANCE WITH A LOCK-UP AGREEMENT, A COPY OF WHICH IS ON FILE AT THE PRINCIPAL OFFICE OF THE COMPANY.</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understands that if the Merger Agreement is terminated for any reason, the undersigned shall be released from all obligations under this Lock-Up Agreement. The undersigned understands that Zordich is proceeding with the Contemplated Transactions in reliance upon this Lock-Up Agreement.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and all remedies herein expressly conferred upon Zordich will be deemed cumulative with and not exclusive of any other remedy conferred hereby, or by law or equity, and the exercise by Zordich of any one remedy will not preclude the exercise of any other remedy. The undersigned agrees that irreparable damage would occur to Zordich in the event that any provision of this Lock-Up Agreement were not performed in accordance with its specific terms or were otherwise breached. It is accordingly agreed that Zordich shall be entitled to an injunction or injunctions to prevent breaches of this Lock-Up Agreement and to enforce specifically the terms and provisions hereof in any court of the United States or any state having jurisdiction, this being in addition to any other remedy to which Zordich is entitled at law or in equity, and the undersigned waives any bond, surety or other security that might be required of Zordich with respect thereto.</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773" w:right="439" w:bottom="1440" w:gutter="0" w:footer="0" w:header="0"/>
        </w:sectPr>
      </w:pPr>
    </w:p>
    <w:bookmarkStart w:id="43" w:name="page44"/>
    <w:bookmarkEnd w:id="43"/>
    <w:p>
      <w:pPr>
        <w:jc w:val="both"/>
        <w:ind w:firstLine="648"/>
        <w:spacing w:after="0" w:line="311" w:lineRule="auto"/>
        <w:rPr>
          <w:sz w:val="20"/>
          <w:szCs w:val="20"/>
          <w:color w:val="auto"/>
        </w:rPr>
      </w:pPr>
      <w:r>
        <w:rPr>
          <w:rFonts w:ascii="Arial" w:cs="Arial" w:eastAsia="Arial" w:hAnsi="Arial"/>
          <w:sz w:val="16"/>
          <w:szCs w:val="16"/>
          <w:color w:val="auto"/>
        </w:rPr>
        <w:t>This Lock-Up Agreement may be executed in several counterparts, each of which shall be deemed an original and all of which shall constitute one and the same instrument. The exchange of a fully executed Lock-Up Agreement (in counterparts or otherwise) by Zordich and the undersigned by facsimile or electronic transmission in .pdf format shall be sufficient to bind such parties to the terms and conditions of this Lock-Up Agreement.</w:t>
      </w:r>
    </w:p>
    <w:p>
      <w:pPr>
        <w:spacing w:after="0" w:line="14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Follows)</w:t>
      </w:r>
    </w:p>
    <w:p>
      <w:pPr>
        <w:spacing w:after="0" w:line="32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773" w:right="339" w:bottom="1440" w:gutter="0" w:footer="0" w:header="0"/>
        </w:sectPr>
      </w:pPr>
    </w:p>
    <w:bookmarkStart w:id="44" w:name="page45"/>
    <w:bookmarkEnd w:id="44"/>
    <w:p>
      <w:pPr>
        <w:ind w:left="62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Deerfield Private Design Fund III, L.P.</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Deerfield Mgmt III, L.P., General Partner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By: J.E. Flynn Capital III, LLC, General Partner</w:t>
      </w:r>
    </w:p>
    <w:p>
      <w:pPr>
        <w:spacing w:after="0" w:line="200" w:lineRule="exact"/>
        <w:rPr>
          <w:sz w:val="20"/>
          <w:szCs w:val="20"/>
          <w:color w:val="auto"/>
        </w:rPr>
      </w:pPr>
    </w:p>
    <w:p>
      <w:pPr>
        <w:spacing w:after="0" w:line="23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Clark</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David Clark</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Deerfield Healthcare Innovations Fund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By: Deerfield Mgmt HIF, L.P., General Partner</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 J.E. Flynn Capital HIF, LLC, General Partner</w:t>
      </w:r>
    </w:p>
    <w:p>
      <w:pPr>
        <w:spacing w:after="0" w:line="200" w:lineRule="exact"/>
        <w:rPr>
          <w:sz w:val="20"/>
          <w:szCs w:val="20"/>
          <w:color w:val="auto"/>
        </w:rPr>
      </w:pPr>
    </w:p>
    <w:p>
      <w:pPr>
        <w:spacing w:after="0" w:line="25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Clark</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David Clark</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Deerfield Private Design Fund IV, L.P.</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Deerfield Mgmt IV, L.P., General Partner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By: J.E. Flynn Capital IV, LLC, General Partner</w:t>
      </w:r>
    </w:p>
    <w:p>
      <w:pPr>
        <w:spacing w:after="0" w:line="22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Clark</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David Clark</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by Zafgen,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______________________</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_______________________</w:t>
      </w: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 Page to Lock-up Agreement]</w:t>
      </w:r>
    </w:p>
    <w:sectPr>
      <w:pgSz w:w="11900" w:h="16838" w:orient="portrait"/>
      <w:cols w:equalWidth="0" w:num="1">
        <w:col w:w="10139"/>
      </w:cols>
      <w:pgMar w:left="320" w:top="7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212"/>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bullet"/>
      <w:start w:val="1"/>
    </w:lvl>
  </w:abstractNum>
  <w:abstractNum w:abstractNumId="3">
    <w:nsid w:val="8138641"/>
    <w:multiLevelType w:val="hybridMultilevel"/>
    <w:lvl w:ilvl="0">
      <w:lvlJc w:val="left"/>
      <w:lvlText w:val="1"/>
      <w:numFmt w:val="bullet"/>
      <w:start w:val="1"/>
    </w:lvl>
  </w:abstractNum>
  <w:abstractNum w:abstractNumId="4">
    <w:nsid w:val="1E7FF521"/>
    <w:multiLevelType w:val="hybridMultilevel"/>
    <w:lvl w:ilvl="0">
      <w:lvlJc w:val="left"/>
      <w:lvlText w:val="1"/>
      <w:numFmt w:val="bullet"/>
      <w:start w:val="1"/>
    </w:lvl>
  </w:abstractNum>
  <w:abstractNum w:abstractNumId="5">
    <w:nsid w:val="7C3DBD3D"/>
    <w:multiLevelType w:val="hybridMultilevel"/>
    <w:lvl w:ilvl="0">
      <w:lvlJc w:val="left"/>
      <w:lvlText w:val="1"/>
      <w:numFmt w:val="bullet"/>
      <w:start w:val="1"/>
    </w:lvl>
  </w:abstractNum>
  <w:abstractNum w:abstractNumId="6">
    <w:nsid w:val="737B8DDC"/>
    <w:multiLevelType w:val="hybridMultilevel"/>
    <w:lvl w:ilvl="0">
      <w:lvlJc w:val="left"/>
      <w:lvlText w:val="(%1)"/>
      <w:numFmt w:val="decimal"/>
      <w:start w:val="4"/>
    </w:lvl>
  </w:abstractNum>
  <w:abstractNum w:abstractNumId="7">
    <w:nsid w:val="6CEAF087"/>
    <w:multiLevelType w:val="hybridMultilevel"/>
    <w:lvl w:ilvl="0">
      <w:lvlJc w:val="left"/>
      <w:lvlText w:val="1"/>
      <w:numFmt w:val="bullet"/>
      <w:start w:val="1"/>
    </w:lvl>
  </w:abstractNum>
  <w:abstractNum w:abstractNumId="8">
    <w:nsid w:val="22221A70"/>
    <w:multiLevelType w:val="hybridMultilevel"/>
    <w:lvl w:ilvl="0">
      <w:lvlJc w:val="left"/>
      <w:lvlText w:val="(%1)"/>
      <w:numFmt w:val="decimal"/>
      <w:start w:val="5"/>
    </w:lvl>
  </w:abstractNum>
  <w:abstractNum w:abstractNumId="9">
    <w:nsid w:val="4516DDE9"/>
    <w:multiLevelType w:val="hybridMultilevel"/>
    <w:lvl w:ilvl="0">
      <w:lvlJc w:val="left"/>
      <w:lvlText w:val="1"/>
      <w:numFmt w:val="bullet"/>
      <w:start w:val="1"/>
    </w:lvl>
  </w:abstractNum>
  <w:abstractNum w:abstractNumId="10">
    <w:nsid w:val="3006C83E"/>
    <w:multiLevelType w:val="hybridMultilevel"/>
    <w:lvl w:ilvl="0">
      <w:lvlJc w:val="left"/>
      <w:lvlText w:val="(%1)"/>
      <w:numFmt w:val="decimal"/>
      <w:start w:val="6"/>
    </w:lvl>
  </w:abstractNum>
  <w:abstractNum w:abstractNumId="11">
    <w:nsid w:val="614FD4A1"/>
    <w:multiLevelType w:val="hybridMultilevel"/>
    <w:lvl w:ilvl="0">
      <w:lvlJc w:val="left"/>
      <w:lvlText w:val="1"/>
      <w:numFmt w:val="bullet"/>
      <w:start w:val="1"/>
    </w:lvl>
  </w:abstractNum>
  <w:abstractNum w:abstractNumId="12">
    <w:nsid w:val="419AC241"/>
    <w:multiLevelType w:val="hybridMultilevel"/>
    <w:lvl w:ilvl="0">
      <w:lvlJc w:val="left"/>
      <w:lvlText w:val="(%1)"/>
      <w:numFmt w:val="decimal"/>
      <w:start w:val="7"/>
    </w:lvl>
  </w:abstractNum>
  <w:abstractNum w:abstractNumId="13">
    <w:nsid w:val="5577F8E1"/>
    <w:multiLevelType w:val="hybridMultilevel"/>
    <w:lvl w:ilvl="0">
      <w:lvlJc w:val="left"/>
      <w:lvlText w:val="1"/>
      <w:numFmt w:val="bullet"/>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2"/>
    </w:lvl>
  </w:abstractNum>
  <w:abstractNum w:abstractNumId="17">
    <w:nsid w:val="77465F01"/>
    <w:multiLevelType w:val="hybridMultilevel"/>
    <w:lvl w:ilvl="0">
      <w:lvlJc w:val="left"/>
      <w:lvlText w:val="(%1)"/>
      <w:numFmt w:val="decimal"/>
      <w:start w:val="3"/>
    </w:lvl>
  </w:abstractNum>
  <w:abstractNum w:abstractNumId="18">
    <w:nsid w:val="7724C67E"/>
    <w:multiLevelType w:val="hybridMultilevel"/>
    <w:lvl w:ilvl="0">
      <w:lvlJc w:val="left"/>
      <w:lvlText w:val="(%1)"/>
      <w:numFmt w:val="decimal"/>
      <w:start w:val="4"/>
    </w:lvl>
  </w:abstractNum>
  <w:abstractNum w:abstractNumId="19">
    <w:nsid w:val="5C482A97"/>
    <w:multiLevelType w:val="hybridMultilevel"/>
    <w:lvl w:ilvl="0">
      <w:lvlJc w:val="left"/>
      <w:lvlText w:val="(%1)"/>
      <w:numFmt w:val="decimal"/>
      <w:start w:val="5"/>
    </w:lvl>
  </w:abstractNum>
  <w:abstractNum w:abstractNumId="20">
    <w:nsid w:val="2463B9EA"/>
    <w:multiLevelType w:val="hybridMultilevel"/>
    <w:lvl w:ilvl="0">
      <w:lvlJc w:val="left"/>
      <w:lvlText w:val="(%1)"/>
      <w:numFmt w:val="decimal"/>
      <w:start w:val="6"/>
    </w:lvl>
  </w:abstractNum>
  <w:abstractNum w:abstractNumId="21">
    <w:nsid w:val="5E884ADC"/>
    <w:multiLevelType w:val="hybridMultilevel"/>
    <w:lvl w:ilvl="0">
      <w:lvlJc w:val="left"/>
      <w:lvlText w:val="(%1)"/>
      <w:numFmt w:val="decimal"/>
      <w:start w:val="7"/>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5"/>
    </w:lvl>
  </w:abstractNum>
  <w:abstractNum w:abstractNumId="24">
    <w:nsid w:val="580BD78F"/>
    <w:multiLevelType w:val="hybridMultilevel"/>
    <w:lvl w:ilvl="0">
      <w:lvlJc w:val="left"/>
      <w:lvlText w:val="(%1)"/>
      <w:numFmt w:val="lowerLetter"/>
      <w:start w:val="3"/>
    </w:lvl>
  </w:abstractNum>
  <w:abstractNum w:abstractNumId="25">
    <w:nsid w:val="153EA438"/>
    <w:multiLevelType w:val="hybridMultilevel"/>
    <w:lvl w:ilvl="0">
      <w:lvlJc w:val="left"/>
      <w:lvlText w:val="%1."/>
      <w:numFmt w:val="upperLetter"/>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8">
    <w:nsid w:val="6A2342EC"/>
    <w:multiLevelType w:val="hybridMultilevel"/>
    <w:lvl w:ilvl="0">
      <w:lvlJc w:val="left"/>
      <w:lvlText w:val="%1"/>
      <w:numFmt w:val="lowerLetter"/>
      <w:start w:val="1"/>
    </w:lvl>
    <w:lvl w:ilvl="1">
      <w:lvlJc w:val="left"/>
      <w:lvlText w:val="(%2)"/>
      <w:numFmt w:val="lowerLetter"/>
      <w:start w:val="35"/>
    </w:lvl>
  </w:abstractNum>
  <w:abstractNum w:abstractNumId="29">
    <w:nsid w:val="2A487CB0"/>
    <w:multiLevelType w:val="hybridMultilevel"/>
    <w:lvl w:ilvl="0">
      <w:lvlJc w:val="left"/>
      <w:lvlText w:val="(%1)"/>
      <w:numFmt w:val="lowerLetter"/>
      <w:start w:val="2"/>
    </w:lvl>
    <w:lvl w:ilvl="1">
      <w:lvlJc w:val="left"/>
      <w:lvlText w:val="(%2)"/>
      <w:numFmt w:val="lowerLetter"/>
      <w:start w:val="9"/>
    </w:lvl>
  </w:abstractNum>
  <w:abstractNum w:abstractNumId="30">
    <w:nsid w:val="1D4ED43B"/>
    <w:multiLevelType w:val="hybridMultilevel"/>
    <w:lvl w:ilvl="0">
      <w:lvlJc w:val="left"/>
      <w:lvlText w:val="(%1)"/>
      <w:numFmt w:val="lowerRoman"/>
      <w:start w:val="2"/>
    </w:lvl>
  </w:abstractNum>
  <w:abstractNum w:abstractNumId="31">
    <w:nsid w:val="725A06FB"/>
    <w:multiLevelType w:val="hybridMultilevel"/>
    <w:lvl w:ilvl="0">
      <w:lvlJc w:val="left"/>
      <w:lvlText w:val="%1"/>
      <w:numFmt w:val="decimal"/>
      <w:start w:val="1"/>
    </w:lvl>
    <w:lvl w:ilvl="1">
      <w:lvlJc w:val="left"/>
      <w:lvlText w:val="(%2)"/>
      <w:numFmt w:val="lowerLetter"/>
      <w:start w:val="4"/>
    </w:lvl>
  </w:abstractNum>
  <w:abstractNum w:abstractNumId="32">
    <w:nsid w:val="2CD89A32"/>
    <w:multiLevelType w:val="hybridMultilevel"/>
    <w:lvl w:ilvl="0">
      <w:lvlJc w:val="left"/>
      <w:lvlText w:val="(%1)"/>
      <w:numFmt w:val="decimal"/>
      <w:start w:val="5"/>
    </w:lvl>
    <w:lvl w:ilvl="1">
      <w:lvlJc w:val="left"/>
      <w:lvlText w:val="%2"/>
      <w:numFmt w:val="lowerLetter"/>
      <w:start w:val="1"/>
    </w:lvl>
  </w:abstractNum>
  <w:abstractNum w:abstractNumId="33">
    <w:nsid w:val="57E4CCAF"/>
    <w:multiLevelType w:val="hybridMultilevel"/>
    <w:lvl w:ilvl="0">
      <w:lvlJc w:val="left"/>
      <w:lvlText w:val="(%1)"/>
      <w:numFmt w:val="lowerLetter"/>
      <w:start w:val="5"/>
    </w:lvl>
    <w:lvl w:ilvl="1">
      <w:lvlJc w:val="left"/>
      <w:lvlText w:val="(%2)"/>
      <w:numFmt w:val="lowerLetter"/>
      <w:start w:val="9"/>
    </w:lvl>
  </w:abstractNum>
  <w:abstractNum w:abstractNumId="34">
    <w:nsid w:val="7A6D8D3C"/>
    <w:multiLevelType w:val="hybridMultilevel"/>
    <w:lvl w:ilvl="0">
      <w:lvlJc w:val="left"/>
      <w:lvlText w:val="(%1)"/>
      <w:numFmt w:val="lowerRoman"/>
      <w:start w:val="2"/>
    </w:lvl>
  </w:abstractNum>
  <w:abstractNum w:abstractNumId="35">
    <w:nsid w:val="4B588F54"/>
    <w:multiLevelType w:val="hybridMultilevel"/>
    <w:lvl w:ilvl="0">
      <w:lvlJc w:val="left"/>
      <w:lvlText w:val="(%1)"/>
      <w:numFmt w:val="lowerLetter"/>
      <w:start w:val="7"/>
    </w:lvl>
    <w:lvl w:ilvl="1">
      <w:lvlJc w:val="left"/>
      <w:lvlText w:val="(%2)"/>
      <w:numFmt w:val="lowerLetter"/>
      <w:start w:val="9"/>
    </w:lvl>
  </w:abstractNum>
  <w:abstractNum w:abstractNumId="36">
    <w:nsid w:val="542289EC"/>
    <w:multiLevelType w:val="hybridMultilevel"/>
    <w:lvl w:ilvl="0">
      <w:lvlJc w:val="left"/>
      <w:lvlText w:val="(%1)"/>
      <w:numFmt w:val="lowerRoman"/>
      <w:start w:val="2"/>
    </w:lvl>
    <w:lvl w:ilvl="1">
      <w:lvlJc w:val="left"/>
      <w:lvlText w:val="(%2)"/>
      <w:numFmt w:val="decimal"/>
      <w:start w:val="1"/>
    </w:lvl>
  </w:abstractNum>
  <w:abstractNum w:abstractNumId="37">
    <w:nsid w:val="6DE91B18"/>
    <w:multiLevelType w:val="hybridMultilevel"/>
    <w:lvl w:ilvl="0">
      <w:lvlJc w:val="left"/>
      <w:lvlText w:val="%1."/>
      <w:numFmt w:val="decimal"/>
      <w:start w:val="3"/>
    </w:lvl>
    <w:lvl w:ilvl="1">
      <w:lvlJc w:val="left"/>
      <w:lvlText w:val="(%2)"/>
      <w:numFmt w:val="lowerLetter"/>
      <w:start w:val="1"/>
    </w:lvl>
  </w:abstractNum>
  <w:abstractNum w:abstractNumId="38">
    <w:nsid w:val="38437FDB"/>
    <w:multiLevelType w:val="hybridMultilevel"/>
    <w:lvl w:ilvl="0">
      <w:lvlJc w:val="left"/>
      <w:lvlText w:val="(%1)"/>
      <w:numFmt w:val="lowerLetter"/>
      <w:start w:val="6"/>
    </w:lvl>
  </w:abstractNum>
  <w:abstractNum w:abstractNumId="39">
    <w:nsid w:val="7644A45C"/>
    <w:multiLevelType w:val="hybridMultilevel"/>
    <w:lvl w:ilvl="0">
      <w:lvlJc w:val="left"/>
      <w:lvlText w:val="%1."/>
      <w:numFmt w:val="decimal"/>
      <w:start w:val="4"/>
    </w:lvl>
    <w:lvl w:ilvl="1">
      <w:lvlJc w:val="left"/>
      <w:lvlText w:val="(%2)"/>
      <w:numFmt w:val="lowerLetter"/>
      <w:start w:val="1"/>
    </w:lvl>
  </w:abstractNum>
  <w:abstractNum w:abstractNumId="40">
    <w:nsid w:val="32FFF902"/>
    <w:multiLevelType w:val="hybridMultilevel"/>
    <w:lvl w:ilvl="0">
      <w:lvlJc w:val="left"/>
      <w:lvlText w:val="%1"/>
      <w:numFmt w:val="decimal"/>
      <w:start w:val="1"/>
    </w:lvl>
    <w:lvl w:ilvl="1">
      <w:lvlJc w:val="left"/>
      <w:lvlText w:val="(%2)"/>
      <w:numFmt w:val="lowerLetter"/>
      <w:start w:val="4"/>
    </w:lvl>
  </w:abstractNum>
  <w:abstractNum w:abstractNumId="41">
    <w:nsid w:val="684A481A"/>
    <w:multiLevelType w:val="hybridMultilevel"/>
    <w:lvl w:ilvl="0">
      <w:lvlJc w:val="left"/>
      <w:lvlText w:val="%1"/>
      <w:numFmt w:val="decimal"/>
      <w:start w:val="144"/>
    </w:lvl>
    <w:lvl w:ilvl="1">
      <w:lvlJc w:val="left"/>
      <w:lvlText w:val="%2"/>
      <w:numFmt w:val="lowerLetter"/>
      <w:start w:val="1"/>
    </w:lvl>
  </w:abstractNum>
  <w:abstractNum w:abstractNumId="42">
    <w:nsid w:val="579478FE"/>
    <w:multiLevelType w:val="hybridMultilevel"/>
    <w:lvl w:ilvl="0">
      <w:lvlJc w:val="left"/>
      <w:lvlText w:val="%1."/>
      <w:numFmt w:val="decimal"/>
      <w:start w:val="5"/>
    </w:lvl>
    <w:lvl w:ilvl="1">
      <w:lvlJc w:val="left"/>
      <w:lvlText w:val="(%2)"/>
      <w:numFmt w:val="lowerLetter"/>
      <w:start w:val="1"/>
    </w:lvl>
  </w:abstractNum>
  <w:abstractNum w:abstractNumId="43">
    <w:nsid w:val="749ABB43"/>
    <w:multiLevelType w:val="hybridMultilevel"/>
    <w:lvl w:ilvl="0">
      <w:lvlJc w:val="left"/>
      <w:lvlText w:val="(%1)"/>
      <w:numFmt w:val="lowerLetter"/>
      <w:start w:val="3"/>
    </w:lvl>
  </w:abstractNum>
  <w:abstractNum w:abstractNumId="44">
    <w:nsid w:val="3DC240FB"/>
    <w:multiLevelType w:val="hybridMultilevel"/>
    <w:lvl w:ilvl="0">
      <w:lvlJc w:val="left"/>
      <w:lvlText w:val="%1"/>
      <w:numFmt w:val="decimal"/>
      <w:start w:val="1"/>
    </w:lvl>
    <w:lvl w:ilvl="1">
      <w:lvlJc w:val="left"/>
      <w:lvlText w:val="(%2)"/>
      <w:numFmt w:val="lowerLetter"/>
      <w:start w:val="4"/>
    </w:lvl>
  </w:abstractNum>
  <w:abstractNum w:abstractNumId="45">
    <w:nsid w:val="1BA026FA"/>
    <w:multiLevelType w:val="hybridMultilevel"/>
    <w:lvl w:ilvl="0">
      <w:lvlJc w:val="left"/>
      <w:lvlText w:val="%1."/>
      <w:numFmt w:val="decimal"/>
      <w:start w:val="6"/>
    </w:lvl>
    <w:lvl w:ilvl="1">
      <w:lvlJc w:val="left"/>
      <w:lvlText w:val="(%2)"/>
      <w:numFmt w:val="lowerLetter"/>
      <w:start w:val="1"/>
    </w:lvl>
  </w:abstractNum>
  <w:abstractNum w:abstractNumId="46">
    <w:nsid w:val="79A1DEAA"/>
    <w:multiLevelType w:val="hybridMultilevel"/>
    <w:lvl w:ilvl="0">
      <w:lvlJc w:val="left"/>
      <w:lvlText w:val="(%1)"/>
      <w:numFmt w:val="lowerLetter"/>
      <w:start w:val="4"/>
    </w:lvl>
  </w:abstractNum>
  <w:abstractNum w:abstractNumId="47">
    <w:nsid w:val="75C6C33A"/>
    <w:multiLevelType w:val="hybridMultilevel"/>
    <w:lvl w:ilvl="0">
      <w:lvlJc w:val="left"/>
      <w:lvlText w:val="(%1)"/>
      <w:numFmt w:val="lowerLetter"/>
      <w:start w:val="7"/>
    </w:lvl>
  </w:abstractNum>
  <w:abstractNum w:abstractNumId="48">
    <w:nsid w:val="12E685FB"/>
    <w:multiLevelType w:val="hybridMultilevel"/>
    <w:lvl w:ilvl="0">
      <w:lvlJc w:val="left"/>
      <w:lvlText w:val="(%1)"/>
      <w:numFmt w:val="lowerLetter"/>
      <w:start w:val="10"/>
    </w:lvl>
  </w:abstractNum>
  <w:abstractNum w:abstractNumId="49">
    <w:nsid w:val="70C6A529"/>
    <w:multiLevelType w:val="hybridMultilevel"/>
    <w:lvl w:ilvl="0">
      <w:lvlJc w:val="left"/>
      <w:lvlText w:val="(%1)"/>
      <w:numFmt w:val="lowerLetter"/>
      <w:start w:val="13"/>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Roman"/>
      <w:start w:val="1"/>
    </w:lvl>
  </w:abstractNum>
  <w:abstractNum w:abstractNumId="52">
    <w:nsid w:val="4F4EF0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53">
    <w:nsid w:val="23F9C13C"/>
    <w:multiLevelType w:val="hybridMultilevel"/>
    <w:lvl w:ilvl="0">
      <w:lvlJc w:val="left"/>
      <w:lvlText w:val="(%1)"/>
      <w:numFmt w:val="lowerRoman"/>
      <w:start w:val="2"/>
    </w:lvl>
  </w:abstractNum>
  <w:abstractNum w:abstractNumId="54">
    <w:nsid w:val="649BB77C"/>
    <w:multiLevelType w:val="hybridMultilevel"/>
    <w:lvl w:ilvl="0">
      <w:lvlJc w:val="left"/>
      <w:lvlText w:val="%1"/>
      <w:numFmt w:val="lowerLetter"/>
      <w:start w:val="1"/>
    </w:lvl>
    <w:lvl w:ilvl="1">
      <w:lvlJc w:val="left"/>
      <w:lvlText w:val="(%2)"/>
      <w:numFmt w:val="lowerLetter"/>
      <w:start w:val="2"/>
    </w:lvl>
  </w:abstractNum>
  <w:abstractNum w:abstractNumId="55">
    <w:nsid w:val="275AC794"/>
    <w:multiLevelType w:val="hybridMultilevel"/>
    <w:lvl w:ilvl="0">
      <w:lvlJc w:val="left"/>
      <w:lvlText w:val="(%1)"/>
      <w:numFmt w:val="lowerLetter"/>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2020-06-08T16:12:58Z</dcterms:created>
  <dcterms:modified xsi:type="dcterms:W3CDTF">2020-06-08T16:12:58Z</dcterms:modified>
</cp:coreProperties>
</file>