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13G/A</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(Amendment No. 1)*</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98885E103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225"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0" w:lineRule="exact"/>
        <w:rPr>
          <w:sz w:val="24"/>
          <w:szCs w:val="24"/>
          <w:color w:val="auto"/>
        </w:rPr>
      </w:pPr>
    </w:p>
    <w:p>
      <w:pPr>
        <w:ind w:right="2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92"/>
        </w:trPr>
        <w:tc>
          <w:tcPr>
            <w:tcW w:w="24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CUSIP No. 98885E103</w:t>
            </w:r>
          </w:p>
        </w:tc>
        <w:tc>
          <w:tcPr>
            <w:tcW w:w="3880" w:type="dxa"/>
            <w:vAlign w:val="bottom"/>
          </w:tcPr>
          <w:p>
            <w:pPr>
              <w:ind w:left="3040"/>
              <w:spacing w:after="0"/>
              <w:rPr>
                <w:sz w:val="20"/>
                <w:szCs w:val="20"/>
                <w:color w:val="auto"/>
              </w:rPr>
            </w:pPr>
            <w:r>
              <w:rPr>
                <w:rFonts w:ascii="Arial" w:cs="Arial" w:eastAsia="Arial" w:hAnsi="Arial"/>
                <w:sz w:val="29"/>
                <w:szCs w:val="29"/>
                <w:b w:val="1"/>
                <w:bCs w:val="1"/>
                <w:color w:val="auto"/>
                <w:w w:val="97"/>
              </w:rPr>
              <w:t>13G/A</w:t>
            </w:r>
          </w:p>
        </w:tc>
      </w:tr>
    </w:tbl>
    <w:p>
      <w:pPr>
        <w:spacing w:after="0" w:line="198" w:lineRule="exact"/>
        <w:rPr>
          <w:sz w:val="20"/>
          <w:szCs w:val="20"/>
          <w:color w:val="auto"/>
        </w:rPr>
      </w:pPr>
    </w:p>
    <w:p>
      <w:pPr>
        <w:ind w:left="920" w:right="2480" w:hanging="520"/>
        <w:spacing w:after="0" w:line="400" w:lineRule="auto"/>
        <w:tabs>
          <w:tab w:leader="none" w:pos="92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NAMES OF REPORTING PERSONS </w:t>
      </w:r>
      <w:r>
        <w:rPr>
          <w:rFonts w:ascii="Arial" w:cs="Arial" w:eastAsia="Arial" w:hAnsi="Arial"/>
          <w:sz w:val="17"/>
          <w:szCs w:val="17"/>
          <w:color w:val="auto"/>
        </w:rPr>
        <w:t>Great Point Partners, LLC</w:t>
      </w:r>
    </w:p>
    <w:p>
      <w:pPr>
        <w:ind w:left="920"/>
        <w:spacing w:after="0" w:line="402" w:lineRule="auto"/>
        <w:rPr>
          <w:rFonts w:ascii="Arial" w:cs="Arial" w:eastAsia="Arial" w:hAnsi="Arial"/>
          <w:sz w:val="17"/>
          <w:szCs w:val="17"/>
          <w:b w:val="1"/>
          <w:bCs w:val="1"/>
          <w:color w:val="auto"/>
        </w:rPr>
      </w:pPr>
      <w:r>
        <w:rPr>
          <w:rFonts w:ascii="Arial" w:cs="Arial" w:eastAsia="Arial" w:hAnsi="Arial"/>
          <w:sz w:val="18"/>
          <w:szCs w:val="18"/>
          <w:color w:val="auto"/>
        </w:rPr>
        <w:t>I.R.S. IDENTIFICATION NO. OF ABOVE PERSON (ENTITIES ONLY): 37-1475292</w:t>
      </w:r>
    </w:p>
    <w:p>
      <w:pPr>
        <w:spacing w:after="0" w:line="58" w:lineRule="exact"/>
        <w:rPr>
          <w:rFonts w:ascii="Arial" w:cs="Arial" w:eastAsia="Arial" w:hAnsi="Arial"/>
          <w:sz w:val="17"/>
          <w:szCs w:val="17"/>
          <w:b w:val="1"/>
          <w:bCs w:val="1"/>
          <w:color w:val="auto"/>
        </w:rPr>
      </w:pPr>
    </w:p>
    <w:p>
      <w:pPr>
        <w:ind w:left="920" w:hanging="520"/>
        <w:spacing w:after="0"/>
        <w:tabs>
          <w:tab w:leader="none" w:pos="9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b w:val="1"/>
          <w:bCs w:val="1"/>
          <w:color w:val="auto"/>
        </w:rPr>
      </w:pPr>
    </w:p>
    <w:p>
      <w:pPr>
        <w:ind w:left="1500" w:hanging="574"/>
        <w:spacing w:after="0"/>
        <w:tabs>
          <w:tab w:leader="none" w:pos="150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10" w:lineRule="exact"/>
        <w:rPr>
          <w:rFonts w:ascii="Arial" w:cs="Arial" w:eastAsia="Arial" w:hAnsi="Arial"/>
          <w:sz w:val="18"/>
          <w:szCs w:val="18"/>
          <w:color w:val="auto"/>
        </w:rPr>
      </w:pPr>
    </w:p>
    <w:p>
      <w:pPr>
        <w:ind w:left="1500" w:hanging="574"/>
        <w:spacing w:after="0"/>
        <w:tabs>
          <w:tab w:leader="none" w:pos="150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302" w:lineRule="exact"/>
        <w:rPr>
          <w:rFonts w:ascii="Arial" w:cs="Arial" w:eastAsia="Arial" w:hAnsi="Arial"/>
          <w:sz w:val="18"/>
          <w:szCs w:val="18"/>
          <w:color w:val="auto"/>
        </w:rPr>
      </w:pPr>
    </w:p>
    <w:p>
      <w:pPr>
        <w:ind w:left="920" w:hanging="520"/>
        <w:spacing w:after="0"/>
        <w:tabs>
          <w:tab w:leader="none" w:pos="9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rFonts w:ascii="Arial" w:cs="Arial" w:eastAsia="Arial" w:hAnsi="Arial"/>
          <w:sz w:val="18"/>
          <w:szCs w:val="18"/>
          <w:b w:val="1"/>
          <w:bCs w:val="1"/>
          <w:color w:val="auto"/>
        </w:rPr>
      </w:pPr>
    </w:p>
    <w:p>
      <w:pPr>
        <w:spacing w:after="0" w:line="281" w:lineRule="exact"/>
        <w:rPr>
          <w:rFonts w:ascii="Arial" w:cs="Arial" w:eastAsia="Arial" w:hAnsi="Arial"/>
          <w:sz w:val="18"/>
          <w:szCs w:val="18"/>
          <w:b w:val="1"/>
          <w:bCs w:val="1"/>
          <w:color w:val="auto"/>
        </w:rPr>
      </w:pPr>
    </w:p>
    <w:p>
      <w:pPr>
        <w:ind w:left="920" w:hanging="520"/>
        <w:spacing w:after="0"/>
        <w:tabs>
          <w:tab w:leader="none" w:pos="9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-607695</wp:posOffset>
            </wp:positionV>
            <wp:extent cx="7246620"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10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100" w:type="dxa"/>
            <w:vAlign w:val="bottom"/>
          </w:tcPr>
          <w:p>
            <w:pPr>
              <w:ind w:left="1060"/>
              <w:spacing w:after="0"/>
              <w:rPr>
                <w:sz w:val="20"/>
                <w:szCs w:val="20"/>
                <w:color w:val="auto"/>
              </w:rPr>
            </w:pPr>
            <w:r>
              <w:rPr>
                <w:rFonts w:ascii="Arial" w:cs="Arial" w:eastAsia="Arial" w:hAnsi="Arial"/>
                <w:sz w:val="18"/>
                <w:szCs w:val="18"/>
                <w:color w:val="auto"/>
              </w:rPr>
              <w:t>USA</w:t>
            </w:r>
          </w:p>
        </w:tc>
        <w:tc>
          <w:tcPr>
            <w:tcW w:w="4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10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98"/>
              </w:rPr>
              <w:t>NUMBER OF SHARES</w:t>
            </w:r>
          </w:p>
        </w:tc>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rPr>
              <w:t>5.</w:t>
            </w:r>
          </w:p>
        </w:tc>
        <w:tc>
          <w:tcPr>
            <w:tcW w:w="2800" w:type="dxa"/>
            <w:vAlign w:val="bottom"/>
          </w:tcPr>
          <w:p>
            <w:pPr>
              <w:ind w:left="1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81"/>
        </w:trPr>
        <w:tc>
          <w:tcPr>
            <w:tcW w:w="21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2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4"/>
        </w:trPr>
        <w:tc>
          <w:tcPr>
            <w:tcW w:w="2100" w:type="dxa"/>
            <w:vAlign w:val="bottom"/>
          </w:tcPr>
          <w:p>
            <w:pPr>
              <w:jc w:val="center"/>
              <w:ind w:right="130"/>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100" w:type="dxa"/>
            <w:vAlign w:val="bottom"/>
          </w:tcPr>
          <w:p>
            <w:pPr>
              <w:jc w:val="center"/>
              <w:ind w:right="90"/>
              <w:spacing w:after="0"/>
              <w:rPr>
                <w:sz w:val="20"/>
                <w:szCs w:val="20"/>
                <w:color w:val="auto"/>
              </w:rPr>
            </w:pPr>
            <w:r>
              <w:rPr>
                <w:rFonts w:ascii="Arial" w:cs="Arial" w:eastAsia="Arial" w:hAnsi="Arial"/>
                <w:sz w:val="18"/>
                <w:szCs w:val="18"/>
                <w:b w:val="1"/>
                <w:bCs w:val="1"/>
                <w:color w:val="auto"/>
              </w:rPr>
              <w:t>OWNED BY EACH</w:t>
            </w:r>
          </w:p>
        </w:tc>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rPr>
              <w:t>6.</w:t>
            </w:r>
          </w:p>
        </w:tc>
        <w:tc>
          <w:tcPr>
            <w:tcW w:w="2800" w:type="dxa"/>
            <w:vAlign w:val="bottom"/>
          </w:tcPr>
          <w:p>
            <w:pPr>
              <w:ind w:left="1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84"/>
        </w:trPr>
        <w:tc>
          <w:tcPr>
            <w:tcW w:w="2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REPORTING PERSON</w:t>
            </w:r>
          </w:p>
        </w:tc>
        <w:tc>
          <w:tcPr>
            <w:tcW w:w="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100" w:type="dxa"/>
            <w:vAlign w:val="bottom"/>
          </w:tcPr>
          <w:p>
            <w:pPr>
              <w:jc w:val="center"/>
              <w:ind w:right="90"/>
              <w:spacing w:after="0"/>
              <w:rPr>
                <w:sz w:val="20"/>
                <w:szCs w:val="20"/>
                <w:color w:val="auto"/>
              </w:rPr>
            </w:pPr>
            <w:r>
              <w:rPr>
                <w:rFonts w:ascii="Arial" w:cs="Arial" w:eastAsia="Arial" w:hAnsi="Arial"/>
                <w:sz w:val="18"/>
                <w:szCs w:val="18"/>
                <w:b w:val="1"/>
                <w:bCs w:val="1"/>
                <w:color w:val="auto"/>
              </w:rPr>
              <w:t>WITH</w:t>
            </w:r>
          </w:p>
        </w:tc>
        <w:tc>
          <w:tcPr>
            <w:tcW w:w="4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7.</w:t>
            </w:r>
          </w:p>
        </w:tc>
        <w:tc>
          <w:tcPr>
            <w:tcW w:w="28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81"/>
        </w:trPr>
        <w:tc>
          <w:tcPr>
            <w:tcW w:w="21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48"/>
        </w:trPr>
        <w:tc>
          <w:tcPr>
            <w:tcW w:w="2100" w:type="dxa"/>
            <w:vAlign w:val="bottom"/>
          </w:tcPr>
          <w:p>
            <w:pPr>
              <w:spacing w:after="0"/>
              <w:rPr>
                <w:sz w:val="24"/>
                <w:szCs w:val="24"/>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rPr>
              <w:t>8.</w:t>
            </w:r>
          </w:p>
        </w:tc>
        <w:tc>
          <w:tcPr>
            <w:tcW w:w="2800" w:type="dxa"/>
            <w:vAlign w:val="bottom"/>
          </w:tcPr>
          <w:p>
            <w:pPr>
              <w:ind w:left="120"/>
              <w:spacing w:after="0"/>
              <w:rPr>
                <w:sz w:val="20"/>
                <w:szCs w:val="20"/>
                <w:color w:val="auto"/>
              </w:rPr>
            </w:pPr>
            <w:r>
              <w:rPr>
                <w:rFonts w:ascii="Arial" w:cs="Arial" w:eastAsia="Arial" w:hAnsi="Arial"/>
                <w:sz w:val="18"/>
                <w:szCs w:val="18"/>
                <w:b w:val="1"/>
                <w:bCs w:val="1"/>
                <w:color w:val="auto"/>
                <w:w w:val="99"/>
              </w:rPr>
              <w:t>SHARED DISPOSITIVE POWER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-190500</wp:posOffset>
            </wp:positionV>
            <wp:extent cx="1303655" cy="257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3,598,392</w:t>
      </w:r>
    </w:p>
    <w:p>
      <w:pPr>
        <w:spacing w:after="0" w:line="200" w:lineRule="exact"/>
        <w:rPr>
          <w:sz w:val="20"/>
          <w:szCs w:val="20"/>
          <w:color w:val="auto"/>
        </w:rPr>
      </w:pP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3,598,392</w:t>
      </w:r>
    </w:p>
    <w:p>
      <w:pPr>
        <w:spacing w:after="0" w:line="200" w:lineRule="exact"/>
        <w:rPr>
          <w:sz w:val="20"/>
          <w:szCs w:val="20"/>
          <w:color w:val="auto"/>
        </w:rPr>
      </w:pPr>
    </w:p>
    <w:p>
      <w:pPr>
        <w:sectPr>
          <w:pgSz w:w="11900" w:h="16838" w:orient="portrait"/>
          <w:cols w:equalWidth="0" w:num="2">
            <w:col w:w="6360" w:space="420"/>
            <w:col w:w="4360"/>
          </w:cols>
          <w:pgMar w:left="240" w:top="403" w:right="519" w:bottom="1440" w:gutter="0" w:footer="0" w:header="0"/>
        </w:sectPr>
      </w:pPr>
    </w:p>
    <w:p>
      <w:pPr>
        <w:spacing w:after="0" w:line="21" w:lineRule="exact"/>
        <w:rPr>
          <w:sz w:val="20"/>
          <w:szCs w:val="20"/>
          <w:color w:val="auto"/>
        </w:rPr>
      </w:pPr>
    </w:p>
    <w:p>
      <w:pPr>
        <w:ind w:left="1460" w:right="3400" w:hanging="1114"/>
        <w:spacing w:after="0" w:line="391" w:lineRule="auto"/>
        <w:tabs>
          <w:tab w:leader="none" w:pos="81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3,598,392</w:t>
      </w:r>
    </w:p>
    <w:p>
      <w:pPr>
        <w:spacing w:after="0" w:line="1" w:lineRule="exact"/>
        <w:rPr>
          <w:sz w:val="20"/>
          <w:szCs w:val="20"/>
          <w:color w:val="auto"/>
        </w:rPr>
      </w:pPr>
    </w:p>
    <w:p>
      <w:pPr>
        <w:ind w:left="300"/>
        <w:spacing w:after="0"/>
        <w:tabs>
          <w:tab w:leader="none" w:pos="800" w:val="left"/>
          <w:tab w:leader="none" w:pos="106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(See Instructions)</w:t>
      </w:r>
      <w:r>
        <w:rPr>
          <w:sz w:val="20"/>
          <w:szCs w:val="20"/>
          <w:color w:val="auto"/>
        </w:rPr>
        <w:tab/>
      </w:r>
      <w:r>
        <w:rPr>
          <w:rFonts w:ascii="Arial" w:cs="Arial" w:eastAsia="Arial" w:hAnsi="Arial"/>
          <w:sz w:val="17"/>
          <w:szCs w:val="17"/>
          <w:color w:val="auto"/>
        </w:rPr>
        <w:t>o</w:t>
      </w:r>
    </w:p>
    <w:p>
      <w:pPr>
        <w:spacing w:after="0" w:line="131" w:lineRule="exact"/>
        <w:rPr>
          <w:sz w:val="20"/>
          <w:szCs w:val="20"/>
          <w:color w:val="auto"/>
        </w:rPr>
      </w:pPr>
    </w:p>
    <w:p>
      <w:pPr>
        <w:ind w:left="1460" w:right="5020" w:hanging="1154"/>
        <w:spacing w:after="0" w:line="352" w:lineRule="auto"/>
        <w:tabs>
          <w:tab w:leader="none" w:pos="81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9.76%</w:t>
      </w:r>
      <w:r>
        <w:rPr>
          <w:rFonts w:ascii="Arial" w:cs="Arial" w:eastAsia="Arial" w:hAnsi="Arial"/>
          <w:sz w:val="30"/>
          <w:szCs w:val="30"/>
          <w:color w:val="auto"/>
          <w:vertAlign w:val="superscript"/>
        </w:rPr>
        <w:t>1</w:t>
      </w:r>
    </w:p>
    <w:p>
      <w:pPr>
        <w:ind w:left="820" w:hanging="519"/>
        <w:spacing w:after="0"/>
        <w:tabs>
          <w:tab w:leader="none" w:pos="8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(See Instructions)</w:t>
      </w:r>
    </w:p>
    <w:p>
      <w:pPr>
        <w:spacing w:after="0" w:line="13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809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41" w:lineRule="exact"/>
        <w:rPr>
          <w:sz w:val="20"/>
          <w:szCs w:val="20"/>
          <w:color w:val="auto"/>
        </w:rPr>
      </w:pPr>
    </w:p>
    <w:p>
      <w:pPr>
        <w:ind w:left="360" w:hanging="352"/>
        <w:spacing w:after="0"/>
        <w:tabs>
          <w:tab w:leader="none" w:pos="360" w:val="left"/>
        </w:tabs>
        <w:numPr>
          <w:ilvl w:val="0"/>
          <w:numId w:val="5"/>
        </w:numPr>
        <w:rPr>
          <w:rFonts w:ascii="Arial" w:cs="Arial" w:eastAsia="Arial" w:hAnsi="Arial"/>
          <w:sz w:val="28"/>
          <w:szCs w:val="28"/>
          <w:color w:val="auto"/>
          <w:vertAlign w:val="superscript"/>
        </w:rPr>
      </w:pPr>
      <w:r>
        <w:rPr>
          <w:rFonts w:ascii="Arial" w:cs="Arial" w:eastAsia="Arial" w:hAnsi="Arial"/>
          <w:sz w:val="17"/>
          <w:szCs w:val="17"/>
          <w:color w:val="auto"/>
        </w:rPr>
        <w:t>Based on a total of 36,870,780 shares outstanding, as reported in the Issuer’s Form 10-Q filed with the SEC on November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140"/>
          </w:cols>
          <w:pgMar w:left="240" w:top="403" w:right="519" w:bottom="1440" w:gutter="0" w:footer="0" w:header="0"/>
          <w:type w:val="continuous"/>
        </w:sectPr>
      </w:pPr>
    </w:p>
    <w:bookmarkStart w:id="2" w:name="page3"/>
    <w:bookmarkEnd w:id="2"/>
    <w:tbl>
      <w:tblPr>
        <w:tblLayout w:type="fixed"/>
        <w:tblInd w:w="10" w:type="dxa"/>
        <w:tblCellMar>
          <w:top w:w="0" w:type="dxa"/>
          <w:left w:w="0" w:type="dxa"/>
          <w:bottom w:w="0" w:type="dxa"/>
          <w:right w:w="0" w:type="dxa"/>
        </w:tblCellMar>
      </w:tblPr>
      <w:tr>
        <w:trPr>
          <w:trHeight w:val="392"/>
        </w:trPr>
        <w:tc>
          <w:tcPr>
            <w:tcW w:w="24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CUSIP No. 98885E103</w:t>
            </w:r>
          </w:p>
        </w:tc>
        <w:tc>
          <w:tcPr>
            <w:tcW w:w="3880" w:type="dxa"/>
            <w:vAlign w:val="bottom"/>
          </w:tcPr>
          <w:p>
            <w:pPr>
              <w:ind w:left="3040"/>
              <w:spacing w:after="0"/>
              <w:rPr>
                <w:sz w:val="20"/>
                <w:szCs w:val="20"/>
                <w:color w:val="auto"/>
              </w:rPr>
            </w:pPr>
            <w:r>
              <w:rPr>
                <w:rFonts w:ascii="Arial" w:cs="Arial" w:eastAsia="Arial" w:hAnsi="Arial"/>
                <w:sz w:val="29"/>
                <w:szCs w:val="29"/>
                <w:b w:val="1"/>
                <w:bCs w:val="1"/>
                <w:color w:val="auto"/>
                <w:w w:val="97"/>
              </w:rPr>
              <w:t>13G/A</w:t>
            </w:r>
          </w:p>
        </w:tc>
      </w:tr>
    </w:tbl>
    <w:p>
      <w:pPr>
        <w:spacing w:after="0" w:line="198" w:lineRule="exact"/>
        <w:rPr>
          <w:sz w:val="20"/>
          <w:szCs w:val="20"/>
          <w:color w:val="auto"/>
        </w:rPr>
      </w:pPr>
    </w:p>
    <w:p>
      <w:pPr>
        <w:ind w:left="920" w:right="2480" w:hanging="520"/>
        <w:spacing w:after="0" w:line="378" w:lineRule="auto"/>
        <w:tabs>
          <w:tab w:leader="none" w:pos="9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NAMES OF REPORTING PERSONS </w:t>
      </w:r>
      <w:r>
        <w:rPr>
          <w:rFonts w:ascii="Arial" w:cs="Arial" w:eastAsia="Arial" w:hAnsi="Arial"/>
          <w:sz w:val="18"/>
          <w:szCs w:val="18"/>
          <w:color w:val="auto"/>
        </w:rPr>
        <w:t>Dr. Jeffrey R. Jay, M.D.</w:t>
      </w:r>
    </w:p>
    <w:p>
      <w:pPr>
        <w:ind w:left="920"/>
        <w:spacing w:after="0"/>
        <w:rPr>
          <w:rFonts w:ascii="Arial" w:cs="Arial" w:eastAsia="Arial" w:hAnsi="Arial"/>
          <w:sz w:val="18"/>
          <w:szCs w:val="18"/>
          <w:b w:val="1"/>
          <w:bCs w:val="1"/>
          <w:color w:val="auto"/>
        </w:rPr>
      </w:pPr>
      <w:r>
        <w:rPr>
          <w:rFonts w:ascii="Arial" w:cs="Arial" w:eastAsia="Arial" w:hAnsi="Arial"/>
          <w:sz w:val="17"/>
          <w:szCs w:val="17"/>
          <w:color w:val="auto"/>
        </w:rPr>
        <w:t>I.R.S. IDENTIFICATION NO. OF ABOVE PERSON (ENTITIES ONLY):</w:t>
      </w:r>
    </w:p>
    <w:p>
      <w:pPr>
        <w:spacing w:after="0" w:line="232" w:lineRule="exact"/>
        <w:rPr>
          <w:rFonts w:ascii="Arial" w:cs="Arial" w:eastAsia="Arial" w:hAnsi="Arial"/>
          <w:sz w:val="18"/>
          <w:szCs w:val="18"/>
          <w:b w:val="1"/>
          <w:bCs w:val="1"/>
          <w:color w:val="auto"/>
        </w:rPr>
      </w:pPr>
    </w:p>
    <w:p>
      <w:pPr>
        <w:ind w:left="920" w:hanging="520"/>
        <w:spacing w:after="0"/>
        <w:tabs>
          <w:tab w:leader="none" w:pos="9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b w:val="1"/>
          <w:bCs w:val="1"/>
          <w:color w:val="auto"/>
        </w:rPr>
      </w:pPr>
    </w:p>
    <w:p>
      <w:pPr>
        <w:ind w:left="1500" w:hanging="574"/>
        <w:spacing w:after="0"/>
        <w:tabs>
          <w:tab w:leader="none" w:pos="1500" w:val="left"/>
        </w:tabs>
        <w:numPr>
          <w:ilvl w:val="1"/>
          <w:numId w:val="6"/>
        </w:numPr>
        <w:rPr>
          <w:rFonts w:ascii="Arial" w:cs="Arial" w:eastAsia="Arial" w:hAnsi="Arial"/>
          <w:sz w:val="18"/>
          <w:szCs w:val="18"/>
          <w:color w:val="auto"/>
        </w:rPr>
      </w:pPr>
      <w:r>
        <w:rPr>
          <w:rFonts w:ascii="Arial" w:cs="Arial" w:eastAsia="Arial" w:hAnsi="Arial"/>
          <w:sz w:val="18"/>
          <w:szCs w:val="18"/>
          <w:color w:val="auto"/>
        </w:rPr>
        <w:t>o</w:t>
      </w:r>
    </w:p>
    <w:p>
      <w:pPr>
        <w:spacing w:after="0" w:line="210" w:lineRule="exact"/>
        <w:rPr>
          <w:rFonts w:ascii="Arial" w:cs="Arial" w:eastAsia="Arial" w:hAnsi="Arial"/>
          <w:sz w:val="18"/>
          <w:szCs w:val="18"/>
          <w:color w:val="auto"/>
        </w:rPr>
      </w:pPr>
    </w:p>
    <w:p>
      <w:pPr>
        <w:ind w:left="1500" w:hanging="574"/>
        <w:spacing w:after="0"/>
        <w:tabs>
          <w:tab w:leader="none" w:pos="1500" w:val="left"/>
        </w:tabs>
        <w:numPr>
          <w:ilvl w:val="1"/>
          <w:numId w:val="6"/>
        </w:numPr>
        <w:rPr>
          <w:rFonts w:ascii="Arial" w:cs="Arial" w:eastAsia="Arial" w:hAnsi="Arial"/>
          <w:sz w:val="18"/>
          <w:szCs w:val="18"/>
          <w:color w:val="auto"/>
        </w:rPr>
      </w:pPr>
      <w:r>
        <w:rPr>
          <w:rFonts w:ascii="Arial" w:cs="Arial" w:eastAsia="Arial" w:hAnsi="Arial"/>
          <w:sz w:val="18"/>
          <w:szCs w:val="18"/>
          <w:color w:val="auto"/>
        </w:rPr>
        <w:t>o</w:t>
      </w:r>
    </w:p>
    <w:p>
      <w:pPr>
        <w:spacing w:after="0" w:line="302" w:lineRule="exact"/>
        <w:rPr>
          <w:rFonts w:ascii="Arial" w:cs="Arial" w:eastAsia="Arial" w:hAnsi="Arial"/>
          <w:sz w:val="18"/>
          <w:szCs w:val="18"/>
          <w:color w:val="auto"/>
        </w:rPr>
      </w:pPr>
    </w:p>
    <w:p>
      <w:pPr>
        <w:ind w:left="920" w:hanging="520"/>
        <w:spacing w:after="0"/>
        <w:tabs>
          <w:tab w:leader="none" w:pos="9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rFonts w:ascii="Arial" w:cs="Arial" w:eastAsia="Arial" w:hAnsi="Arial"/>
          <w:sz w:val="18"/>
          <w:szCs w:val="18"/>
          <w:b w:val="1"/>
          <w:bCs w:val="1"/>
          <w:color w:val="auto"/>
        </w:rPr>
      </w:pPr>
    </w:p>
    <w:p>
      <w:pPr>
        <w:spacing w:after="0" w:line="268" w:lineRule="exact"/>
        <w:rPr>
          <w:rFonts w:ascii="Arial" w:cs="Arial" w:eastAsia="Arial" w:hAnsi="Arial"/>
          <w:sz w:val="18"/>
          <w:szCs w:val="18"/>
          <w:b w:val="1"/>
          <w:bCs w:val="1"/>
          <w:color w:val="auto"/>
        </w:rPr>
      </w:pPr>
    </w:p>
    <w:p>
      <w:pPr>
        <w:ind w:left="920" w:right="1500" w:hanging="520"/>
        <w:spacing w:after="0" w:line="407" w:lineRule="auto"/>
        <w:tabs>
          <w:tab w:leader="none" w:pos="9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-913765</wp:posOffset>
            </wp:positionV>
            <wp:extent cx="7246620" cy="411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34"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208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98"/>
              </w:rPr>
              <w:t>NUMBER OF SHARES</w:t>
            </w:r>
          </w:p>
        </w:tc>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rPr>
              <w:t>5.</w:t>
            </w:r>
          </w:p>
        </w:tc>
        <w:tc>
          <w:tcPr>
            <w:tcW w:w="2800" w:type="dxa"/>
            <w:vAlign w:val="bottom"/>
          </w:tcPr>
          <w:p>
            <w:pPr>
              <w:ind w:left="1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81"/>
        </w:trPr>
        <w:tc>
          <w:tcPr>
            <w:tcW w:w="208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2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4"/>
        </w:trPr>
        <w:tc>
          <w:tcPr>
            <w:tcW w:w="2080" w:type="dxa"/>
            <w:vAlign w:val="bottom"/>
          </w:tcPr>
          <w:p>
            <w:pPr>
              <w:jc w:val="center"/>
              <w:ind w:right="150"/>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80" w:type="dxa"/>
            <w:vAlign w:val="bottom"/>
          </w:tcPr>
          <w:p>
            <w:pPr>
              <w:jc w:val="center"/>
              <w:ind w:right="110"/>
              <w:spacing w:after="0"/>
              <w:rPr>
                <w:sz w:val="20"/>
                <w:szCs w:val="20"/>
                <w:color w:val="auto"/>
              </w:rPr>
            </w:pPr>
            <w:r>
              <w:rPr>
                <w:rFonts w:ascii="Arial" w:cs="Arial" w:eastAsia="Arial" w:hAnsi="Arial"/>
                <w:sz w:val="18"/>
                <w:szCs w:val="18"/>
                <w:b w:val="1"/>
                <w:bCs w:val="1"/>
                <w:color w:val="auto"/>
              </w:rPr>
              <w:t>OWNED BY EACH</w:t>
            </w:r>
          </w:p>
        </w:tc>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rPr>
              <w:t>6.</w:t>
            </w:r>
          </w:p>
        </w:tc>
        <w:tc>
          <w:tcPr>
            <w:tcW w:w="2800" w:type="dxa"/>
            <w:vAlign w:val="bottom"/>
          </w:tcPr>
          <w:p>
            <w:pPr>
              <w:ind w:left="1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84"/>
        </w:trPr>
        <w:tc>
          <w:tcPr>
            <w:tcW w:w="2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REPORTING PERSON</w:t>
            </w:r>
          </w:p>
        </w:tc>
        <w:tc>
          <w:tcPr>
            <w:tcW w:w="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80" w:type="dxa"/>
            <w:vAlign w:val="bottom"/>
          </w:tcPr>
          <w:p>
            <w:pPr>
              <w:jc w:val="center"/>
              <w:ind w:right="110"/>
              <w:spacing w:after="0"/>
              <w:rPr>
                <w:sz w:val="20"/>
                <w:szCs w:val="20"/>
                <w:color w:val="auto"/>
              </w:rPr>
            </w:pPr>
            <w:r>
              <w:rPr>
                <w:rFonts w:ascii="Arial" w:cs="Arial" w:eastAsia="Arial" w:hAnsi="Arial"/>
                <w:sz w:val="18"/>
                <w:szCs w:val="18"/>
                <w:b w:val="1"/>
                <w:bCs w:val="1"/>
                <w:color w:val="auto"/>
              </w:rPr>
              <w:t>WITH</w:t>
            </w:r>
          </w:p>
        </w:tc>
        <w:tc>
          <w:tcPr>
            <w:tcW w:w="4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7.</w:t>
            </w:r>
          </w:p>
        </w:tc>
        <w:tc>
          <w:tcPr>
            <w:tcW w:w="28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81"/>
        </w:trPr>
        <w:tc>
          <w:tcPr>
            <w:tcW w:w="20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48"/>
        </w:trPr>
        <w:tc>
          <w:tcPr>
            <w:tcW w:w="2080" w:type="dxa"/>
            <w:vAlign w:val="bottom"/>
          </w:tcPr>
          <w:p>
            <w:pPr>
              <w:spacing w:after="0"/>
              <w:rPr>
                <w:sz w:val="24"/>
                <w:szCs w:val="24"/>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rPr>
              <w:t>8.</w:t>
            </w:r>
          </w:p>
        </w:tc>
        <w:tc>
          <w:tcPr>
            <w:tcW w:w="2800" w:type="dxa"/>
            <w:vAlign w:val="bottom"/>
          </w:tcPr>
          <w:p>
            <w:pPr>
              <w:ind w:left="120"/>
              <w:spacing w:after="0"/>
              <w:rPr>
                <w:sz w:val="20"/>
                <w:szCs w:val="20"/>
                <w:color w:val="auto"/>
              </w:rPr>
            </w:pPr>
            <w:r>
              <w:rPr>
                <w:rFonts w:ascii="Arial" w:cs="Arial" w:eastAsia="Arial" w:hAnsi="Arial"/>
                <w:sz w:val="18"/>
                <w:szCs w:val="18"/>
                <w:b w:val="1"/>
                <w:bCs w:val="1"/>
                <w:color w:val="auto"/>
                <w:w w:val="99"/>
              </w:rPr>
              <w:t>SHARED DISPOSITIVE POWER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-190500</wp:posOffset>
            </wp:positionV>
            <wp:extent cx="1303655"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0365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3,598,392</w:t>
      </w:r>
    </w:p>
    <w:p>
      <w:pPr>
        <w:spacing w:after="0" w:line="200" w:lineRule="exact"/>
        <w:rPr>
          <w:sz w:val="20"/>
          <w:szCs w:val="20"/>
          <w:color w:val="auto"/>
        </w:rPr>
      </w:pP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3,598,392</w:t>
      </w:r>
    </w:p>
    <w:p>
      <w:pPr>
        <w:spacing w:after="0" w:line="200" w:lineRule="exact"/>
        <w:rPr>
          <w:sz w:val="20"/>
          <w:szCs w:val="20"/>
          <w:color w:val="auto"/>
        </w:rPr>
      </w:pPr>
    </w:p>
    <w:p>
      <w:pPr>
        <w:sectPr>
          <w:pgSz w:w="11900" w:h="16838" w:orient="portrait"/>
          <w:cols w:equalWidth="0" w:num="2">
            <w:col w:w="6360" w:space="420"/>
            <w:col w:w="4360"/>
          </w:cols>
          <w:pgMar w:left="240" w:top="403" w:right="519" w:bottom="1440" w:gutter="0" w:footer="0" w:header="0"/>
        </w:sectPr>
      </w:pPr>
    </w:p>
    <w:p>
      <w:pPr>
        <w:spacing w:after="0" w:line="21" w:lineRule="exact"/>
        <w:rPr>
          <w:sz w:val="20"/>
          <w:szCs w:val="20"/>
          <w:color w:val="auto"/>
        </w:rPr>
      </w:pPr>
    </w:p>
    <w:p>
      <w:pPr>
        <w:ind w:left="1460" w:right="3400" w:hanging="1114"/>
        <w:spacing w:after="0" w:line="375" w:lineRule="auto"/>
        <w:tabs>
          <w:tab w:leader="none" w:pos="81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3,598,392</w:t>
      </w:r>
    </w:p>
    <w:p>
      <w:pPr>
        <w:spacing w:after="0" w:line="1" w:lineRule="exact"/>
        <w:rPr>
          <w:sz w:val="20"/>
          <w:szCs w:val="20"/>
          <w:color w:val="auto"/>
        </w:rPr>
      </w:pPr>
    </w:p>
    <w:p>
      <w:pPr>
        <w:ind w:left="300"/>
        <w:spacing w:after="0"/>
        <w:tabs>
          <w:tab w:leader="none" w:pos="800" w:val="left"/>
          <w:tab w:leader="none" w:pos="106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(See Instructions)</w:t>
      </w:r>
      <w:r>
        <w:rPr>
          <w:sz w:val="20"/>
          <w:szCs w:val="20"/>
          <w:color w:val="auto"/>
        </w:rPr>
        <w:tab/>
      </w:r>
      <w:r>
        <w:rPr>
          <w:rFonts w:ascii="Arial" w:cs="Arial" w:eastAsia="Arial" w:hAnsi="Arial"/>
          <w:sz w:val="17"/>
          <w:szCs w:val="17"/>
          <w:color w:val="auto"/>
        </w:rPr>
        <w:t>o</w:t>
      </w:r>
    </w:p>
    <w:p>
      <w:pPr>
        <w:spacing w:after="0" w:line="131" w:lineRule="exact"/>
        <w:rPr>
          <w:sz w:val="20"/>
          <w:szCs w:val="20"/>
          <w:color w:val="auto"/>
        </w:rPr>
      </w:pPr>
    </w:p>
    <w:p>
      <w:pPr>
        <w:ind w:left="1460" w:right="5020" w:hanging="1154"/>
        <w:spacing w:after="0" w:line="313" w:lineRule="auto"/>
        <w:tabs>
          <w:tab w:leader="none" w:pos="81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9.76%</w:t>
      </w:r>
      <w:r>
        <w:rPr>
          <w:rFonts w:ascii="Arial" w:cs="Arial" w:eastAsia="Arial" w:hAnsi="Arial"/>
          <w:sz w:val="30"/>
          <w:szCs w:val="30"/>
          <w:color w:val="auto"/>
          <w:vertAlign w:val="superscript"/>
        </w:rPr>
        <w:t>1</w:t>
      </w:r>
    </w:p>
    <w:p>
      <w:pPr>
        <w:spacing w:after="0" w:line="2" w:lineRule="exact"/>
        <w:rPr>
          <w:rFonts w:ascii="Arial" w:cs="Arial" w:eastAsia="Arial" w:hAnsi="Arial"/>
          <w:sz w:val="18"/>
          <w:szCs w:val="18"/>
          <w:b w:val="1"/>
          <w:bCs w:val="1"/>
          <w:color w:val="auto"/>
        </w:rPr>
      </w:pPr>
    </w:p>
    <w:p>
      <w:pPr>
        <w:ind w:left="820" w:hanging="519"/>
        <w:spacing w:after="0"/>
        <w:tabs>
          <w:tab w:leader="none" w:pos="8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(See Instructions)</w:t>
      </w:r>
    </w:p>
    <w:p>
      <w:pPr>
        <w:spacing w:after="0" w:line="10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140"/>
          </w:cols>
          <w:pgMar w:left="240" w:top="403" w:right="519" w:bottom="1440" w:gutter="0" w:footer="0" w:header="0"/>
          <w:type w:val="continuous"/>
        </w:sectPr>
      </w:pPr>
    </w:p>
    <w:bookmarkStart w:id="3" w:name="page4"/>
    <w:bookmarkEnd w:id="3"/>
    <w:tbl>
      <w:tblPr>
        <w:tblLayout w:type="fixed"/>
        <w:tblInd w:w="10" w:type="dxa"/>
        <w:tblCellMar>
          <w:top w:w="0" w:type="dxa"/>
          <w:left w:w="0" w:type="dxa"/>
          <w:bottom w:w="0" w:type="dxa"/>
          <w:right w:w="0" w:type="dxa"/>
        </w:tblCellMar>
      </w:tblPr>
      <w:tr>
        <w:trPr>
          <w:trHeight w:val="392"/>
        </w:trPr>
        <w:tc>
          <w:tcPr>
            <w:tcW w:w="24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CUSIP No. 98885E103</w:t>
            </w:r>
          </w:p>
        </w:tc>
        <w:tc>
          <w:tcPr>
            <w:tcW w:w="3880" w:type="dxa"/>
            <w:vAlign w:val="bottom"/>
          </w:tcPr>
          <w:p>
            <w:pPr>
              <w:ind w:left="3040"/>
              <w:spacing w:after="0"/>
              <w:rPr>
                <w:sz w:val="20"/>
                <w:szCs w:val="20"/>
                <w:color w:val="auto"/>
              </w:rPr>
            </w:pPr>
            <w:r>
              <w:rPr>
                <w:rFonts w:ascii="Arial" w:cs="Arial" w:eastAsia="Arial" w:hAnsi="Arial"/>
                <w:sz w:val="29"/>
                <w:szCs w:val="29"/>
                <w:b w:val="1"/>
                <w:bCs w:val="1"/>
                <w:color w:val="auto"/>
                <w:w w:val="97"/>
              </w:rPr>
              <w:t>13G/A</w:t>
            </w:r>
          </w:p>
        </w:tc>
      </w:tr>
    </w:tbl>
    <w:p>
      <w:pPr>
        <w:spacing w:after="0" w:line="198" w:lineRule="exact"/>
        <w:rPr>
          <w:sz w:val="20"/>
          <w:szCs w:val="20"/>
          <w:color w:val="auto"/>
        </w:rPr>
      </w:pPr>
    </w:p>
    <w:p>
      <w:pPr>
        <w:ind w:left="920" w:right="2480" w:hanging="520"/>
        <w:spacing w:after="0" w:line="378" w:lineRule="auto"/>
        <w:tabs>
          <w:tab w:leader="none" w:pos="9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NAMES OF REPORTING PERSONS </w:t>
      </w:r>
      <w:r>
        <w:rPr>
          <w:rFonts w:ascii="Arial" w:cs="Arial" w:eastAsia="Arial" w:hAnsi="Arial"/>
          <w:sz w:val="18"/>
          <w:szCs w:val="18"/>
          <w:color w:val="auto"/>
        </w:rPr>
        <w:t>Mr. David Kroin</w:t>
      </w:r>
    </w:p>
    <w:p>
      <w:pPr>
        <w:ind w:left="920"/>
        <w:spacing w:after="0"/>
        <w:rPr>
          <w:rFonts w:ascii="Arial" w:cs="Arial" w:eastAsia="Arial" w:hAnsi="Arial"/>
          <w:sz w:val="18"/>
          <w:szCs w:val="18"/>
          <w:b w:val="1"/>
          <w:bCs w:val="1"/>
          <w:color w:val="auto"/>
        </w:rPr>
      </w:pPr>
      <w:r>
        <w:rPr>
          <w:rFonts w:ascii="Arial" w:cs="Arial" w:eastAsia="Arial" w:hAnsi="Arial"/>
          <w:sz w:val="17"/>
          <w:szCs w:val="17"/>
          <w:color w:val="auto"/>
        </w:rPr>
        <w:t>I.R.S. IDENTIFICATION NO. OF ABOVE PERSON (ENTITIES ONLY):</w:t>
      </w:r>
    </w:p>
    <w:p>
      <w:pPr>
        <w:spacing w:after="0" w:line="232" w:lineRule="exact"/>
        <w:rPr>
          <w:rFonts w:ascii="Arial" w:cs="Arial" w:eastAsia="Arial" w:hAnsi="Arial"/>
          <w:sz w:val="18"/>
          <w:szCs w:val="18"/>
          <w:b w:val="1"/>
          <w:bCs w:val="1"/>
          <w:color w:val="auto"/>
        </w:rPr>
      </w:pPr>
    </w:p>
    <w:p>
      <w:pPr>
        <w:ind w:left="920" w:hanging="520"/>
        <w:spacing w:after="0"/>
        <w:tabs>
          <w:tab w:leader="none" w:pos="9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b w:val="1"/>
          <w:bCs w:val="1"/>
          <w:color w:val="auto"/>
        </w:rPr>
      </w:pPr>
    </w:p>
    <w:p>
      <w:pPr>
        <w:ind w:left="1500" w:hanging="574"/>
        <w:spacing w:after="0"/>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o</w:t>
      </w:r>
    </w:p>
    <w:p>
      <w:pPr>
        <w:spacing w:after="0" w:line="210" w:lineRule="exact"/>
        <w:rPr>
          <w:rFonts w:ascii="Arial" w:cs="Arial" w:eastAsia="Arial" w:hAnsi="Arial"/>
          <w:sz w:val="18"/>
          <w:szCs w:val="18"/>
          <w:color w:val="auto"/>
        </w:rPr>
      </w:pPr>
    </w:p>
    <w:p>
      <w:pPr>
        <w:ind w:left="1500" w:hanging="574"/>
        <w:spacing w:after="0"/>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o</w:t>
      </w:r>
    </w:p>
    <w:p>
      <w:pPr>
        <w:spacing w:after="0" w:line="302" w:lineRule="exact"/>
        <w:rPr>
          <w:rFonts w:ascii="Arial" w:cs="Arial" w:eastAsia="Arial" w:hAnsi="Arial"/>
          <w:sz w:val="18"/>
          <w:szCs w:val="18"/>
          <w:color w:val="auto"/>
        </w:rPr>
      </w:pPr>
    </w:p>
    <w:p>
      <w:pPr>
        <w:ind w:left="920" w:hanging="520"/>
        <w:spacing w:after="0"/>
        <w:tabs>
          <w:tab w:leader="none" w:pos="9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rFonts w:ascii="Arial" w:cs="Arial" w:eastAsia="Arial" w:hAnsi="Arial"/>
          <w:sz w:val="18"/>
          <w:szCs w:val="18"/>
          <w:b w:val="1"/>
          <w:bCs w:val="1"/>
          <w:color w:val="auto"/>
        </w:rPr>
      </w:pPr>
    </w:p>
    <w:p>
      <w:pPr>
        <w:spacing w:after="0" w:line="268" w:lineRule="exact"/>
        <w:rPr>
          <w:rFonts w:ascii="Arial" w:cs="Arial" w:eastAsia="Arial" w:hAnsi="Arial"/>
          <w:sz w:val="18"/>
          <w:szCs w:val="18"/>
          <w:b w:val="1"/>
          <w:bCs w:val="1"/>
          <w:color w:val="auto"/>
        </w:rPr>
      </w:pPr>
    </w:p>
    <w:p>
      <w:pPr>
        <w:ind w:left="920" w:right="1500" w:hanging="520"/>
        <w:spacing w:after="0" w:line="407" w:lineRule="auto"/>
        <w:tabs>
          <w:tab w:leader="none" w:pos="9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-913765</wp:posOffset>
            </wp:positionV>
            <wp:extent cx="7246620"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34"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208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98"/>
              </w:rPr>
              <w:t>NUMBER OF SHARES</w:t>
            </w:r>
          </w:p>
        </w:tc>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rPr>
              <w:t>5.</w:t>
            </w:r>
          </w:p>
        </w:tc>
        <w:tc>
          <w:tcPr>
            <w:tcW w:w="2800" w:type="dxa"/>
            <w:vAlign w:val="bottom"/>
          </w:tcPr>
          <w:p>
            <w:pPr>
              <w:ind w:left="1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81"/>
        </w:trPr>
        <w:tc>
          <w:tcPr>
            <w:tcW w:w="208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2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4"/>
        </w:trPr>
        <w:tc>
          <w:tcPr>
            <w:tcW w:w="2080" w:type="dxa"/>
            <w:vAlign w:val="bottom"/>
          </w:tcPr>
          <w:p>
            <w:pPr>
              <w:jc w:val="center"/>
              <w:ind w:right="110"/>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80" w:type="dxa"/>
            <w:vAlign w:val="bottom"/>
          </w:tcPr>
          <w:p>
            <w:pPr>
              <w:jc w:val="center"/>
              <w:ind w:right="110"/>
              <w:spacing w:after="0"/>
              <w:rPr>
                <w:sz w:val="20"/>
                <w:szCs w:val="20"/>
                <w:color w:val="auto"/>
              </w:rPr>
            </w:pPr>
            <w:r>
              <w:rPr>
                <w:rFonts w:ascii="Arial" w:cs="Arial" w:eastAsia="Arial" w:hAnsi="Arial"/>
                <w:sz w:val="18"/>
                <w:szCs w:val="18"/>
                <w:b w:val="1"/>
                <w:bCs w:val="1"/>
                <w:color w:val="auto"/>
              </w:rPr>
              <w:t>OWNED BY EACH</w:t>
            </w:r>
          </w:p>
        </w:tc>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rPr>
              <w:t>6.</w:t>
            </w:r>
          </w:p>
        </w:tc>
        <w:tc>
          <w:tcPr>
            <w:tcW w:w="2800" w:type="dxa"/>
            <w:vAlign w:val="bottom"/>
          </w:tcPr>
          <w:p>
            <w:pPr>
              <w:ind w:left="1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84"/>
        </w:trPr>
        <w:tc>
          <w:tcPr>
            <w:tcW w:w="2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REPORTING PERSON</w:t>
            </w:r>
          </w:p>
        </w:tc>
        <w:tc>
          <w:tcPr>
            <w:tcW w:w="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80" w:type="dxa"/>
            <w:vAlign w:val="bottom"/>
          </w:tcPr>
          <w:p>
            <w:pPr>
              <w:jc w:val="center"/>
              <w:ind w:right="110"/>
              <w:spacing w:after="0"/>
              <w:rPr>
                <w:sz w:val="20"/>
                <w:szCs w:val="20"/>
                <w:color w:val="auto"/>
              </w:rPr>
            </w:pPr>
            <w:r>
              <w:rPr>
                <w:rFonts w:ascii="Arial" w:cs="Arial" w:eastAsia="Arial" w:hAnsi="Arial"/>
                <w:sz w:val="18"/>
                <w:szCs w:val="18"/>
                <w:b w:val="1"/>
                <w:bCs w:val="1"/>
                <w:color w:val="auto"/>
              </w:rPr>
              <w:t>WITH</w:t>
            </w:r>
          </w:p>
        </w:tc>
        <w:tc>
          <w:tcPr>
            <w:tcW w:w="4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7.</w:t>
            </w:r>
          </w:p>
        </w:tc>
        <w:tc>
          <w:tcPr>
            <w:tcW w:w="28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81"/>
        </w:trPr>
        <w:tc>
          <w:tcPr>
            <w:tcW w:w="20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48"/>
        </w:trPr>
        <w:tc>
          <w:tcPr>
            <w:tcW w:w="2080" w:type="dxa"/>
            <w:vAlign w:val="bottom"/>
          </w:tcPr>
          <w:p>
            <w:pPr>
              <w:spacing w:after="0"/>
              <w:rPr>
                <w:sz w:val="24"/>
                <w:szCs w:val="24"/>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rPr>
              <w:t>8.</w:t>
            </w:r>
          </w:p>
        </w:tc>
        <w:tc>
          <w:tcPr>
            <w:tcW w:w="2800" w:type="dxa"/>
            <w:vAlign w:val="bottom"/>
          </w:tcPr>
          <w:p>
            <w:pPr>
              <w:ind w:left="120"/>
              <w:spacing w:after="0"/>
              <w:rPr>
                <w:sz w:val="20"/>
                <w:szCs w:val="20"/>
                <w:color w:val="auto"/>
              </w:rPr>
            </w:pPr>
            <w:r>
              <w:rPr>
                <w:rFonts w:ascii="Arial" w:cs="Arial" w:eastAsia="Arial" w:hAnsi="Arial"/>
                <w:sz w:val="18"/>
                <w:szCs w:val="18"/>
                <w:b w:val="1"/>
                <w:bCs w:val="1"/>
                <w:color w:val="auto"/>
                <w:w w:val="99"/>
              </w:rPr>
              <w:t>SHARED DISPOSITIVE POWER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-190500</wp:posOffset>
            </wp:positionV>
            <wp:extent cx="1303655"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3,598,392</w:t>
      </w:r>
    </w:p>
    <w:p>
      <w:pPr>
        <w:spacing w:after="0" w:line="200" w:lineRule="exact"/>
        <w:rPr>
          <w:sz w:val="20"/>
          <w:szCs w:val="20"/>
          <w:color w:val="auto"/>
        </w:rPr>
      </w:pP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3,598,392</w:t>
      </w:r>
    </w:p>
    <w:p>
      <w:pPr>
        <w:spacing w:after="0" w:line="200" w:lineRule="exact"/>
        <w:rPr>
          <w:sz w:val="20"/>
          <w:szCs w:val="20"/>
          <w:color w:val="auto"/>
        </w:rPr>
      </w:pPr>
    </w:p>
    <w:p>
      <w:pPr>
        <w:sectPr>
          <w:pgSz w:w="11900" w:h="16838" w:orient="portrait"/>
          <w:cols w:equalWidth="0" w:num="2">
            <w:col w:w="6360" w:space="420"/>
            <w:col w:w="4360"/>
          </w:cols>
          <w:pgMar w:left="240" w:top="403" w:right="519" w:bottom="1440" w:gutter="0" w:footer="0" w:header="0"/>
        </w:sectPr>
      </w:pPr>
    </w:p>
    <w:p>
      <w:pPr>
        <w:spacing w:after="0" w:line="21" w:lineRule="exact"/>
        <w:rPr>
          <w:sz w:val="20"/>
          <w:szCs w:val="20"/>
          <w:color w:val="auto"/>
        </w:rPr>
      </w:pPr>
    </w:p>
    <w:p>
      <w:pPr>
        <w:ind w:left="1460" w:right="3400" w:hanging="1114"/>
        <w:spacing w:after="0" w:line="375" w:lineRule="auto"/>
        <w:tabs>
          <w:tab w:leader="none" w:pos="81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3,598,392</w:t>
      </w:r>
    </w:p>
    <w:p>
      <w:pPr>
        <w:spacing w:after="0" w:line="1" w:lineRule="exact"/>
        <w:rPr>
          <w:sz w:val="20"/>
          <w:szCs w:val="20"/>
          <w:color w:val="auto"/>
        </w:rPr>
      </w:pPr>
    </w:p>
    <w:p>
      <w:pPr>
        <w:ind w:left="300"/>
        <w:spacing w:after="0"/>
        <w:tabs>
          <w:tab w:leader="none" w:pos="800" w:val="left"/>
          <w:tab w:leader="none" w:pos="106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(See Instructions)</w:t>
      </w:r>
      <w:r>
        <w:rPr>
          <w:sz w:val="20"/>
          <w:szCs w:val="20"/>
          <w:color w:val="auto"/>
        </w:rPr>
        <w:tab/>
      </w:r>
      <w:r>
        <w:rPr>
          <w:rFonts w:ascii="Arial" w:cs="Arial" w:eastAsia="Arial" w:hAnsi="Arial"/>
          <w:sz w:val="17"/>
          <w:szCs w:val="17"/>
          <w:color w:val="auto"/>
        </w:rPr>
        <w:t>o</w:t>
      </w:r>
    </w:p>
    <w:p>
      <w:pPr>
        <w:spacing w:after="0" w:line="131" w:lineRule="exact"/>
        <w:rPr>
          <w:sz w:val="20"/>
          <w:szCs w:val="20"/>
          <w:color w:val="auto"/>
        </w:rPr>
      </w:pPr>
    </w:p>
    <w:p>
      <w:pPr>
        <w:ind w:left="1460" w:right="5020" w:hanging="1154"/>
        <w:spacing w:after="0" w:line="313" w:lineRule="auto"/>
        <w:tabs>
          <w:tab w:leader="none" w:pos="81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9.76%</w:t>
      </w:r>
      <w:r>
        <w:rPr>
          <w:rFonts w:ascii="Arial" w:cs="Arial" w:eastAsia="Arial" w:hAnsi="Arial"/>
          <w:sz w:val="30"/>
          <w:szCs w:val="30"/>
          <w:color w:val="auto"/>
          <w:vertAlign w:val="superscript"/>
        </w:rPr>
        <w:t>1</w:t>
      </w:r>
    </w:p>
    <w:p>
      <w:pPr>
        <w:spacing w:after="0" w:line="2" w:lineRule="exact"/>
        <w:rPr>
          <w:rFonts w:ascii="Arial" w:cs="Arial" w:eastAsia="Arial" w:hAnsi="Arial"/>
          <w:sz w:val="18"/>
          <w:szCs w:val="18"/>
          <w:b w:val="1"/>
          <w:bCs w:val="1"/>
          <w:color w:val="auto"/>
        </w:rPr>
      </w:pPr>
    </w:p>
    <w:p>
      <w:pPr>
        <w:ind w:left="820" w:hanging="519"/>
        <w:spacing w:after="0"/>
        <w:tabs>
          <w:tab w:leader="none" w:pos="8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(See Instructions)</w:t>
      </w:r>
    </w:p>
    <w:p>
      <w:pPr>
        <w:spacing w:after="0" w:line="10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140"/>
          </w:cols>
          <w:pgMar w:left="240" w:top="403" w:right="519" w:bottom="1440" w:gutter="0" w:footer="0" w:header="0"/>
          <w:type w:val="continuous"/>
        </w:sectPr>
      </w:pPr>
    </w:p>
    <w:bookmarkStart w:id="4" w:name="page5"/>
    <w:bookmarkEnd w:id="4"/>
    <w:tbl>
      <w:tblPr>
        <w:tblLayout w:type="fixed"/>
        <w:tblInd w:w="10" w:type="dxa"/>
        <w:tblCellMar>
          <w:top w:w="0" w:type="dxa"/>
          <w:left w:w="0" w:type="dxa"/>
          <w:bottom w:w="0" w:type="dxa"/>
          <w:right w:w="0" w:type="dxa"/>
        </w:tblCellMar>
      </w:tblPr>
      <w:tr>
        <w:trPr>
          <w:trHeight w:val="392"/>
        </w:trPr>
        <w:tc>
          <w:tcPr>
            <w:tcW w:w="24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CUSIP No. 98885E103</w:t>
            </w:r>
          </w:p>
        </w:tc>
        <w:tc>
          <w:tcPr>
            <w:tcW w:w="6940" w:type="dxa"/>
            <w:vAlign w:val="bottom"/>
            <w:tcBorders>
              <w:right w:val="single" w:sz="8" w:color="auto"/>
            </w:tcBorders>
          </w:tcPr>
          <w:p>
            <w:pPr>
              <w:ind w:left="3040"/>
              <w:spacing w:after="0"/>
              <w:rPr>
                <w:sz w:val="20"/>
                <w:szCs w:val="20"/>
                <w:color w:val="auto"/>
              </w:rPr>
            </w:pPr>
            <w:r>
              <w:rPr>
                <w:rFonts w:ascii="Arial" w:cs="Arial" w:eastAsia="Arial" w:hAnsi="Arial"/>
                <w:sz w:val="29"/>
                <w:szCs w:val="29"/>
                <w:b w:val="1"/>
                <w:bCs w:val="1"/>
                <w:color w:val="auto"/>
              </w:rPr>
              <w:t>13G/A</w:t>
            </w:r>
          </w:p>
        </w:tc>
        <w:tc>
          <w:tcPr>
            <w:tcW w:w="204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Page 5 of 9 Pages</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7" w:lineRule="exact"/>
        <w:rPr>
          <w:sz w:val="20"/>
          <w:szCs w:val="20"/>
          <w:color w:val="auto"/>
        </w:rPr>
      </w:pPr>
    </w:p>
    <w:p>
      <w:pPr>
        <w:ind w:left="1960" w:right="8360" w:hanging="655"/>
        <w:spacing w:after="0" w:line="554" w:lineRule="auto"/>
        <w:tabs>
          <w:tab w:leader="none" w:pos="1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Name of Issuer Zafgen, Inc.</w:t>
      </w:r>
    </w:p>
    <w:p>
      <w:pPr>
        <w:ind w:left="1960" w:right="5880" w:hanging="655"/>
        <w:spacing w:after="0" w:line="447" w:lineRule="auto"/>
        <w:tabs>
          <w:tab w:leader="none" w:pos="1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Address of Issuer’s Principal Executive Offices 175 Portland Street, 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Boston, MA 02114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1960" w:hanging="655"/>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Great Point Partners, LLC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Dr. Jeffrey R. Jay, M.D.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Mr. David Kroin</w:t>
      </w:r>
    </w:p>
    <w:p>
      <w:pPr>
        <w:spacing w:after="0" w:line="211"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 xml:space="preserve">The Reporting Persons have entered into a Joint Filing Agreement, dated February 14, 2019, a copy of which is filed with this Schedule 13G/A as </w:t>
      </w:r>
      <w:r>
        <w:rPr>
          <w:rFonts w:ascii="Arial" w:cs="Arial" w:eastAsia="Arial" w:hAnsi="Arial"/>
          <w:sz w:val="18"/>
          <w:szCs w:val="18"/>
          <w:u w:val="single" w:color="auto"/>
          <w:color w:val="auto"/>
        </w:rPr>
        <w:t>Exhibit A</w:t>
      </w:r>
      <w:r>
        <w:rPr>
          <w:rFonts w:ascii="Arial" w:cs="Arial" w:eastAsia="Arial" w:hAnsi="Arial"/>
          <w:sz w:val="18"/>
          <w:szCs w:val="18"/>
          <w:color w:val="auto"/>
        </w:rPr>
        <w:t>, pursuant to which the Reporting Persons have agreed to file this statement jointly in accordance with the provisions of Rule 13d-1(k)(1) under the Act.</w:t>
      </w:r>
    </w:p>
    <w:p>
      <w:pPr>
        <w:spacing w:after="0" w:line="181" w:lineRule="exact"/>
        <w:rPr>
          <w:sz w:val="20"/>
          <w:szCs w:val="20"/>
          <w:color w:val="auto"/>
        </w:rPr>
      </w:pPr>
    </w:p>
    <w:p>
      <w:pPr>
        <w:ind w:left="1960" w:hanging="655"/>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address of the principal business office of each of the Reporting Persons is</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165 Mason Street, 3rd Floor</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Greenwich, CT 06830</w:t>
      </w:r>
    </w:p>
    <w:p>
      <w:pPr>
        <w:spacing w:after="0" w:line="211" w:lineRule="exact"/>
        <w:rPr>
          <w:sz w:val="20"/>
          <w:szCs w:val="20"/>
          <w:color w:val="auto"/>
        </w:rPr>
      </w:pPr>
    </w:p>
    <w:p>
      <w:pPr>
        <w:ind w:left="1960" w:hanging="655"/>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Great Point Partners, LLC is a limited liability company organized under the laws of the State of Delaware. Dr. Jeffrey R. Jay, M.D. is a citizen of the United States. Mr. David Kroin is a citizen of the United States.</w:t>
      </w:r>
    </w:p>
    <w:p>
      <w:pPr>
        <w:spacing w:after="0" w:line="170" w:lineRule="exact"/>
        <w:rPr>
          <w:sz w:val="20"/>
          <w:szCs w:val="20"/>
          <w:color w:val="auto"/>
        </w:rPr>
      </w:pPr>
    </w:p>
    <w:p>
      <w:pPr>
        <w:ind w:left="1960" w:right="7560" w:hanging="655"/>
        <w:spacing w:after="0" w:line="563" w:lineRule="auto"/>
        <w:tabs>
          <w:tab w:leader="none" w:pos="1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 w:lineRule="exact"/>
        <w:rPr>
          <w:rFonts w:ascii="Arial" w:cs="Arial" w:eastAsia="Arial" w:hAnsi="Arial"/>
          <w:sz w:val="16"/>
          <w:szCs w:val="16"/>
          <w:color w:val="auto"/>
        </w:rPr>
      </w:pPr>
    </w:p>
    <w:p>
      <w:pPr>
        <w:ind w:left="1960" w:right="8320" w:hanging="655"/>
        <w:spacing w:after="0" w:line="561" w:lineRule="auto"/>
        <w:tabs>
          <w:tab w:leader="none" w:pos="1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CUSIP Number 98885E103</w:t>
      </w: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9" w:lineRule="exact"/>
        <w:rPr>
          <w:sz w:val="20"/>
          <w:szCs w:val="20"/>
          <w:color w:val="auto"/>
        </w:rPr>
      </w:pPr>
    </w:p>
    <w:p>
      <w:pPr>
        <w:ind w:left="1620" w:hanging="315"/>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Act (15 U.S.C. 78o)</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   Bank as defined in Section 3(a)(6) of the Act (15 U.S.C. 78c).</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Act (15. U.S.C. 78c).</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 of 1940 (15 U.S.C. 80a-8).</w:t>
      </w:r>
    </w:p>
    <w:p>
      <w:pPr>
        <w:spacing w:after="0" w:line="192" w:lineRule="exact"/>
        <w:rPr>
          <w:rFonts w:ascii="Arial" w:cs="Arial" w:eastAsia="Arial" w:hAnsi="Arial"/>
          <w:sz w:val="18"/>
          <w:szCs w:val="18"/>
          <w:color w:val="auto"/>
        </w:rPr>
      </w:pPr>
    </w:p>
    <w:p>
      <w:pPr>
        <w:ind w:left="1620" w:hanging="315"/>
        <w:spacing w:after="0" w:line="207" w:lineRule="exact"/>
        <w:tabs>
          <w:tab w:leader="none" w:pos="1620"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57" w:lineRule="exact"/>
        <w:rPr>
          <w:rFonts w:ascii="Arial" w:cs="Arial" w:eastAsia="Arial" w:hAnsi="Arial"/>
          <w:sz w:val="18"/>
          <w:szCs w:val="18"/>
          <w:color w:val="auto"/>
        </w:rPr>
      </w:pPr>
    </w:p>
    <w:p>
      <w:pPr>
        <w:ind w:left="1620" w:hanging="315"/>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3"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392"/>
        </w:trPr>
        <w:tc>
          <w:tcPr>
            <w:tcW w:w="24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CUSIP No. 98885E103</w:t>
            </w:r>
          </w:p>
        </w:tc>
        <w:tc>
          <w:tcPr>
            <w:tcW w:w="6940" w:type="dxa"/>
            <w:vAlign w:val="bottom"/>
            <w:tcBorders>
              <w:right w:val="single" w:sz="8" w:color="auto"/>
            </w:tcBorders>
          </w:tcPr>
          <w:p>
            <w:pPr>
              <w:ind w:left="3040"/>
              <w:spacing w:after="0"/>
              <w:rPr>
                <w:sz w:val="20"/>
                <w:szCs w:val="20"/>
                <w:color w:val="auto"/>
              </w:rPr>
            </w:pPr>
            <w:r>
              <w:rPr>
                <w:rFonts w:ascii="Arial" w:cs="Arial" w:eastAsia="Arial" w:hAnsi="Arial"/>
                <w:sz w:val="29"/>
                <w:szCs w:val="29"/>
                <w:b w:val="1"/>
                <w:bCs w:val="1"/>
                <w:color w:val="auto"/>
              </w:rPr>
              <w:t>13G/A</w:t>
            </w:r>
          </w:p>
        </w:tc>
        <w:tc>
          <w:tcPr>
            <w:tcW w:w="204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Page 6 of 9 Pages</w:t>
            </w:r>
          </w:p>
        </w:tc>
      </w:tr>
    </w:tbl>
    <w:p>
      <w:pPr>
        <w:spacing w:after="0" w:line="202" w:lineRule="exact"/>
        <w:rPr>
          <w:sz w:val="20"/>
          <w:szCs w:val="20"/>
          <w:color w:val="auto"/>
        </w:rPr>
      </w:pPr>
    </w:p>
    <w:p>
      <w:pPr>
        <w:ind w:left="1620" w:hanging="315"/>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§240.13d-1(b)(1)(ii)(G).</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   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right="200" w:hanging="655"/>
        <w:spacing w:after="0" w:line="277" w:lineRule="auto"/>
        <w:tabs>
          <w:tab w:leader="none" w:pos="1636" w:val="left"/>
        </w:tabs>
        <w:numPr>
          <w:ilvl w:val="0"/>
          <w:numId w:val="18"/>
        </w:numPr>
        <w:rPr>
          <w:rFonts w:ascii="Arial" w:cs="Arial" w:eastAsia="Arial" w:hAnsi="Arial"/>
          <w:sz w:val="18"/>
          <w:szCs w:val="18"/>
          <w:color w:val="auto"/>
        </w:rPr>
      </w:pPr>
      <w:r>
        <w:rPr>
          <w:rFonts w:ascii="Arial" w:cs="Arial" w:eastAsia="Arial" w:hAnsi="Arial"/>
          <w:sz w:val="18"/>
          <w:szCs w:val="18"/>
          <w:color w:val="auto"/>
        </w:rPr>
        <w:t>o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620" w:hanging="315"/>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   Group, in accordance with §240.13d-1(b)(1)(ii)(J).</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Biomedical Value Fund, L.P. (“</w:t>
      </w:r>
      <w:r>
        <w:rPr>
          <w:rFonts w:ascii="Arial" w:cs="Arial" w:eastAsia="Arial" w:hAnsi="Arial"/>
          <w:sz w:val="18"/>
          <w:szCs w:val="18"/>
          <w:u w:val="single" w:color="auto"/>
          <w:color w:val="auto"/>
        </w:rPr>
        <w:t>BVF</w:t>
      </w:r>
      <w:r>
        <w:rPr>
          <w:rFonts w:ascii="Arial" w:cs="Arial" w:eastAsia="Arial" w:hAnsi="Arial"/>
          <w:sz w:val="18"/>
          <w:szCs w:val="18"/>
          <w:color w:val="auto"/>
        </w:rPr>
        <w:t>”) is the record owner of 1,093,911 shares of Common Stock (the “</w:t>
      </w:r>
      <w:r>
        <w:rPr>
          <w:rFonts w:ascii="Arial" w:cs="Arial" w:eastAsia="Arial" w:hAnsi="Arial"/>
          <w:sz w:val="18"/>
          <w:szCs w:val="18"/>
          <w:u w:val="single" w:color="auto"/>
          <w:color w:val="auto"/>
        </w:rPr>
        <w:t>BVF Shares</w:t>
      </w:r>
      <w:r>
        <w:rPr>
          <w:rFonts w:ascii="Arial" w:cs="Arial" w:eastAsia="Arial" w:hAnsi="Arial"/>
          <w:sz w:val="18"/>
          <w:szCs w:val="18"/>
          <w:color w:val="auto"/>
        </w:rPr>
        <w:t>”). Great Point Partners, LLC (“</w:t>
      </w:r>
      <w:r>
        <w:rPr>
          <w:rFonts w:ascii="Arial" w:cs="Arial" w:eastAsia="Arial" w:hAnsi="Arial"/>
          <w:sz w:val="18"/>
          <w:szCs w:val="18"/>
          <w:u w:val="single" w:color="auto"/>
          <w:color w:val="auto"/>
        </w:rPr>
        <w:t>Great Point</w:t>
      </w:r>
      <w:r>
        <w:rPr>
          <w:rFonts w:ascii="Arial" w:cs="Arial" w:eastAsia="Arial" w:hAnsi="Arial"/>
          <w:sz w:val="18"/>
          <w:szCs w:val="18"/>
          <w:color w:val="auto"/>
        </w:rPr>
        <w:t>”) is the investment manager of BVF, and by virtue of such status may be deemed to be the beneficial owner of the BVF Shares. Each of Dr. Jeffrey R. Jay, M.D. (“</w:t>
      </w:r>
      <w:r>
        <w:rPr>
          <w:rFonts w:ascii="Arial" w:cs="Arial" w:eastAsia="Arial" w:hAnsi="Arial"/>
          <w:sz w:val="18"/>
          <w:szCs w:val="18"/>
          <w:u w:val="single" w:color="auto"/>
          <w:color w:val="auto"/>
        </w:rPr>
        <w:t>Dr. Jay</w:t>
      </w:r>
      <w:r>
        <w:rPr>
          <w:rFonts w:ascii="Arial" w:cs="Arial" w:eastAsia="Arial" w:hAnsi="Arial"/>
          <w:sz w:val="18"/>
          <w:szCs w:val="18"/>
          <w:color w:val="auto"/>
        </w:rPr>
        <w:t>”), as senior managing member of Great Point, and Mr. David Kroin (“</w:t>
      </w:r>
      <w:r>
        <w:rPr>
          <w:rFonts w:ascii="Arial" w:cs="Arial" w:eastAsia="Arial" w:hAnsi="Arial"/>
          <w:sz w:val="18"/>
          <w:szCs w:val="18"/>
          <w:u w:val="single" w:color="auto"/>
          <w:color w:val="auto"/>
        </w:rPr>
        <w:t>Mr. Kroin</w:t>
      </w:r>
      <w:r>
        <w:rPr>
          <w:rFonts w:ascii="Arial" w:cs="Arial" w:eastAsia="Arial" w:hAnsi="Arial"/>
          <w:sz w:val="18"/>
          <w:szCs w:val="18"/>
          <w:color w:val="auto"/>
        </w:rPr>
        <w:t>”), as special managing member of Great Point, has voting and investment power with respect to the BVF Shares, and therefore may be deemed to be the beneficial owner of the BVF Shares.</w:t>
      </w:r>
    </w:p>
    <w:p>
      <w:pPr>
        <w:spacing w:after="0" w:line="188" w:lineRule="exact"/>
        <w:rPr>
          <w:sz w:val="20"/>
          <w:szCs w:val="20"/>
          <w:color w:val="auto"/>
        </w:rPr>
      </w:pPr>
    </w:p>
    <w:p>
      <w:pPr>
        <w:jc w:val="both"/>
        <w:ind w:left="1300"/>
        <w:spacing w:after="0" w:line="302" w:lineRule="auto"/>
        <w:rPr>
          <w:sz w:val="20"/>
          <w:szCs w:val="20"/>
          <w:color w:val="auto"/>
        </w:rPr>
      </w:pPr>
      <w:r>
        <w:rPr>
          <w:rFonts w:ascii="Arial" w:cs="Arial" w:eastAsia="Arial" w:hAnsi="Arial"/>
          <w:sz w:val="16"/>
          <w:szCs w:val="16"/>
          <w:color w:val="auto"/>
        </w:rPr>
        <w:t>Biomedical Offshore Value Fund, Ltd. (“</w:t>
      </w:r>
      <w:r>
        <w:rPr>
          <w:rFonts w:ascii="Arial" w:cs="Arial" w:eastAsia="Arial" w:hAnsi="Arial"/>
          <w:sz w:val="16"/>
          <w:szCs w:val="16"/>
          <w:u w:val="single" w:color="auto"/>
          <w:color w:val="auto"/>
        </w:rPr>
        <w:t>BOVF</w:t>
      </w:r>
      <w:r>
        <w:rPr>
          <w:rFonts w:ascii="Arial" w:cs="Arial" w:eastAsia="Arial" w:hAnsi="Arial"/>
          <w:sz w:val="16"/>
          <w:szCs w:val="16"/>
          <w:color w:val="auto"/>
        </w:rPr>
        <w:t>”) is the record owner of 1,414,168 shares of Common Stock (the “</w:t>
      </w:r>
      <w:r>
        <w:rPr>
          <w:rFonts w:ascii="Arial" w:cs="Arial" w:eastAsia="Arial" w:hAnsi="Arial"/>
          <w:sz w:val="16"/>
          <w:szCs w:val="16"/>
          <w:u w:val="single" w:color="auto"/>
          <w:color w:val="auto"/>
        </w:rPr>
        <w:t>BOVF Shares</w:t>
      </w:r>
      <w:r>
        <w:rPr>
          <w:rFonts w:ascii="Arial" w:cs="Arial" w:eastAsia="Arial" w:hAnsi="Arial"/>
          <w:sz w:val="16"/>
          <w:szCs w:val="16"/>
          <w:color w:val="auto"/>
        </w:rPr>
        <w:t>”). Great Point is the investment manager of BOVF, and by virtue of such status may be deemed to be the beneficial owner of the BOVF Shares. Each of Dr. Jay, as senior managing member of Great Point, and Mr. Kroin, as special managing member of Great Point, has voting and investment power with respect to the BOVF Shares, and therefore may be deemed to be the beneficial owner of the BOVF Shares.</w:t>
      </w:r>
    </w:p>
    <w:p>
      <w:pPr>
        <w:spacing w:after="0" w:line="154" w:lineRule="exact"/>
        <w:rPr>
          <w:sz w:val="20"/>
          <w:szCs w:val="20"/>
          <w:color w:val="auto"/>
        </w:rPr>
      </w:pPr>
    </w:p>
    <w:p>
      <w:pPr>
        <w:jc w:val="both"/>
        <w:ind w:left="1300"/>
        <w:spacing w:after="0" w:line="302" w:lineRule="auto"/>
        <w:rPr>
          <w:sz w:val="20"/>
          <w:szCs w:val="20"/>
          <w:color w:val="auto"/>
        </w:rPr>
      </w:pPr>
      <w:r>
        <w:rPr>
          <w:rFonts w:ascii="Arial" w:cs="Arial" w:eastAsia="Arial" w:hAnsi="Arial"/>
          <w:sz w:val="16"/>
          <w:szCs w:val="16"/>
          <w:color w:val="auto"/>
        </w:rPr>
        <w:t>GEF-SMA, LP (“</w:t>
      </w:r>
      <w:r>
        <w:rPr>
          <w:rFonts w:ascii="Arial" w:cs="Arial" w:eastAsia="Arial" w:hAnsi="Arial"/>
          <w:sz w:val="16"/>
          <w:szCs w:val="16"/>
          <w:u w:val="single" w:color="auto"/>
          <w:color w:val="auto"/>
        </w:rPr>
        <w:t>GEF-SMA</w:t>
      </w:r>
      <w:r>
        <w:rPr>
          <w:rFonts w:ascii="Arial" w:cs="Arial" w:eastAsia="Arial" w:hAnsi="Arial"/>
          <w:sz w:val="16"/>
          <w:szCs w:val="16"/>
          <w:color w:val="auto"/>
        </w:rPr>
        <w:t>”) is the record owner of 1,090,313 shares of Common Stock (the “</w:t>
      </w:r>
      <w:r>
        <w:rPr>
          <w:rFonts w:ascii="Arial" w:cs="Arial" w:eastAsia="Arial" w:hAnsi="Arial"/>
          <w:sz w:val="16"/>
          <w:szCs w:val="16"/>
          <w:u w:val="single" w:color="auto"/>
          <w:color w:val="auto"/>
        </w:rPr>
        <w:t>GEF-SMA Shares</w:t>
      </w:r>
      <w:r>
        <w:rPr>
          <w:rFonts w:ascii="Arial" w:cs="Arial" w:eastAsia="Arial" w:hAnsi="Arial"/>
          <w:sz w:val="16"/>
          <w:szCs w:val="16"/>
          <w:color w:val="auto"/>
        </w:rPr>
        <w:t>”). Great Point is the investment manager of GEF-SMA, and by virtue of such status may be deemed to be the beneficial owner of the GEF-SMA Shares. Each of Dr. Jay, as senior managing member of Great Point, and Mr. Kroin, as special managing member of Great Point, has voting and investment power with respect to the GEF-SMA Shares, and therefore may be deemed to be the beneficial owner of the GEF-SMA Shares.</w:t>
      </w:r>
    </w:p>
    <w:p>
      <w:pPr>
        <w:spacing w:after="0" w:line="154"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Notwithstanding the above, Great Point, Dr. Jay and Mr. Kroin disclaim beneficial ownership of the BVF Shares, the BOVF Shares and the GEF-SMA Shares described above, except to the extent of their respective pecuniary interests.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4" w:lineRule="exact"/>
        <w:rPr>
          <w:sz w:val="20"/>
          <w:szCs w:val="20"/>
          <w:color w:val="auto"/>
        </w:rPr>
      </w:pPr>
    </w:p>
    <w:p>
      <w:pPr>
        <w:ind w:left="1620" w:hanging="315"/>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Great Point Partners, LLC</w:t>
      </w:r>
    </w:p>
    <w:p>
      <w:pPr>
        <w:spacing w:after="0" w:line="229" w:lineRule="exact"/>
        <w:rPr>
          <w:sz w:val="20"/>
          <w:szCs w:val="20"/>
          <w:color w:val="auto"/>
        </w:rPr>
      </w:pPr>
    </w:p>
    <w:p>
      <w:pPr>
        <w:ind w:left="1620" w:hanging="315"/>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 beneficially owned: 3,598,392</w:t>
      </w:r>
    </w:p>
    <w:p>
      <w:pPr>
        <w:spacing w:after="0" w:line="205" w:lineRule="exact"/>
        <w:rPr>
          <w:rFonts w:ascii="Arial" w:cs="Arial" w:eastAsia="Arial" w:hAnsi="Arial"/>
          <w:sz w:val="18"/>
          <w:szCs w:val="18"/>
          <w:color w:val="auto"/>
        </w:rPr>
      </w:pPr>
    </w:p>
    <w:p>
      <w:pPr>
        <w:ind w:left="1620" w:hanging="315"/>
        <w:spacing w:after="0"/>
        <w:tabs>
          <w:tab w:leader="none" w:pos="1620" w:val="left"/>
        </w:tabs>
        <w:numPr>
          <w:ilvl w:val="0"/>
          <w:numId w:val="20"/>
        </w:numPr>
        <w:rPr>
          <w:rFonts w:ascii="Arial" w:cs="Arial" w:eastAsia="Arial" w:hAnsi="Arial"/>
          <w:sz w:val="36"/>
          <w:szCs w:val="36"/>
          <w:color w:val="auto"/>
          <w:vertAlign w:val="superscript"/>
        </w:rPr>
      </w:pPr>
      <w:r>
        <w:rPr>
          <w:rFonts w:ascii="Arial" w:cs="Arial" w:eastAsia="Arial" w:hAnsi="Arial"/>
          <w:sz w:val="18"/>
          <w:szCs w:val="18"/>
          <w:color w:val="auto"/>
        </w:rPr>
        <w:t>Percent of class: 9.76%</w:t>
      </w:r>
      <w:r>
        <w:rPr>
          <w:rFonts w:ascii="Arial" w:cs="Arial" w:eastAsia="Arial" w:hAnsi="Arial"/>
          <w:sz w:val="30"/>
          <w:szCs w:val="30"/>
          <w:color w:val="auto"/>
          <w:vertAlign w:val="superscript"/>
        </w:rPr>
        <w:t>1</w:t>
      </w:r>
    </w:p>
    <w:p>
      <w:pPr>
        <w:spacing w:after="0" w:line="78" w:lineRule="exact"/>
        <w:rPr>
          <w:rFonts w:ascii="Arial" w:cs="Arial" w:eastAsia="Arial" w:hAnsi="Arial"/>
          <w:sz w:val="36"/>
          <w:szCs w:val="36"/>
          <w:color w:val="auto"/>
          <w:vertAlign w:val="superscript"/>
        </w:rPr>
      </w:pPr>
    </w:p>
    <w:p>
      <w:pPr>
        <w:ind w:left="1620" w:hanging="315"/>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Shared power to vote or to direct the vote: 3,598,392</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3,598,392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3"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392"/>
        </w:trPr>
        <w:tc>
          <w:tcPr>
            <w:tcW w:w="24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CUSIP No. 98885E103</w:t>
            </w:r>
          </w:p>
        </w:tc>
        <w:tc>
          <w:tcPr>
            <w:tcW w:w="6940" w:type="dxa"/>
            <w:vAlign w:val="bottom"/>
            <w:tcBorders>
              <w:right w:val="single" w:sz="8" w:color="auto"/>
            </w:tcBorders>
          </w:tcPr>
          <w:p>
            <w:pPr>
              <w:ind w:left="3040"/>
              <w:spacing w:after="0"/>
              <w:rPr>
                <w:sz w:val="20"/>
                <w:szCs w:val="20"/>
                <w:color w:val="auto"/>
              </w:rPr>
            </w:pPr>
            <w:r>
              <w:rPr>
                <w:rFonts w:ascii="Arial" w:cs="Arial" w:eastAsia="Arial" w:hAnsi="Arial"/>
                <w:sz w:val="29"/>
                <w:szCs w:val="29"/>
                <w:b w:val="1"/>
                <w:bCs w:val="1"/>
                <w:color w:val="auto"/>
              </w:rPr>
              <w:t>13G/A</w:t>
            </w:r>
          </w:p>
        </w:tc>
        <w:tc>
          <w:tcPr>
            <w:tcW w:w="204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Page 7 of 9 Pages</w:t>
            </w:r>
          </w:p>
        </w:tc>
      </w:tr>
    </w:tbl>
    <w:p>
      <w:pPr>
        <w:spacing w:after="0" w:line="198" w:lineRule="exact"/>
        <w:rPr>
          <w:sz w:val="20"/>
          <w:szCs w:val="20"/>
          <w:color w:val="auto"/>
        </w:rPr>
      </w:pPr>
    </w:p>
    <w:p>
      <w:pPr>
        <w:ind w:left="1620" w:hanging="315"/>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Dr. Jeffrey R. Jay, M.D.</w:t>
      </w:r>
    </w:p>
    <w:p>
      <w:pPr>
        <w:spacing w:after="0" w:line="229" w:lineRule="exact"/>
        <w:rPr>
          <w:sz w:val="20"/>
          <w:szCs w:val="20"/>
          <w:color w:val="auto"/>
        </w:rPr>
      </w:pPr>
    </w:p>
    <w:p>
      <w:pPr>
        <w:ind w:left="1620" w:hanging="315"/>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 beneficially owned: 3,598,392</w:t>
      </w:r>
    </w:p>
    <w:p>
      <w:pPr>
        <w:spacing w:after="0" w:line="205" w:lineRule="exact"/>
        <w:rPr>
          <w:rFonts w:ascii="Arial" w:cs="Arial" w:eastAsia="Arial" w:hAnsi="Arial"/>
          <w:sz w:val="18"/>
          <w:szCs w:val="18"/>
          <w:color w:val="auto"/>
        </w:rPr>
      </w:pPr>
    </w:p>
    <w:p>
      <w:pPr>
        <w:ind w:left="1620" w:hanging="315"/>
        <w:spacing w:after="0"/>
        <w:tabs>
          <w:tab w:leader="none" w:pos="1620" w:val="left"/>
        </w:tabs>
        <w:numPr>
          <w:ilvl w:val="0"/>
          <w:numId w:val="22"/>
        </w:numPr>
        <w:rPr>
          <w:rFonts w:ascii="Arial" w:cs="Arial" w:eastAsia="Arial" w:hAnsi="Arial"/>
          <w:sz w:val="36"/>
          <w:szCs w:val="36"/>
          <w:color w:val="auto"/>
          <w:vertAlign w:val="superscript"/>
        </w:rPr>
      </w:pPr>
      <w:r>
        <w:rPr>
          <w:rFonts w:ascii="Arial" w:cs="Arial" w:eastAsia="Arial" w:hAnsi="Arial"/>
          <w:sz w:val="18"/>
          <w:szCs w:val="18"/>
          <w:color w:val="auto"/>
        </w:rPr>
        <w:t>Percent of class: 9.76%</w:t>
      </w:r>
      <w:r>
        <w:rPr>
          <w:rFonts w:ascii="Arial" w:cs="Arial" w:eastAsia="Arial" w:hAnsi="Arial"/>
          <w:sz w:val="30"/>
          <w:szCs w:val="30"/>
          <w:color w:val="auto"/>
          <w:vertAlign w:val="superscript"/>
        </w:rPr>
        <w:t>1</w:t>
      </w:r>
    </w:p>
    <w:p>
      <w:pPr>
        <w:spacing w:after="0" w:line="78" w:lineRule="exact"/>
        <w:rPr>
          <w:rFonts w:ascii="Arial" w:cs="Arial" w:eastAsia="Arial" w:hAnsi="Arial"/>
          <w:sz w:val="36"/>
          <w:szCs w:val="36"/>
          <w:color w:val="auto"/>
          <w:vertAlign w:val="superscript"/>
        </w:rPr>
      </w:pPr>
    </w:p>
    <w:p>
      <w:pPr>
        <w:ind w:left="1620" w:hanging="315"/>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Shared power to vote or to direct the vote: 3,598,392</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3,598,392</w:t>
      </w:r>
    </w:p>
    <w:p>
      <w:pPr>
        <w:spacing w:after="0" w:line="221" w:lineRule="exact"/>
        <w:rPr>
          <w:sz w:val="20"/>
          <w:szCs w:val="20"/>
          <w:color w:val="auto"/>
        </w:rPr>
      </w:pPr>
    </w:p>
    <w:p>
      <w:pPr>
        <w:ind w:left="1620" w:hanging="315"/>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Mr. David Kroin</w:t>
      </w:r>
    </w:p>
    <w:p>
      <w:pPr>
        <w:spacing w:after="0" w:line="229" w:lineRule="exact"/>
        <w:rPr>
          <w:sz w:val="20"/>
          <w:szCs w:val="20"/>
          <w:color w:val="auto"/>
        </w:rPr>
      </w:pPr>
    </w:p>
    <w:p>
      <w:pPr>
        <w:ind w:left="1620" w:hanging="315"/>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 beneficially owned: 3,598,392</w:t>
      </w:r>
    </w:p>
    <w:p>
      <w:pPr>
        <w:spacing w:after="0" w:line="205" w:lineRule="exact"/>
        <w:rPr>
          <w:rFonts w:ascii="Arial" w:cs="Arial" w:eastAsia="Arial" w:hAnsi="Arial"/>
          <w:sz w:val="18"/>
          <w:szCs w:val="18"/>
          <w:color w:val="auto"/>
        </w:rPr>
      </w:pPr>
    </w:p>
    <w:p>
      <w:pPr>
        <w:ind w:left="1620" w:hanging="315"/>
        <w:spacing w:after="0"/>
        <w:tabs>
          <w:tab w:leader="none" w:pos="1620" w:val="left"/>
        </w:tabs>
        <w:numPr>
          <w:ilvl w:val="0"/>
          <w:numId w:val="24"/>
        </w:numPr>
        <w:rPr>
          <w:rFonts w:ascii="Arial" w:cs="Arial" w:eastAsia="Arial" w:hAnsi="Arial"/>
          <w:sz w:val="36"/>
          <w:szCs w:val="36"/>
          <w:color w:val="auto"/>
          <w:vertAlign w:val="superscript"/>
        </w:rPr>
      </w:pPr>
      <w:r>
        <w:rPr>
          <w:rFonts w:ascii="Arial" w:cs="Arial" w:eastAsia="Arial" w:hAnsi="Arial"/>
          <w:sz w:val="18"/>
          <w:szCs w:val="18"/>
          <w:color w:val="auto"/>
        </w:rPr>
        <w:t>Percent of class: 9.76%</w:t>
      </w:r>
      <w:r>
        <w:rPr>
          <w:rFonts w:ascii="Arial" w:cs="Arial" w:eastAsia="Arial" w:hAnsi="Arial"/>
          <w:sz w:val="30"/>
          <w:szCs w:val="30"/>
          <w:color w:val="auto"/>
          <w:vertAlign w:val="superscript"/>
        </w:rPr>
        <w:t>1</w:t>
      </w:r>
    </w:p>
    <w:p>
      <w:pPr>
        <w:spacing w:after="0" w:line="78" w:lineRule="exact"/>
        <w:rPr>
          <w:rFonts w:ascii="Arial" w:cs="Arial" w:eastAsia="Arial" w:hAnsi="Arial"/>
          <w:sz w:val="36"/>
          <w:szCs w:val="36"/>
          <w:color w:val="auto"/>
          <w:vertAlign w:val="superscript"/>
        </w:rPr>
      </w:pPr>
    </w:p>
    <w:p>
      <w:pPr>
        <w:ind w:left="1620" w:hanging="315"/>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Shared power to vote or to direct the vote: 3,598,392</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3,598,392</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each of the Reporting Persons has ceased to be the beneficial owner of more than five percent of the class of securities, check the following o.</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4.</w:t>
      </w:r>
    </w:p>
    <w:p>
      <w:pPr>
        <w:spacing w:after="0" w:line="221" w:lineRule="exact"/>
        <w:rPr>
          <w:sz w:val="20"/>
          <w:szCs w:val="20"/>
          <w:color w:val="auto"/>
        </w:rPr>
      </w:pPr>
    </w:p>
    <w:p>
      <w:pPr>
        <w:ind w:left="1300" w:right="78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jc w:val="center"/>
        <w:ind w:right="7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3" w:right="2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392"/>
        </w:trPr>
        <w:tc>
          <w:tcPr>
            <w:tcW w:w="2440" w:type="dxa"/>
            <w:vAlign w:val="bottom"/>
            <w:tcBorders>
              <w:top w:val="single" w:sz="8" w:color="auto"/>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22"/>
                <w:szCs w:val="22"/>
                <w:color w:val="auto"/>
              </w:rPr>
              <w:t>CUSIP No. 98885E103</w:t>
            </w:r>
          </w:p>
        </w:tc>
        <w:tc>
          <w:tcPr>
            <w:tcW w:w="6940" w:type="dxa"/>
            <w:vAlign w:val="bottom"/>
            <w:tcBorders>
              <w:right w:val="single" w:sz="8" w:color="auto"/>
            </w:tcBorders>
          </w:tcPr>
          <w:p>
            <w:pPr>
              <w:ind w:left="3040"/>
              <w:spacing w:after="0"/>
              <w:rPr>
                <w:sz w:val="20"/>
                <w:szCs w:val="20"/>
                <w:color w:val="auto"/>
              </w:rPr>
            </w:pPr>
            <w:r>
              <w:rPr>
                <w:rFonts w:ascii="Arial" w:cs="Arial" w:eastAsia="Arial" w:hAnsi="Arial"/>
                <w:sz w:val="29"/>
                <w:szCs w:val="29"/>
                <w:b w:val="1"/>
                <w:bCs w:val="1"/>
                <w:color w:val="auto"/>
              </w:rPr>
              <w:t>13G/A</w:t>
            </w:r>
          </w:p>
        </w:tc>
        <w:tc>
          <w:tcPr>
            <w:tcW w:w="204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Page 8 of 9 Pages</w:t>
            </w:r>
          </w:p>
        </w:tc>
      </w:tr>
      <w:tr>
        <w:trPr>
          <w:trHeight w:val="426"/>
        </w:trPr>
        <w:tc>
          <w:tcPr>
            <w:tcW w:w="98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460" w:type="dxa"/>
            <w:vAlign w:val="bottom"/>
          </w:tcPr>
          <w:p>
            <w:pPr>
              <w:ind w:left="320"/>
              <w:spacing w:after="0"/>
              <w:rPr>
                <w:sz w:val="20"/>
                <w:szCs w:val="20"/>
                <w:color w:val="auto"/>
              </w:rPr>
            </w:pPr>
            <w:r>
              <w:rPr>
                <w:rFonts w:ascii="Arial" w:cs="Arial" w:eastAsia="Arial" w:hAnsi="Arial"/>
                <w:sz w:val="18"/>
                <w:szCs w:val="18"/>
                <w:b w:val="1"/>
                <w:bCs w:val="1"/>
                <w:color w:val="auto"/>
              </w:rPr>
              <w:t>Certification</w:t>
            </w:r>
          </w:p>
        </w:tc>
        <w:tc>
          <w:tcPr>
            <w:tcW w:w="694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3" w:right="2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392"/>
        </w:trPr>
        <w:tc>
          <w:tcPr>
            <w:tcW w:w="24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CUSIP No. 98885E103</w:t>
            </w:r>
          </w:p>
        </w:tc>
        <w:tc>
          <w:tcPr>
            <w:tcW w:w="6940" w:type="dxa"/>
            <w:vAlign w:val="bottom"/>
            <w:tcBorders>
              <w:right w:val="single" w:sz="8" w:color="auto"/>
            </w:tcBorders>
          </w:tcPr>
          <w:p>
            <w:pPr>
              <w:ind w:left="3040"/>
              <w:spacing w:after="0"/>
              <w:rPr>
                <w:sz w:val="20"/>
                <w:szCs w:val="20"/>
                <w:color w:val="auto"/>
              </w:rPr>
            </w:pPr>
            <w:r>
              <w:rPr>
                <w:rFonts w:ascii="Arial" w:cs="Arial" w:eastAsia="Arial" w:hAnsi="Arial"/>
                <w:sz w:val="29"/>
                <w:szCs w:val="29"/>
                <w:b w:val="1"/>
                <w:bCs w:val="1"/>
                <w:color w:val="auto"/>
              </w:rPr>
              <w:t>13G/A</w:t>
            </w:r>
          </w:p>
        </w:tc>
        <w:tc>
          <w:tcPr>
            <w:tcW w:w="204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Page 9 of 9 Pages</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2019</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GREAT POINT PARTNERS, LLC</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/s/ Dr. Jeffrey R. Jay, M.D.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Dr. Jeffrey R. Jay,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-130810</wp:posOffset>
            </wp:positionV>
            <wp:extent cx="26758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as senior managing member</w:t>
      </w:r>
    </w:p>
    <w:p>
      <w:pPr>
        <w:spacing w:after="0" w:line="21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 Dr. Jeffrey R. Jay, M.D.</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DR. JEFFREY R. JAY,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-130810</wp:posOffset>
            </wp:positionV>
            <wp:extent cx="2898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 Mr. David Kroin</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MR.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-130810</wp:posOffset>
            </wp:positionV>
            <wp:extent cx="2898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3"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u w:val="single" w:color="auto"/>
          <w:color w:val="auto"/>
        </w:rPr>
        <w:t>Exhibit A</w:t>
      </w:r>
    </w:p>
    <w:p>
      <w:pPr>
        <w:spacing w:after="0" w:line="221"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AGREEMENT REGARDING THE JOINT FILING OF SCHEDULE 13G/A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agree as follows:</w:t>
      </w:r>
    </w:p>
    <w:p>
      <w:pPr>
        <w:spacing w:after="0" w:line="225" w:lineRule="exact"/>
        <w:rPr>
          <w:sz w:val="20"/>
          <w:szCs w:val="20"/>
          <w:color w:val="auto"/>
        </w:rPr>
      </w:pPr>
    </w:p>
    <w:p>
      <w:pPr>
        <w:ind w:firstLine="656"/>
        <w:spacing w:after="0" w:line="277" w:lineRule="auto"/>
        <w:tabs>
          <w:tab w:leader="none" w:pos="11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of them is individually eligible to use the Schedule 13G/A to which this Exhibit is attached, and such Schedule 13G/A is filed on behalf of each of them; and</w:t>
      </w:r>
    </w:p>
    <w:p>
      <w:pPr>
        <w:spacing w:after="0" w:line="170" w:lineRule="exact"/>
        <w:rPr>
          <w:rFonts w:ascii="Arial" w:cs="Arial" w:eastAsia="Arial" w:hAnsi="Arial"/>
          <w:sz w:val="18"/>
          <w:szCs w:val="18"/>
          <w:color w:val="auto"/>
        </w:rPr>
      </w:pPr>
    </w:p>
    <w:p>
      <w:pPr>
        <w:jc w:val="both"/>
        <w:ind w:firstLine="656"/>
        <w:spacing w:after="0" w:line="286" w:lineRule="auto"/>
        <w:tabs>
          <w:tab w:leader="none" w:pos="1106" w:val="left"/>
        </w:tabs>
        <w:numPr>
          <w:ilvl w:val="0"/>
          <w:numId w:val="25"/>
        </w:numPr>
        <w:rPr>
          <w:rFonts w:ascii="Arial" w:cs="Arial" w:eastAsia="Arial" w:hAnsi="Arial"/>
          <w:sz w:val="17"/>
          <w:szCs w:val="17"/>
          <w:color w:val="auto"/>
        </w:rPr>
      </w:pPr>
      <w:r>
        <w:rPr>
          <w:rFonts w:ascii="Arial" w:cs="Arial" w:eastAsia="Arial" w:hAnsi="Arial"/>
          <w:sz w:val="17"/>
          <w:szCs w:val="17"/>
          <w:color w:val="auto"/>
        </w:rPr>
        <w:t>Each of them is responsible for the timely filing of such Schedule 13G/A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2019</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GREAT POINT PARTNERS, LLC</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/s/ Dr. Jeffrey R. Jay, M.D.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Dr. Jeffrey R. Jay,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-130810</wp:posOffset>
            </wp:positionV>
            <wp:extent cx="26758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as senior managing member</w:t>
      </w:r>
    </w:p>
    <w:p>
      <w:pPr>
        <w:spacing w:after="0" w:line="21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 Dr. Jeffrey R. Jay, M.D.</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DR. JEFFREY R. JAY,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-130810</wp:posOffset>
            </wp:positionV>
            <wp:extent cx="28987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 Mr. David Kroin</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MR.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-130810</wp:posOffset>
            </wp:positionV>
            <wp:extent cx="28987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4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decimal"/>
      <w:start w:val="1"/>
    </w:lvl>
    <w:lvl w:ilvl="1">
      <w:lvlJc w:val="left"/>
      <w:lvlText w:val="(%2)"/>
      <w:numFmt w:val="lowerLetter"/>
      <w:start w:val="1"/>
    </w:lvl>
  </w:abstractNum>
  <w:abstractNum w:abstractNumId="2">
    <w:nsid w:val="DED7263"/>
    <w:multiLevelType w:val="hybridMultilevel"/>
    <w:lvl w:ilvl="0">
      <w:lvlJc w:val="left"/>
      <w:lvlText w:val="%1."/>
      <w:numFmt w:val="decimal"/>
      <w:start w:val="9"/>
    </w:lvl>
  </w:abstractNum>
  <w:abstractNum w:abstractNumId="3">
    <w:nsid w:val="7FDCC233"/>
    <w:multiLevelType w:val="hybridMultilevel"/>
    <w:lvl w:ilvl="0">
      <w:lvlJc w:val="left"/>
      <w:lvlText w:val="%1."/>
      <w:numFmt w:val="decimal"/>
      <w:start w:val="11"/>
    </w:lvl>
  </w:abstractNum>
  <w:abstractNum w:abstractNumId="4">
    <w:nsid w:val="1BEFD79F"/>
    <w:multiLevelType w:val="hybridMultilevel"/>
    <w:lvl w:ilvl="0">
      <w:lvlJc w:val="left"/>
      <w:lvlText w:val="1"/>
      <w:numFmt w:val="bullet"/>
      <w:start w:val="1"/>
    </w:lvl>
  </w:abstractNum>
  <w:abstractNum w:abstractNumId="5">
    <w:nsid w:val="41A7C4C9"/>
    <w:multiLevelType w:val="hybridMultilevel"/>
    <w:lvl w:ilvl="0">
      <w:lvlJc w:val="left"/>
      <w:lvlText w:val="%1."/>
      <w:numFmt w:val="decimal"/>
      <w:start w:val="1"/>
    </w:lvl>
    <w:lvl w:ilvl="1">
      <w:lvlJc w:val="left"/>
      <w:lvlText w:val="(%2)"/>
      <w:numFmt w:val="lowerLetter"/>
      <w:start w:val="1"/>
    </w:lvl>
  </w:abstractNum>
  <w:abstractNum w:abstractNumId="6">
    <w:nsid w:val="6B68079A"/>
    <w:multiLevelType w:val="hybridMultilevel"/>
    <w:lvl w:ilvl="0">
      <w:lvlJc w:val="left"/>
      <w:lvlText w:val="%1."/>
      <w:numFmt w:val="decimal"/>
      <w:start w:val="9"/>
    </w:lvl>
  </w:abstractNum>
  <w:abstractNum w:abstractNumId="7">
    <w:nsid w:val="4E6AFB66"/>
    <w:multiLevelType w:val="hybridMultilevel"/>
    <w:lvl w:ilvl="0">
      <w:lvlJc w:val="left"/>
      <w:lvlText w:val="%1."/>
      <w:numFmt w:val="decimal"/>
      <w:start w:val="11"/>
    </w:lvl>
  </w:abstractNum>
  <w:abstractNum w:abstractNumId="8">
    <w:nsid w:val="25E45D32"/>
    <w:multiLevelType w:val="hybridMultilevel"/>
    <w:lvl w:ilvl="0">
      <w:lvlJc w:val="left"/>
      <w:lvlText w:val="%1."/>
      <w:numFmt w:val="decimal"/>
      <w:start w:val="1"/>
    </w:lvl>
    <w:lvl w:ilvl="1">
      <w:lvlJc w:val="left"/>
      <w:lvlText w:val="(%2)"/>
      <w:numFmt w:val="lowerLetter"/>
      <w:start w:val="1"/>
    </w:lvl>
  </w:abstractNum>
  <w:abstractNum w:abstractNumId="9">
    <w:nsid w:val="519B500D"/>
    <w:multiLevelType w:val="hybridMultilevel"/>
    <w:lvl w:ilvl="0">
      <w:lvlJc w:val="left"/>
      <w:lvlText w:val="%1."/>
      <w:numFmt w:val="decimal"/>
      <w:start w:val="9"/>
    </w:lvl>
  </w:abstractNum>
  <w:abstractNum w:abstractNumId="10">
    <w:nsid w:val="431BD7B7"/>
    <w:multiLevelType w:val="hybridMultilevel"/>
    <w:lvl w:ilvl="0">
      <w:lvlJc w:val="left"/>
      <w:lvlText w:val="%1."/>
      <w:numFmt w:val="decimal"/>
      <w:start w:val="11"/>
    </w:lvl>
  </w:abstractNum>
  <w:abstractNum w:abstractNumId="11">
    <w:nsid w:val="3F2DBA31"/>
    <w:multiLevelType w:val="hybridMultilevel"/>
    <w:lvl w:ilvl="0">
      <w:lvlJc w:val="left"/>
      <w:lvlText w:val="(%1)"/>
      <w:numFmt w:val="lowerLetter"/>
      <w:start w:val="1"/>
    </w:lvl>
  </w:abstractNum>
  <w:abstractNum w:abstractNumId="12">
    <w:nsid w:val="7C83E458"/>
    <w:multiLevelType w:val="hybridMultilevel"/>
    <w:lvl w:ilvl="0">
      <w:lvlJc w:val="left"/>
      <w:lvlText w:val="(%1)"/>
      <w:numFmt w:val="lowerLetter"/>
      <w:start w:val="1"/>
    </w:lvl>
  </w:abstractNum>
  <w:abstractNum w:abstractNumId="13">
    <w:nsid w:val="257130A3"/>
    <w:multiLevelType w:val="hybridMultilevel"/>
    <w:lvl w:ilvl="0">
      <w:lvlJc w:val="left"/>
      <w:lvlText w:val="(%1)"/>
      <w:numFmt w:val="lowerLetter"/>
      <w:start w:val="2"/>
    </w:lvl>
  </w:abstractNum>
  <w:abstractNum w:abstractNumId="14">
    <w:nsid w:val="62BBD95A"/>
    <w:multiLevelType w:val="hybridMultilevel"/>
    <w:lvl w:ilvl="0">
      <w:lvlJc w:val="left"/>
      <w:lvlText w:val="(%1)"/>
      <w:numFmt w:val="lowerLetter"/>
      <w:start w:val="3"/>
    </w:lvl>
  </w:abstractNum>
  <w:abstractNum w:abstractNumId="15">
    <w:nsid w:val="436C6125"/>
    <w:multiLevelType w:val="hybridMultilevel"/>
    <w:lvl w:ilvl="0">
      <w:lvlJc w:val="left"/>
      <w:lvlText w:val="(%1)"/>
      <w:numFmt w:val="lowerLetter"/>
      <w:start w:val="4"/>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lowerLetter"/>
      <w:start w:val="7"/>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lowerLetter"/>
      <w:start w:val="1"/>
    </w:lvl>
    <w:lvl w:ilvl="1">
      <w:lvlJc w:val="left"/>
      <w:lvlText w:val="(%2)"/>
      <w:numFmt w:val="lowerRoman"/>
      <w:start w:val="1"/>
    </w:lvl>
  </w:abstractNum>
  <w:abstractNum w:abstractNumId="20">
    <w:nsid w:val="2D1D5AE9"/>
    <w:multiLevelType w:val="hybridMultilevel"/>
    <w:lvl w:ilvl="0">
      <w:lvlJc w:val="left"/>
      <w:lvlText w:val="%1."/>
      <w:numFmt w:val="decimal"/>
      <w:start w:val="2"/>
    </w:lvl>
  </w:abstractNum>
  <w:abstractNum w:abstractNumId="21">
    <w:nsid w:val="6763845E"/>
    <w:multiLevelType w:val="hybridMultilevel"/>
    <w:lvl w:ilvl="0">
      <w:lvlJc w:val="left"/>
      <w:lvlText w:val="(%1)"/>
      <w:numFmt w:val="lowerLetter"/>
      <w:start w:val="1"/>
    </w:lvl>
    <w:lvl w:ilvl="1">
      <w:lvlJc w:val="left"/>
      <w:lvlText w:val="(%2)"/>
      <w:numFmt w:val="lowerRoman"/>
      <w:start w:val="1"/>
    </w:lvl>
  </w:abstractNum>
  <w:abstractNum w:abstractNumId="22">
    <w:nsid w:val="75A2A8D4"/>
    <w:multiLevelType w:val="hybridMultilevel"/>
    <w:lvl w:ilvl="0">
      <w:lvlJc w:val="left"/>
      <w:lvlText w:val="%1."/>
      <w:numFmt w:val="decimal"/>
      <w:start w:val="3"/>
    </w:lvl>
  </w:abstractNum>
  <w:abstractNum w:abstractNumId="23">
    <w:nsid w:val="8EDBDAB"/>
    <w:multiLevelType w:val="hybridMultilevel"/>
    <w:lvl w:ilvl="0">
      <w:lvlJc w:val="left"/>
      <w:lvlText w:val="(%1)"/>
      <w:numFmt w:val="lowerLetter"/>
      <w:start w:val="1"/>
    </w:lvl>
    <w:lvl w:ilvl="1">
      <w:lvlJc w:val="left"/>
      <w:lvlText w:val="(%2)"/>
      <w:numFmt w:val="lowerRoman"/>
      <w:start w:val="1"/>
    </w:lvl>
  </w:abstractNum>
  <w:abstractNum w:abstractNumId="24">
    <w:nsid w:val="79838C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2019-12-20T01:05:41Z</dcterms:created>
  <dcterms:modified xsi:type="dcterms:W3CDTF">2019-12-20T01:05:41Z</dcterms:modified>
</cp:coreProperties>
</file>