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Rule 13d-1(b)</w:t>
      </w:r>
    </w:p>
    <w:p>
      <w:pPr>
        <w:spacing w:after="0" w:line="229"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13d-1(c)</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25" w:lineRule="exact"/>
        <w:rPr>
          <w:sz w:val="24"/>
          <w:szCs w:val="24"/>
          <w:color w:val="auto"/>
        </w:rPr>
      </w:pPr>
    </w:p>
    <w:p>
      <w:pPr>
        <w:ind w:firstLine="8"/>
        <w:spacing w:after="0" w:line="277" w:lineRule="auto"/>
        <w:tabs>
          <w:tab w:leader="none" w:pos="13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400" w:hanging="74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Acuta Capital Partners, LLC</w:t>
      </w:r>
    </w:p>
    <w:p>
      <w:pPr>
        <w:spacing w:after="0" w:line="256" w:lineRule="exact"/>
        <w:rPr>
          <w:rFonts w:ascii="Arial" w:cs="Arial" w:eastAsia="Arial" w:hAnsi="Arial"/>
          <w:sz w:val="18"/>
          <w:szCs w:val="18"/>
          <w:color w:val="auto"/>
        </w:rPr>
      </w:pPr>
    </w:p>
    <w:p>
      <w:pPr>
        <w:ind w:left="1400" w:hanging="74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1640" w:hanging="242"/>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660" w:hanging="262"/>
        <w:spacing w:after="0"/>
        <w:tabs>
          <w:tab w:leader="none" w:pos="1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7" w:lineRule="exact"/>
        <w:rPr>
          <w:rFonts w:ascii="Arial" w:cs="Arial" w:eastAsia="Arial" w:hAnsi="Arial"/>
          <w:sz w:val="18"/>
          <w:szCs w:val="18"/>
          <w:color w:val="auto"/>
        </w:rPr>
      </w:pPr>
    </w:p>
    <w:p>
      <w:pPr>
        <w:ind w:left="1400" w:hanging="74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ind w:left="660"/>
              <w:spacing w:after="0"/>
              <w:rPr>
                <w:sz w:val="20"/>
                <w:szCs w:val="20"/>
                <w:color w:val="auto"/>
              </w:rPr>
            </w:pPr>
            <w:r>
              <w:rPr>
                <w:rFonts w:ascii="Arial" w:cs="Arial" w:eastAsia="Arial" w:hAnsi="Arial"/>
                <w:sz w:val="18"/>
                <w:szCs w:val="18"/>
                <w:color w:val="auto"/>
              </w:rPr>
              <w:t>4.</w:t>
            </w:r>
          </w:p>
        </w:tc>
        <w:tc>
          <w:tcPr>
            <w:tcW w:w="5440" w:type="dxa"/>
            <w:vAlign w:val="bottom"/>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4580" w:type="dxa"/>
            <w:vAlign w:val="bottom"/>
          </w:tcPr>
          <w:p>
            <w:pPr>
              <w:jc w:val="right"/>
              <w:ind w:right="1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428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4580" w:type="dxa"/>
            <w:vAlign w:val="bottom"/>
          </w:tcPr>
          <w:p>
            <w:pPr>
              <w:jc w:val="right"/>
              <w:ind w:right="33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5"/>
        </w:trPr>
        <w:tc>
          <w:tcPr>
            <w:tcW w:w="12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5" w:lineRule="exact"/>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5"/>
                <w:szCs w:val="15"/>
                <w:color w:val="auto"/>
              </w:rPr>
            </w:pPr>
          </w:p>
        </w:tc>
        <w:tc>
          <w:tcPr>
            <w:tcW w:w="420" w:type="dxa"/>
            <w:vAlign w:val="bottom"/>
          </w:tcPr>
          <w:p>
            <w:pPr>
              <w:jc w:val="right"/>
              <w:ind w:right="110"/>
              <w:spacing w:after="0" w:line="175" w:lineRule="exact"/>
              <w:rPr>
                <w:sz w:val="20"/>
                <w:szCs w:val="20"/>
                <w:color w:val="auto"/>
              </w:rPr>
            </w:pPr>
            <w:r>
              <w:rPr>
                <w:rFonts w:ascii="Arial" w:cs="Arial" w:eastAsia="Arial" w:hAnsi="Arial"/>
                <w:sz w:val="18"/>
                <w:szCs w:val="18"/>
                <w:color w:val="auto"/>
              </w:rPr>
              <w:t>6.</w:t>
            </w:r>
          </w:p>
        </w:tc>
        <w:tc>
          <w:tcPr>
            <w:tcW w:w="4280" w:type="dxa"/>
            <w:vAlign w:val="bottom"/>
          </w:tcPr>
          <w:p>
            <w:pPr>
              <w:ind w:left="220"/>
              <w:spacing w:after="0" w:line="175" w:lineRule="exact"/>
              <w:rPr>
                <w:sz w:val="20"/>
                <w:szCs w:val="20"/>
                <w:color w:val="auto"/>
              </w:rPr>
            </w:pPr>
            <w:r>
              <w:rPr>
                <w:rFonts w:ascii="Arial" w:cs="Arial" w:eastAsia="Arial" w:hAnsi="Arial"/>
                <w:sz w:val="18"/>
                <w:szCs w:val="18"/>
                <w:color w:val="auto"/>
              </w:rPr>
              <w:t>Shared Voting Power</w:t>
            </w:r>
          </w:p>
        </w:tc>
        <w:tc>
          <w:tcPr>
            <w:tcW w:w="4580" w:type="dxa"/>
            <w:vAlign w:val="bottom"/>
          </w:tcPr>
          <w:p>
            <w:pPr>
              <w:jc w:val="right"/>
              <w:ind w:right="3370"/>
              <w:spacing w:after="0" w:line="175" w:lineRule="exact"/>
              <w:rPr>
                <w:sz w:val="20"/>
                <w:szCs w:val="20"/>
                <w:color w:val="auto"/>
              </w:rPr>
            </w:pPr>
            <w:r>
              <w:rPr>
                <w:rFonts w:ascii="Arial" w:cs="Arial" w:eastAsia="Arial" w:hAnsi="Arial"/>
                <w:sz w:val="18"/>
                <w:szCs w:val="18"/>
                <w:b w:val="1"/>
                <w:bCs w:val="1"/>
                <w:color w:val="auto"/>
              </w:rPr>
              <w:t>863,100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2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160" w:type="dxa"/>
            <w:vAlign w:val="bottom"/>
            <w:gridSpan w:val="2"/>
          </w:tcPr>
          <w:p>
            <w:pPr>
              <w:spacing w:after="0"/>
              <w:rPr>
                <w:sz w:val="4"/>
                <w:szCs w:val="4"/>
                <w:color w:val="auto"/>
              </w:rPr>
            </w:pPr>
          </w:p>
        </w:tc>
        <w:tc>
          <w:tcPr>
            <w:tcW w:w="4280" w:type="dxa"/>
            <w:vAlign w:val="bottom"/>
          </w:tcPr>
          <w:p>
            <w:pPr>
              <w:spacing w:after="0"/>
              <w:rPr>
                <w:sz w:val="4"/>
                <w:szCs w:val="4"/>
                <w:color w:val="auto"/>
              </w:rPr>
            </w:pPr>
          </w:p>
        </w:tc>
        <w:tc>
          <w:tcPr>
            <w:tcW w:w="4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top w:val="single" w:sz="8" w:color="auto"/>
            </w:tcBorders>
          </w:tcPr>
          <w:p>
            <w:pPr>
              <w:jc w:val="right"/>
              <w:ind w:right="110"/>
              <w:spacing w:after="0" w:line="162" w:lineRule="exact"/>
              <w:rPr>
                <w:sz w:val="20"/>
                <w:szCs w:val="20"/>
                <w:color w:val="auto"/>
              </w:rPr>
            </w:pPr>
            <w:r>
              <w:rPr>
                <w:rFonts w:ascii="Arial" w:cs="Arial" w:eastAsia="Arial" w:hAnsi="Arial"/>
                <w:sz w:val="18"/>
                <w:szCs w:val="18"/>
                <w:color w:val="auto"/>
              </w:rPr>
              <w:t>7.</w:t>
            </w:r>
          </w:p>
        </w:tc>
        <w:tc>
          <w:tcPr>
            <w:tcW w:w="4280" w:type="dxa"/>
            <w:vAlign w:val="bottom"/>
            <w:tcBorders>
              <w:top w:val="single" w:sz="8" w:color="auto"/>
            </w:tcBorders>
          </w:tcPr>
          <w:p>
            <w:pPr>
              <w:ind w:left="220"/>
              <w:spacing w:after="0" w:line="162" w:lineRule="exact"/>
              <w:rPr>
                <w:sz w:val="20"/>
                <w:szCs w:val="20"/>
                <w:color w:val="auto"/>
              </w:rPr>
            </w:pPr>
            <w:r>
              <w:rPr>
                <w:rFonts w:ascii="Arial" w:cs="Arial" w:eastAsia="Arial" w:hAnsi="Arial"/>
                <w:sz w:val="18"/>
                <w:szCs w:val="18"/>
                <w:color w:val="auto"/>
              </w:rPr>
              <w:t>Sole Dispositive Power</w:t>
            </w:r>
          </w:p>
        </w:tc>
        <w:tc>
          <w:tcPr>
            <w:tcW w:w="4580" w:type="dxa"/>
            <w:vAlign w:val="bottom"/>
            <w:tcBorders>
              <w:top w:val="single" w:sz="8" w:color="auto"/>
            </w:tcBorders>
          </w:tcPr>
          <w:p>
            <w:pPr>
              <w:jc w:val="right"/>
              <w:ind w:right="3370"/>
              <w:spacing w:after="0" w:line="16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w w:val="96"/>
              </w:rPr>
              <w:t>Each Reporting</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2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280" w:type="dxa"/>
            <w:vAlign w:val="bottom"/>
            <w:tcBorders>
              <w:bottom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8.</w:t>
            </w:r>
          </w:p>
        </w:tc>
        <w:tc>
          <w:tcPr>
            <w:tcW w:w="42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4580" w:type="dxa"/>
            <w:vAlign w:val="bottom"/>
            <w:vMerge w:val="restart"/>
          </w:tcPr>
          <w:p>
            <w:pPr>
              <w:jc w:val="right"/>
              <w:ind w:right="3370"/>
              <w:spacing w:after="0"/>
              <w:rPr>
                <w:sz w:val="20"/>
                <w:szCs w:val="20"/>
                <w:color w:val="auto"/>
              </w:rPr>
            </w:pPr>
            <w:r>
              <w:rPr>
                <w:rFonts w:ascii="Arial" w:cs="Arial" w:eastAsia="Arial" w:hAnsi="Arial"/>
                <w:sz w:val="18"/>
                <w:szCs w:val="18"/>
                <w:b w:val="1"/>
                <w:bCs w:val="1"/>
                <w:color w:val="auto"/>
              </w:rPr>
              <w:t>863,100</w:t>
            </w:r>
          </w:p>
        </w:tc>
        <w:tc>
          <w:tcPr>
            <w:tcW w:w="0" w:type="dxa"/>
            <w:vAlign w:val="bottom"/>
          </w:tcPr>
          <w:p>
            <w:pPr>
              <w:spacing w:after="0"/>
              <w:rPr>
                <w:sz w:val="1"/>
                <w:szCs w:val="1"/>
                <w:color w:val="auto"/>
              </w:rPr>
            </w:pPr>
          </w:p>
        </w:tc>
      </w:tr>
      <w:tr>
        <w:trPr>
          <w:trHeight w:val="99"/>
        </w:trPr>
        <w:tc>
          <w:tcPr>
            <w:tcW w:w="1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4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22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gridSpan w:val="3"/>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9.</w:t>
            </w:r>
          </w:p>
        </w:tc>
        <w:tc>
          <w:tcPr>
            <w:tcW w:w="54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580" w:type="dxa"/>
            <w:vAlign w:val="bottom"/>
          </w:tcPr>
          <w:p>
            <w:pPr>
              <w:jc w:val="right"/>
              <w:spacing w:after="0"/>
              <w:rPr>
                <w:sz w:val="20"/>
                <w:szCs w:val="20"/>
                <w:color w:val="auto"/>
              </w:rPr>
            </w:pPr>
            <w:r>
              <w:rPr>
                <w:rFonts w:ascii="Arial" w:cs="Arial" w:eastAsia="Arial" w:hAnsi="Arial"/>
                <w:sz w:val="18"/>
                <w:szCs w:val="18"/>
                <w:b w:val="1"/>
                <w:bCs w:val="1"/>
                <w:color w:val="auto"/>
              </w:rPr>
              <w:t>863,100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4060" w:type="dxa"/>
            <w:vAlign w:val="bottom"/>
          </w:tcPr>
          <w:p>
            <w:pPr>
              <w:ind w:left="200"/>
              <w:spacing w:after="0"/>
              <w:rPr>
                <w:sz w:val="20"/>
                <w:szCs w:val="20"/>
                <w:color w:val="auto"/>
              </w:rPr>
            </w:pPr>
            <w:r>
              <w:rPr>
                <w:rFonts w:ascii="Arial" w:cs="Arial" w:eastAsia="Arial" w:hAnsi="Arial"/>
                <w:sz w:val="18"/>
                <w:szCs w:val="18"/>
                <w:color w:val="auto"/>
                <w:w w:val="91"/>
              </w:rPr>
              <w:t>Percent of Class Represented by Amount in Row (9)</w:t>
            </w: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23"/>
        </w:trPr>
        <w:tc>
          <w:tcPr>
            <w:tcW w:w="110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r>
      <w:tr>
        <w:trPr>
          <w:trHeight w:val="432"/>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4060" w:type="dxa"/>
            <w:vAlign w:val="bottom"/>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OO, IA</w:t>
            </w:r>
          </w:p>
        </w:tc>
      </w:tr>
      <w:tr>
        <w:trPr>
          <w:trHeight w:val="223"/>
        </w:trPr>
        <w:tc>
          <w:tcPr>
            <w:tcW w:w="110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r>
      <w:tr>
        <w:trPr>
          <w:trHeight w:val="439"/>
        </w:trPr>
        <w:tc>
          <w:tcPr>
            <w:tcW w:w="11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jc w:val="right"/>
              <w:ind w:right="5110"/>
              <w:spacing w:after="0"/>
              <w:rPr>
                <w:sz w:val="20"/>
                <w:szCs w:val="20"/>
                <w:color w:val="auto"/>
              </w:rPr>
            </w:pPr>
            <w:r>
              <w:rPr>
                <w:rFonts w:ascii="Arial" w:cs="Arial" w:eastAsia="Arial" w:hAnsi="Arial"/>
                <w:sz w:val="18"/>
                <w:szCs w:val="18"/>
                <w:color w:val="auto"/>
                <w:w w:val="93"/>
              </w:rPr>
              <w:t>Page 2 of 7</w:t>
            </w: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400" w:hanging="74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b w:val="1"/>
          <w:bCs w:val="1"/>
          <w:color w:val="auto"/>
        </w:rPr>
        <w:t>Anupam Dalal</w:t>
      </w:r>
    </w:p>
    <w:p>
      <w:pPr>
        <w:spacing w:after="0" w:line="256" w:lineRule="exact"/>
        <w:rPr>
          <w:rFonts w:ascii="Arial" w:cs="Arial" w:eastAsia="Arial" w:hAnsi="Arial"/>
          <w:sz w:val="18"/>
          <w:szCs w:val="18"/>
          <w:color w:val="auto"/>
        </w:rPr>
      </w:pPr>
    </w:p>
    <w:p>
      <w:pPr>
        <w:ind w:left="1400" w:hanging="74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rFonts w:ascii="Arial" w:cs="Arial" w:eastAsia="Arial" w:hAnsi="Arial"/>
          <w:sz w:val="18"/>
          <w:szCs w:val="18"/>
          <w:color w:val="auto"/>
        </w:rPr>
      </w:pPr>
    </w:p>
    <w:p>
      <w:pPr>
        <w:ind w:left="1640" w:hanging="242"/>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660" w:hanging="262"/>
        <w:spacing w:after="0"/>
        <w:tabs>
          <w:tab w:leader="none" w:pos="1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37" w:lineRule="exact"/>
        <w:rPr>
          <w:rFonts w:ascii="Arial" w:cs="Arial" w:eastAsia="Arial" w:hAnsi="Arial"/>
          <w:sz w:val="18"/>
          <w:szCs w:val="18"/>
          <w:color w:val="auto"/>
        </w:rPr>
      </w:pPr>
    </w:p>
    <w:p>
      <w:pPr>
        <w:ind w:left="1400" w:hanging="74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ind w:left="660"/>
              <w:spacing w:after="0"/>
              <w:rPr>
                <w:sz w:val="20"/>
                <w:szCs w:val="20"/>
                <w:color w:val="auto"/>
              </w:rPr>
            </w:pPr>
            <w:r>
              <w:rPr>
                <w:rFonts w:ascii="Arial" w:cs="Arial" w:eastAsia="Arial" w:hAnsi="Arial"/>
                <w:sz w:val="18"/>
                <w:szCs w:val="18"/>
                <w:color w:val="auto"/>
              </w:rPr>
              <w:t>4.</w:t>
            </w:r>
          </w:p>
        </w:tc>
        <w:tc>
          <w:tcPr>
            <w:tcW w:w="5440" w:type="dxa"/>
            <w:vAlign w:val="bottom"/>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4580" w:type="dxa"/>
            <w:vAlign w:val="bottom"/>
          </w:tcPr>
          <w:p>
            <w:pPr>
              <w:jc w:val="right"/>
              <w:ind w:right="10"/>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428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4580" w:type="dxa"/>
            <w:vAlign w:val="bottom"/>
          </w:tcPr>
          <w:p>
            <w:pPr>
              <w:jc w:val="right"/>
              <w:ind w:right="337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5"/>
        </w:trPr>
        <w:tc>
          <w:tcPr>
            <w:tcW w:w="12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line="175" w:lineRule="exact"/>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5"/>
                <w:szCs w:val="15"/>
                <w:color w:val="auto"/>
              </w:rPr>
            </w:pPr>
          </w:p>
        </w:tc>
        <w:tc>
          <w:tcPr>
            <w:tcW w:w="420" w:type="dxa"/>
            <w:vAlign w:val="bottom"/>
          </w:tcPr>
          <w:p>
            <w:pPr>
              <w:jc w:val="right"/>
              <w:ind w:right="110"/>
              <w:spacing w:after="0" w:line="175" w:lineRule="exact"/>
              <w:rPr>
                <w:sz w:val="20"/>
                <w:szCs w:val="20"/>
                <w:color w:val="auto"/>
              </w:rPr>
            </w:pPr>
            <w:r>
              <w:rPr>
                <w:rFonts w:ascii="Arial" w:cs="Arial" w:eastAsia="Arial" w:hAnsi="Arial"/>
                <w:sz w:val="18"/>
                <w:szCs w:val="18"/>
                <w:color w:val="auto"/>
              </w:rPr>
              <w:t>6.</w:t>
            </w:r>
          </w:p>
        </w:tc>
        <w:tc>
          <w:tcPr>
            <w:tcW w:w="4280" w:type="dxa"/>
            <w:vAlign w:val="bottom"/>
          </w:tcPr>
          <w:p>
            <w:pPr>
              <w:ind w:left="220"/>
              <w:spacing w:after="0" w:line="175" w:lineRule="exact"/>
              <w:rPr>
                <w:sz w:val="20"/>
                <w:szCs w:val="20"/>
                <w:color w:val="auto"/>
              </w:rPr>
            </w:pPr>
            <w:r>
              <w:rPr>
                <w:rFonts w:ascii="Arial" w:cs="Arial" w:eastAsia="Arial" w:hAnsi="Arial"/>
                <w:sz w:val="18"/>
                <w:szCs w:val="18"/>
                <w:color w:val="auto"/>
              </w:rPr>
              <w:t>Shared Voting Power</w:t>
            </w:r>
          </w:p>
        </w:tc>
        <w:tc>
          <w:tcPr>
            <w:tcW w:w="4580" w:type="dxa"/>
            <w:vAlign w:val="bottom"/>
          </w:tcPr>
          <w:p>
            <w:pPr>
              <w:jc w:val="right"/>
              <w:ind w:right="3370"/>
              <w:spacing w:after="0" w:line="175" w:lineRule="exact"/>
              <w:rPr>
                <w:sz w:val="20"/>
                <w:szCs w:val="20"/>
                <w:color w:val="auto"/>
              </w:rPr>
            </w:pPr>
            <w:r>
              <w:rPr>
                <w:rFonts w:ascii="Arial" w:cs="Arial" w:eastAsia="Arial" w:hAnsi="Arial"/>
                <w:sz w:val="18"/>
                <w:szCs w:val="18"/>
                <w:b w:val="1"/>
                <w:bCs w:val="1"/>
                <w:color w:val="auto"/>
              </w:rPr>
              <w:t>863,100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Beneficially</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2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1160" w:type="dxa"/>
            <w:vAlign w:val="bottom"/>
            <w:gridSpan w:val="2"/>
          </w:tcPr>
          <w:p>
            <w:pPr>
              <w:spacing w:after="0"/>
              <w:rPr>
                <w:sz w:val="4"/>
                <w:szCs w:val="4"/>
                <w:color w:val="auto"/>
              </w:rPr>
            </w:pPr>
          </w:p>
        </w:tc>
        <w:tc>
          <w:tcPr>
            <w:tcW w:w="4280" w:type="dxa"/>
            <w:vAlign w:val="bottom"/>
          </w:tcPr>
          <w:p>
            <w:pPr>
              <w:spacing w:after="0"/>
              <w:rPr>
                <w:sz w:val="4"/>
                <w:szCs w:val="4"/>
                <w:color w:val="auto"/>
              </w:rPr>
            </w:pPr>
          </w:p>
        </w:tc>
        <w:tc>
          <w:tcPr>
            <w:tcW w:w="4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top w:val="single" w:sz="8" w:color="auto"/>
            </w:tcBorders>
          </w:tcPr>
          <w:p>
            <w:pPr>
              <w:jc w:val="right"/>
              <w:ind w:right="110"/>
              <w:spacing w:after="0" w:line="162" w:lineRule="exact"/>
              <w:rPr>
                <w:sz w:val="20"/>
                <w:szCs w:val="20"/>
                <w:color w:val="auto"/>
              </w:rPr>
            </w:pPr>
            <w:r>
              <w:rPr>
                <w:rFonts w:ascii="Arial" w:cs="Arial" w:eastAsia="Arial" w:hAnsi="Arial"/>
                <w:sz w:val="18"/>
                <w:szCs w:val="18"/>
                <w:color w:val="auto"/>
              </w:rPr>
              <w:t>7.</w:t>
            </w:r>
          </w:p>
        </w:tc>
        <w:tc>
          <w:tcPr>
            <w:tcW w:w="4280" w:type="dxa"/>
            <w:vAlign w:val="bottom"/>
            <w:tcBorders>
              <w:top w:val="single" w:sz="8" w:color="auto"/>
            </w:tcBorders>
          </w:tcPr>
          <w:p>
            <w:pPr>
              <w:ind w:left="220"/>
              <w:spacing w:after="0" w:line="162" w:lineRule="exact"/>
              <w:rPr>
                <w:sz w:val="20"/>
                <w:szCs w:val="20"/>
                <w:color w:val="auto"/>
              </w:rPr>
            </w:pPr>
            <w:r>
              <w:rPr>
                <w:rFonts w:ascii="Arial" w:cs="Arial" w:eastAsia="Arial" w:hAnsi="Arial"/>
                <w:sz w:val="18"/>
                <w:szCs w:val="18"/>
                <w:color w:val="auto"/>
              </w:rPr>
              <w:t>Sole Dispositive Power</w:t>
            </w:r>
          </w:p>
        </w:tc>
        <w:tc>
          <w:tcPr>
            <w:tcW w:w="4580" w:type="dxa"/>
            <w:vAlign w:val="bottom"/>
            <w:tcBorders>
              <w:top w:val="single" w:sz="8" w:color="auto"/>
            </w:tcBorders>
          </w:tcPr>
          <w:p>
            <w:pPr>
              <w:jc w:val="right"/>
              <w:ind w:right="3370"/>
              <w:spacing w:after="0" w:line="16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w w:val="96"/>
              </w:rPr>
              <w:t>Each Reporting</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2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280" w:type="dxa"/>
            <w:vAlign w:val="bottom"/>
            <w:tcBorders>
              <w:bottom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8.</w:t>
            </w:r>
          </w:p>
        </w:tc>
        <w:tc>
          <w:tcPr>
            <w:tcW w:w="42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4580" w:type="dxa"/>
            <w:vAlign w:val="bottom"/>
            <w:vMerge w:val="restart"/>
          </w:tcPr>
          <w:p>
            <w:pPr>
              <w:jc w:val="right"/>
              <w:ind w:right="3370"/>
              <w:spacing w:after="0"/>
              <w:rPr>
                <w:sz w:val="20"/>
                <w:szCs w:val="20"/>
                <w:color w:val="auto"/>
              </w:rPr>
            </w:pPr>
            <w:r>
              <w:rPr>
                <w:rFonts w:ascii="Arial" w:cs="Arial" w:eastAsia="Arial" w:hAnsi="Arial"/>
                <w:sz w:val="18"/>
                <w:szCs w:val="18"/>
                <w:b w:val="1"/>
                <w:bCs w:val="1"/>
                <w:color w:val="auto"/>
              </w:rPr>
              <w:t>863,100</w:t>
            </w:r>
          </w:p>
        </w:tc>
        <w:tc>
          <w:tcPr>
            <w:tcW w:w="0" w:type="dxa"/>
            <w:vAlign w:val="bottom"/>
          </w:tcPr>
          <w:p>
            <w:pPr>
              <w:spacing w:after="0"/>
              <w:rPr>
                <w:sz w:val="1"/>
                <w:szCs w:val="1"/>
                <w:color w:val="auto"/>
              </w:rPr>
            </w:pPr>
          </w:p>
        </w:tc>
      </w:tr>
      <w:tr>
        <w:trPr>
          <w:trHeight w:val="99"/>
        </w:trPr>
        <w:tc>
          <w:tcPr>
            <w:tcW w:w="1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4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22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gridSpan w:val="3"/>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9.</w:t>
            </w:r>
          </w:p>
        </w:tc>
        <w:tc>
          <w:tcPr>
            <w:tcW w:w="54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580" w:type="dxa"/>
            <w:vAlign w:val="bottom"/>
          </w:tcPr>
          <w:p>
            <w:pPr>
              <w:jc w:val="right"/>
              <w:spacing w:after="0"/>
              <w:rPr>
                <w:sz w:val="20"/>
                <w:szCs w:val="20"/>
                <w:color w:val="auto"/>
              </w:rPr>
            </w:pPr>
            <w:r>
              <w:rPr>
                <w:rFonts w:ascii="Arial" w:cs="Arial" w:eastAsia="Arial" w:hAnsi="Arial"/>
                <w:sz w:val="18"/>
                <w:szCs w:val="18"/>
                <w:b w:val="1"/>
                <w:bCs w:val="1"/>
                <w:color w:val="auto"/>
              </w:rPr>
              <w:t>863,100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4060" w:type="dxa"/>
            <w:vAlign w:val="bottom"/>
          </w:tcPr>
          <w:p>
            <w:pPr>
              <w:ind w:left="200"/>
              <w:spacing w:after="0"/>
              <w:rPr>
                <w:sz w:val="20"/>
                <w:szCs w:val="20"/>
                <w:color w:val="auto"/>
              </w:rPr>
            </w:pPr>
            <w:r>
              <w:rPr>
                <w:rFonts w:ascii="Arial" w:cs="Arial" w:eastAsia="Arial" w:hAnsi="Arial"/>
                <w:sz w:val="18"/>
                <w:szCs w:val="18"/>
                <w:color w:val="auto"/>
                <w:w w:val="91"/>
              </w:rPr>
              <w:t>Percent of Class Represented by Amount in Row (9)</w:t>
            </w: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23"/>
        </w:trPr>
        <w:tc>
          <w:tcPr>
            <w:tcW w:w="110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r>
      <w:tr>
        <w:trPr>
          <w:trHeight w:val="432"/>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4060" w:type="dxa"/>
            <w:vAlign w:val="bottom"/>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IN, HC</w:t>
            </w:r>
          </w:p>
        </w:tc>
      </w:tr>
      <w:tr>
        <w:trPr>
          <w:trHeight w:val="223"/>
        </w:trPr>
        <w:tc>
          <w:tcPr>
            <w:tcW w:w="110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r>
      <w:tr>
        <w:trPr>
          <w:trHeight w:val="439"/>
        </w:trPr>
        <w:tc>
          <w:tcPr>
            <w:tcW w:w="11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jc w:val="right"/>
              <w:ind w:right="5110"/>
              <w:spacing w:after="0"/>
              <w:rPr>
                <w:sz w:val="20"/>
                <w:szCs w:val="20"/>
                <w:color w:val="auto"/>
              </w:rPr>
            </w:pPr>
            <w:r>
              <w:rPr>
                <w:rFonts w:ascii="Arial" w:cs="Arial" w:eastAsia="Arial" w:hAnsi="Arial"/>
                <w:sz w:val="18"/>
                <w:szCs w:val="18"/>
                <w:color w:val="auto"/>
                <w:w w:val="93"/>
              </w:rPr>
              <w:t>Page 3 of 7</w:t>
            </w: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517125100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500" w:hanging="750"/>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Larimar Therapeutics Inc.</w:t>
      </w: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500" w:hanging="750"/>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Three Bala Plaza East, Suite 506, Bala Cynwyd, PA 19004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wp:posOffset>
            </wp:positionV>
            <wp:extent cx="61893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-685165</wp:posOffset>
            </wp:positionV>
            <wp:extent cx="61893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500" w:hanging="750"/>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names of the persons filing this statement are:</w:t>
      </w:r>
    </w:p>
    <w:p>
      <w:pPr>
        <w:spacing w:after="0" w:line="22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Acuta Capital Partners LLC (“Acuta”) and Dr. Anupam Dalal (collectively, the “Filers”).</w:t>
      </w:r>
    </w:p>
    <w:p>
      <w:pPr>
        <w:spacing w:after="0" w:line="225"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6"/>
          <w:szCs w:val="16"/>
          <w:b w:val="1"/>
          <w:bCs w:val="1"/>
          <w:color w:val="auto"/>
        </w:rPr>
        <w:t>Each Filer disclaims beneficial ownership of the Stock except to the extent of that person’s pecuniary interest therein.</w:t>
      </w:r>
    </w:p>
    <w:p>
      <w:pPr>
        <w:spacing w:after="0" w:line="252" w:lineRule="exact"/>
        <w:rPr>
          <w:rFonts w:ascii="Arial" w:cs="Arial" w:eastAsia="Arial" w:hAnsi="Arial"/>
          <w:sz w:val="18"/>
          <w:szCs w:val="18"/>
          <w:color w:val="auto"/>
        </w:rPr>
      </w:pPr>
    </w:p>
    <w:p>
      <w:pPr>
        <w:ind w:left="1500" w:hanging="750"/>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business office of the Filers is located at:</w:t>
      </w:r>
    </w:p>
    <w:p>
      <w:pPr>
        <w:spacing w:after="0" w:line="22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1301 Shoreway Road, Suite 350, Belmont, CA 94002</w:t>
      </w:r>
    </w:p>
    <w:p>
      <w:pPr>
        <w:spacing w:after="0" w:line="229" w:lineRule="exact"/>
        <w:rPr>
          <w:rFonts w:ascii="Arial" w:cs="Arial" w:eastAsia="Arial" w:hAnsi="Arial"/>
          <w:sz w:val="18"/>
          <w:szCs w:val="18"/>
          <w:color w:val="auto"/>
        </w:rPr>
      </w:pPr>
    </w:p>
    <w:p>
      <w:pPr>
        <w:ind w:left="1500" w:hanging="750"/>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citizenship of Filers, see Item 4 of the cover sheet for each Filer.</w:t>
      </w:r>
    </w:p>
    <w:p>
      <w:pPr>
        <w:spacing w:after="0" w:line="221" w:lineRule="exact"/>
        <w:rPr>
          <w:rFonts w:ascii="Arial" w:cs="Arial" w:eastAsia="Arial" w:hAnsi="Arial"/>
          <w:sz w:val="18"/>
          <w:szCs w:val="18"/>
          <w:color w:val="auto"/>
        </w:rPr>
      </w:pPr>
    </w:p>
    <w:p>
      <w:pPr>
        <w:ind w:left="1500" w:hanging="750"/>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This statement relates to the Issuer’s shares of </w:t>
      </w:r>
      <w:r>
        <w:rPr>
          <w:rFonts w:ascii="Arial" w:cs="Arial" w:eastAsia="Arial" w:hAnsi="Arial"/>
          <w:sz w:val="18"/>
          <w:szCs w:val="18"/>
          <w:b w:val="1"/>
          <w:bCs w:val="1"/>
          <w:color w:val="auto"/>
        </w:rPr>
        <w:t>Common Stock, par value $0.001 per share</w:t>
      </w:r>
      <w:r>
        <w:rPr>
          <w:rFonts w:ascii="Arial" w:cs="Arial" w:eastAsia="Arial" w:hAnsi="Arial"/>
          <w:sz w:val="18"/>
          <w:szCs w:val="18"/>
          <w:color w:val="auto"/>
        </w:rPr>
        <w:t xml:space="preserve"> (the “Stock”).</w:t>
      </w:r>
    </w:p>
    <w:p>
      <w:pPr>
        <w:spacing w:after="0" w:line="225" w:lineRule="exact"/>
        <w:rPr>
          <w:rFonts w:ascii="Arial" w:cs="Arial" w:eastAsia="Arial" w:hAnsi="Arial"/>
          <w:sz w:val="18"/>
          <w:szCs w:val="18"/>
          <w:color w:val="auto"/>
        </w:rPr>
      </w:pPr>
    </w:p>
    <w:p>
      <w:pPr>
        <w:ind w:left="1500" w:hanging="750"/>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CUSIP number of the Issuer is: </w:t>
      </w:r>
      <w:r>
        <w:rPr>
          <w:rFonts w:ascii="Arial" w:cs="Arial" w:eastAsia="Arial" w:hAnsi="Arial"/>
          <w:sz w:val="18"/>
          <w:szCs w:val="18"/>
          <w:b w:val="1"/>
          <w:bCs w:val="1"/>
          <w:color w:val="auto"/>
        </w:rPr>
        <w:t>517125100.</w:t>
      </w:r>
    </w:p>
    <w:p>
      <w:pPr>
        <w:spacing w:after="0" w:line="25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229" w:right="10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517125100</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9" w:lineRule="exact"/>
        <w:rPr>
          <w:sz w:val="20"/>
          <w:szCs w:val="20"/>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 ]</w:t>
      </w:r>
      <w:r>
        <w:rPr>
          <w:rFonts w:ascii="Arial" w:cs="Arial" w:eastAsia="Arial" w:hAnsi="Arial"/>
          <w:sz w:val="16"/>
          <w:szCs w:val="16"/>
          <w:color w:val="auto"/>
        </w:rPr>
        <w:t>An investment adviser in accordance with section 240.13d-1(b)(1)(ii)(E) as to Acuta.</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section 240.13d-1(b)(1)(ii)(F).</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 ]</w:t>
      </w:r>
      <w:r>
        <w:rPr>
          <w:rFonts w:ascii="Arial" w:cs="Arial" w:eastAsia="Arial" w:hAnsi="Arial"/>
          <w:sz w:val="16"/>
          <w:szCs w:val="16"/>
          <w:color w:val="auto"/>
        </w:rPr>
        <w:t>A parent holding company or control person in accordance with 240.13d-1(b)(1)(ii)(G)</w:t>
      </w:r>
    </w:p>
    <w:p>
      <w:pPr>
        <w:spacing w:after="0" w:line="2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as to Dr. Dalal.</w:t>
      </w:r>
    </w:p>
    <w:p>
      <w:pPr>
        <w:spacing w:after="0" w:line="211" w:lineRule="exact"/>
        <w:rPr>
          <w:sz w:val="20"/>
          <w:szCs w:val="20"/>
          <w:color w:val="auto"/>
        </w:rPr>
      </w:pPr>
    </w:p>
    <w:p>
      <w:pPr>
        <w:ind w:left="1400" w:hanging="74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140" w:right="100" w:hanging="1484"/>
        <w:spacing w:after="0" w:line="277" w:lineRule="auto"/>
        <w:tabs>
          <w:tab w:leader="none" w:pos="13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section 240.13d-1(b)(1)(ii)(J).</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Items 5-9 and 11 of the cover page for each Filer.</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funds managed by Acuta hold the Stock for the benefit of their investors and have the right to receive or the power to direct the receipt of dividends from, or the proceeds from the sale of, the Stock.</w:t>
      </w:r>
    </w:p>
    <w:p>
      <w:pPr>
        <w:spacing w:after="0" w:line="166" w:lineRule="exact"/>
        <w:rPr>
          <w:sz w:val="20"/>
          <w:szCs w:val="20"/>
          <w:color w:val="auto"/>
        </w:rPr>
      </w:pPr>
    </w:p>
    <w:p>
      <w:pPr>
        <w:ind w:left="1400" w:right="100" w:hanging="1389"/>
        <w:spacing w:after="0" w:line="282" w:lineRule="auto"/>
        <w:tabs>
          <w:tab w:leader="none" w:pos="13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Acuta is the general partner and investment adviser of investment funds. Dr. Dalal is the control person of Acuta.</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left="660" w:right="2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Dated: February 16, 2021</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Acuta Capital Partners LLC</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9"/>
        </w:trPr>
        <w:tc>
          <w:tcPr>
            <w:tcW w:w="42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Scott R. Smith</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/s/ Anupam Dalal</w:t>
            </w:r>
          </w:p>
        </w:tc>
      </w:tr>
      <w:tr>
        <w:trPr>
          <w:trHeight w:val="234"/>
        </w:trPr>
        <w:tc>
          <w:tcPr>
            <w:tcW w:w="340" w:type="dxa"/>
            <w:vAlign w:val="bottom"/>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R. Smith, Chief Operating Officer</w:t>
            </w: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Anupam Dalal</w:t>
            </w:r>
          </w:p>
        </w:tc>
      </w:tr>
      <w:tr>
        <w:trPr>
          <w:trHeight w:val="421"/>
        </w:trPr>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color w:val="auto"/>
              </w:rPr>
              <w:t>Page 6 of 7</w:t>
            </w:r>
          </w:p>
        </w:tc>
      </w:tr>
    </w:tbl>
    <w:p>
      <w:pPr>
        <w:sectPr>
          <w:pgSz w:w="11900" w:h="16838" w:orient="portrait"/>
          <w:cols w:equalWidth="0" w:num="1">
            <w:col w:w="11240"/>
          </w:cols>
          <w:pgMar w:left="320" w:top="4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REGARDING JOINT FILING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STATEMENT ON SCHEDULE 13D OR 13G</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Acuta Capital Partners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Dated: February 16, 2021</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Acuta Capital Partners LLC</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9"/>
        </w:trPr>
        <w:tc>
          <w:tcPr>
            <w:tcW w:w="42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Scott R. Smith</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/s/ Anupam Dalal</w:t>
            </w:r>
          </w:p>
        </w:tc>
      </w:tr>
      <w:tr>
        <w:trPr>
          <w:trHeight w:val="234"/>
        </w:trPr>
        <w:tc>
          <w:tcPr>
            <w:tcW w:w="340" w:type="dxa"/>
            <w:vAlign w:val="bottom"/>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R. Smith, Chief Operating Officer</w:t>
            </w: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Anupam Dalal</w:t>
            </w:r>
          </w:p>
        </w:tc>
      </w:tr>
      <w:tr>
        <w:trPr>
          <w:trHeight w:val="421"/>
        </w:trPr>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color w:val="auto"/>
              </w:rPr>
              <w:t>Page 7 of 7</w:t>
            </w:r>
          </w:p>
        </w:tc>
      </w:tr>
    </w:tbl>
    <w:p>
      <w:pPr>
        <w:spacing w:after="0" w:line="1" w:lineRule="exact"/>
        <w:rPr>
          <w:sz w:val="20"/>
          <w:szCs w:val="20"/>
          <w:color w:val="auto"/>
        </w:rPr>
      </w:pP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2021-02-16T06:03:18Z</dcterms:created>
  <dcterms:modified xsi:type="dcterms:W3CDTF">2021-02-16T06:03:18Z</dcterms:modified>
</cp:coreProperties>
</file>