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As filed with the Securities and Exchange Commission on November 7, 2019</w:t>
      </w:r>
    </w:p>
    <w:p>
      <w:pPr>
        <w:spacing w:after="0" w:line="225" w:lineRule="exact"/>
        <w:rPr>
          <w:sz w:val="24"/>
          <w:szCs w:val="24"/>
          <w:color w:val="auto"/>
        </w:rPr>
      </w:pPr>
    </w:p>
    <w:p>
      <w:pPr>
        <w:ind w:left="8840"/>
        <w:spacing w:after="0"/>
        <w:rPr>
          <w:sz w:val="20"/>
          <w:szCs w:val="20"/>
          <w:color w:val="auto"/>
        </w:rPr>
      </w:pPr>
      <w:r>
        <w:rPr>
          <w:rFonts w:ascii="Arial" w:cs="Arial" w:eastAsia="Arial" w:hAnsi="Arial"/>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135255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3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REGISTRATION STATEMENT</w:t>
      </w:r>
    </w:p>
    <w:p>
      <w:pPr>
        <w:jc w:val="center"/>
        <w:ind w:right="20"/>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ZAFGEN,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227965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900" w:orient="portrait"/>
          <w:cols w:equalWidth="0" w:num="1">
            <w:col w:w="11040"/>
          </w:cols>
          <w:pgMar w:left="440" w:top="229" w:right="41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24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20-3857670</w:t>
      </w:r>
    </w:p>
    <w:p>
      <w:pPr>
        <w:spacing w:after="0" w:line="31" w:lineRule="exact"/>
        <w:rPr>
          <w:sz w:val="24"/>
          <w:szCs w:val="24"/>
          <w:color w:val="auto"/>
        </w:rPr>
      </w:pPr>
    </w:p>
    <w:p>
      <w:pPr>
        <w:sectPr>
          <w:pgSz w:w="11900" w:h="16900" w:orient="portrait"/>
          <w:cols w:equalWidth="0" w:num="2">
            <w:col w:w="7200" w:space="720"/>
            <w:col w:w="3120"/>
          </w:cols>
          <w:pgMar w:left="440" w:top="229" w:right="419" w:bottom="0" w:gutter="0" w:footer="0" w:header="0"/>
          <w:type w:val="continuous"/>
        </w:sectPr>
      </w:pPr>
    </w:p>
    <w:p>
      <w:pPr>
        <w:spacing w:after="0" w:line="12" w:lineRule="exact"/>
        <w:rPr>
          <w:sz w:val="24"/>
          <w:szCs w:val="24"/>
          <w:color w:val="auto"/>
        </w:rPr>
      </w:pPr>
    </w:p>
    <w:p>
      <w:pPr>
        <w:ind w:left="1860"/>
        <w:spacing w:after="0"/>
        <w:rPr>
          <w:sz w:val="20"/>
          <w:szCs w:val="20"/>
          <w:color w:val="auto"/>
        </w:rPr>
      </w:pPr>
      <w:r>
        <w:rPr>
          <w:rFonts w:ascii="Arial" w:cs="Arial" w:eastAsia="Arial" w:hAnsi="Arial"/>
          <w:sz w:val="13"/>
          <w:szCs w:val="13"/>
          <w:b w:val="1"/>
          <w:bCs w:val="1"/>
          <w:color w:val="auto"/>
        </w:rPr>
        <w:t>(State or Other Jurisdiction of</w:t>
      </w:r>
    </w:p>
    <w:p>
      <w:pPr>
        <w:ind w:left="182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900" w:orient="portrait"/>
          <w:cols w:equalWidth="0" w:num="2">
            <w:col w:w="7060" w:space="720"/>
            <w:col w:w="3260"/>
          </w:cols>
          <w:pgMar w:left="440" w:top="229" w:right="419" w:bottom="0" w:gutter="0" w:footer="0" w:header="0"/>
          <w:type w:val="continuous"/>
        </w:sectPr>
      </w:pPr>
    </w:p>
    <w:p>
      <w:pPr>
        <w:spacing w:after="0" w:line="23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3 Center Plaza, Suite 610</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Boston, Massachusetts 02108</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(617) 622-4003</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(Address of Principal Executive Offices)</w:t>
      </w:r>
    </w:p>
    <w:p>
      <w:pPr>
        <w:sectPr>
          <w:pgSz w:w="11900" w:h="16900" w:orient="portrait"/>
          <w:cols w:equalWidth="0" w:num="1">
            <w:col w:w="11040"/>
          </w:cols>
          <w:pgMar w:left="440" w:top="229" w:right="419" w:bottom="0" w:gutter="0" w:footer="0" w:header="0"/>
          <w:type w:val="continuous"/>
        </w:sectPr>
      </w:pPr>
    </w:p>
    <w:p>
      <w:pPr>
        <w:spacing w:after="0" w:line="21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Zafgen, Inc. Non-Qualified Stock Option Agreements for Inducement Awards</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(Full Title of the Plans)</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Jeffrey S. Hatfield</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Zafgen, Inc.</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3 Center Plaza, Suite 610</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Boston, Massachusetts 02108</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Copy to:</w:t>
      </w:r>
    </w:p>
    <w:p>
      <w:pPr>
        <w:spacing w:after="0" w:line="22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Mitchell S. Bloom, Esq.</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Danielle M. Lauzon, Esq.</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Goodwin Procter LLP</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100 Northern Avenue</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Boston, Massachusetts 02210</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(617) 570-1000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237490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69" w:lineRule="exact"/>
        <w:rPr>
          <w:sz w:val="24"/>
          <w:szCs w:val="24"/>
          <w:color w:val="auto"/>
        </w:rPr>
      </w:pPr>
    </w:p>
    <w:p>
      <w:pPr>
        <w:ind w:right="12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52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20" w:type="dxa"/>
            <w:vAlign w:val="bottom"/>
          </w:tcPr>
          <w:p>
            <w:pPr>
              <w:spacing w:after="0"/>
              <w:rPr>
                <w:sz w:val="20"/>
                <w:szCs w:val="20"/>
                <w:color w:val="auto"/>
              </w:rPr>
            </w:pPr>
            <w:r>
              <w:rPr>
                <w:rFonts w:ascii="Arial" w:cs="Arial" w:eastAsia="Arial" w:hAnsi="Arial"/>
                <w:sz w:val="18"/>
                <w:szCs w:val="18"/>
                <w:color w:val="auto"/>
              </w:rPr>
              <w:t>Non-accelerated filer</w:t>
            </w:r>
          </w:p>
        </w:tc>
        <w:tc>
          <w:tcPr>
            <w:tcW w:w="352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w w:val="98"/>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Arial" w:cs="Arial" w:eastAsia="Arial" w:hAnsi="Arial"/>
                <w:sz w:val="18"/>
                <w:szCs w:val="18"/>
                <w:color w:val="auto"/>
                <w:w w:val="99"/>
              </w:rPr>
              <w:t>Emerging growth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210820</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CALCULATION OF REGISTRATION FEE</w:t>
      </w:r>
    </w:p>
    <w:p>
      <w:pPr>
        <w:spacing w:after="0" w:line="88"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88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88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Title of Securities</w:t>
            </w:r>
          </w:p>
        </w:tc>
        <w:tc>
          <w:tcPr>
            <w:tcW w:w="154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to be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7"/>
              </w:rPr>
              <w:t>Offering Price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Aggregate</w:t>
            </w: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to 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Registered (1)</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per Share</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Offering Price</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Registration Fee</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880" w:type="dxa"/>
            <w:vAlign w:val="bottom"/>
            <w:tcBorders>
              <w:right w:val="single" w:sz="8" w:color="auto"/>
            </w:tcBorders>
          </w:tcPr>
          <w:p>
            <w:pPr>
              <w:spacing w:after="0" w:line="199" w:lineRule="exact"/>
              <w:rPr>
                <w:sz w:val="20"/>
                <w:szCs w:val="20"/>
                <w:color w:val="auto"/>
              </w:rPr>
            </w:pPr>
            <w:r>
              <w:rPr>
                <w:rFonts w:ascii="Arial" w:cs="Arial" w:eastAsia="Arial" w:hAnsi="Arial"/>
                <w:sz w:val="18"/>
                <w:szCs w:val="18"/>
                <w:color w:val="auto"/>
              </w:rPr>
              <w:t>Common Stock, $0.001 par value per share</w:t>
            </w:r>
          </w:p>
        </w:tc>
        <w:tc>
          <w:tcPr>
            <w:tcW w:w="1540" w:type="dxa"/>
            <w:vAlign w:val="bottom"/>
            <w:tcBorders>
              <w:right w:val="single" w:sz="8" w:color="auto"/>
            </w:tcBorders>
          </w:tcPr>
          <w:p>
            <w:pPr>
              <w:jc w:val="center"/>
              <w:spacing w:after="0" w:line="199" w:lineRule="exact"/>
              <w:rPr>
                <w:sz w:val="20"/>
                <w:szCs w:val="20"/>
                <w:color w:val="auto"/>
              </w:rPr>
            </w:pPr>
            <w:r>
              <w:rPr>
                <w:rFonts w:ascii="Arial" w:cs="Arial" w:eastAsia="Arial" w:hAnsi="Arial"/>
                <w:sz w:val="18"/>
                <w:szCs w:val="18"/>
                <w:color w:val="auto"/>
                <w:w w:val="88"/>
              </w:rPr>
              <w:t>375,000 shares(2)</w:t>
            </w:r>
          </w:p>
        </w:tc>
        <w:tc>
          <w:tcPr>
            <w:tcW w:w="1540" w:type="dxa"/>
            <w:vAlign w:val="bottom"/>
            <w:tcBorders>
              <w:right w:val="single" w:sz="8" w:color="auto"/>
            </w:tcBorders>
          </w:tcPr>
          <w:p>
            <w:pPr>
              <w:jc w:val="center"/>
              <w:spacing w:after="0" w:line="199" w:lineRule="exact"/>
              <w:rPr>
                <w:sz w:val="20"/>
                <w:szCs w:val="20"/>
                <w:color w:val="auto"/>
              </w:rPr>
            </w:pPr>
            <w:r>
              <w:rPr>
                <w:rFonts w:ascii="Arial" w:cs="Arial" w:eastAsia="Arial" w:hAnsi="Arial"/>
                <w:sz w:val="18"/>
                <w:szCs w:val="18"/>
                <w:color w:val="auto"/>
                <w:w w:val="93"/>
              </w:rPr>
              <w:t>$2.89</w:t>
            </w:r>
          </w:p>
        </w:tc>
        <w:tc>
          <w:tcPr>
            <w:tcW w:w="1540" w:type="dxa"/>
            <w:vAlign w:val="bottom"/>
            <w:tcBorders>
              <w:right w:val="single" w:sz="8" w:color="auto"/>
            </w:tcBorders>
          </w:tcPr>
          <w:p>
            <w:pPr>
              <w:jc w:val="center"/>
              <w:spacing w:after="0" w:line="199" w:lineRule="exact"/>
              <w:rPr>
                <w:sz w:val="20"/>
                <w:szCs w:val="20"/>
                <w:color w:val="auto"/>
              </w:rPr>
            </w:pPr>
            <w:r>
              <w:rPr>
                <w:rFonts w:ascii="Arial" w:cs="Arial" w:eastAsia="Arial" w:hAnsi="Arial"/>
                <w:sz w:val="18"/>
                <w:szCs w:val="18"/>
                <w:color w:val="auto"/>
                <w:w w:val="90"/>
              </w:rPr>
              <w:t>$1,083,750(3)</w:t>
            </w:r>
          </w:p>
        </w:tc>
        <w:tc>
          <w:tcPr>
            <w:tcW w:w="1520" w:type="dxa"/>
            <w:vAlign w:val="bottom"/>
          </w:tcPr>
          <w:p>
            <w:pPr>
              <w:jc w:val="center"/>
              <w:spacing w:after="0" w:line="199" w:lineRule="exact"/>
              <w:rPr>
                <w:sz w:val="20"/>
                <w:szCs w:val="20"/>
                <w:color w:val="auto"/>
              </w:rPr>
            </w:pPr>
            <w:r>
              <w:rPr>
                <w:rFonts w:ascii="Arial" w:cs="Arial" w:eastAsia="Arial" w:hAnsi="Arial"/>
                <w:sz w:val="18"/>
                <w:szCs w:val="18"/>
                <w:color w:val="auto"/>
                <w:w w:val="89"/>
              </w:rPr>
              <w:t>$140.67</w:t>
            </w:r>
          </w:p>
        </w:tc>
        <w:tc>
          <w:tcPr>
            <w:tcW w:w="0" w:type="dxa"/>
            <w:vAlign w:val="bottom"/>
          </w:tcPr>
          <w:p>
            <w:pPr>
              <w:spacing w:after="0"/>
              <w:rPr>
                <w:sz w:val="1"/>
                <w:szCs w:val="1"/>
                <w:color w:val="auto"/>
              </w:rPr>
            </w:pPr>
          </w:p>
        </w:tc>
      </w:tr>
    </w:tbl>
    <w:p>
      <w:pPr>
        <w:sectPr>
          <w:pgSz w:w="11900" w:h="16900" w:orient="portrait"/>
          <w:cols w:equalWidth="0" w:num="1">
            <w:col w:w="11040"/>
          </w:cols>
          <w:pgMar w:left="440" w:top="229" w:right="419" w:bottom="0" w:gutter="0" w:footer="0" w:header="0"/>
          <w:type w:val="continuous"/>
        </w:sectPr>
      </w:pPr>
    </w:p>
    <w:bookmarkStart w:id="1" w:name="page2"/>
    <w:bookmarkEnd w:id="1"/>
    <w:p>
      <w:pPr>
        <w:ind w:left="436" w:hanging="436"/>
        <w:spacing w:after="0" w:line="253" w:lineRule="auto"/>
        <w:tabs>
          <w:tab w:leader="none" w:pos="436" w:val="left"/>
        </w:tabs>
        <w:numPr>
          <w:ilvl w:val="0"/>
          <w:numId w:val="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286385</wp:posOffset>
            </wp:positionH>
            <wp:positionV relativeFrom="page">
              <wp:posOffset>88900</wp:posOffset>
            </wp:positionV>
            <wp:extent cx="699770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26035"/>
                    </a:xfrm>
                    <a:prstGeom prst="rect">
                      <a:avLst/>
                    </a:prstGeom>
                    <a:noFill/>
                  </pic:spPr>
                </pic:pic>
              </a:graphicData>
            </a:graphic>
          </wp:anchor>
        </w:drawing>
        <w:t>Pursuant to Rule 416 under the Securities Act of 1933, as amended (the “Securities Act”), this registration statement on Form S-8 (this “Registration Statement”) shall also cover any additional shares of common stock, par value $0.001 per share (the “Common Stock”), of Zafgen, Inc. (the “Registrant”) that may from time to time be offered or issued by reason of any stock dividend, stock split, recapitalization or any other similar transaction effected without the receipt of consideration which results in an increase in the number of the Registrant’s outstanding shares of Common Stock.</w:t>
      </w:r>
    </w:p>
    <w:p>
      <w:pPr>
        <w:spacing w:after="0" w:line="3" w:lineRule="exact"/>
        <w:rPr>
          <w:rFonts w:ascii="Arial" w:cs="Arial" w:eastAsia="Arial" w:hAnsi="Arial"/>
          <w:sz w:val="18"/>
          <w:szCs w:val="18"/>
          <w:color w:val="auto"/>
        </w:rPr>
      </w:pPr>
    </w:p>
    <w:p>
      <w:pPr>
        <w:jc w:val="both"/>
        <w:ind w:left="436" w:right="220" w:hanging="436"/>
        <w:spacing w:after="0" w:line="250" w:lineRule="auto"/>
        <w:tabs>
          <w:tab w:leader="none" w:pos="436"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shares of Registrant’s Common Stock available for future issuance upon the exercise of stock option award granted on April 2, 2019 outside of the Registrant’s employee equity compensation plans to certain individuals to induce such individuals to accept employment with the Registrant.</w:t>
      </w:r>
    </w:p>
    <w:p>
      <w:pPr>
        <w:spacing w:after="0" w:line="1" w:lineRule="exact"/>
        <w:rPr>
          <w:rFonts w:ascii="Arial" w:cs="Arial" w:eastAsia="Arial" w:hAnsi="Arial"/>
          <w:sz w:val="18"/>
          <w:szCs w:val="18"/>
          <w:color w:val="auto"/>
        </w:rPr>
      </w:pPr>
    </w:p>
    <w:p>
      <w:pPr>
        <w:ind w:left="436" w:right="520" w:hanging="436"/>
        <w:spacing w:after="0" w:line="323" w:lineRule="auto"/>
        <w:tabs>
          <w:tab w:leader="none" w:pos="436" w:val="left"/>
        </w:tabs>
        <w:numPr>
          <w:ilvl w:val="0"/>
          <w:numId w:val="1"/>
        </w:numPr>
        <w:rPr>
          <w:rFonts w:ascii="Arial" w:cs="Arial" w:eastAsia="Arial" w:hAnsi="Arial"/>
          <w:sz w:val="16"/>
          <w:szCs w:val="16"/>
          <w:color w:val="auto"/>
        </w:rPr>
      </w:pPr>
      <w:r>
        <w:rPr>
          <w:rFonts w:ascii="Arial" w:cs="Arial" w:eastAsia="Arial" w:hAnsi="Arial"/>
          <w:sz w:val="16"/>
          <w:szCs w:val="16"/>
          <w:color w:val="auto"/>
        </w:rPr>
        <w:t>In accordance with Rule 457(h) under the Securities Act, the proposed maximum aggregate offering prices for the shares of the Registrant’s Common Stock have been computed based upon the prices at which the inducement options described above may be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106045</wp:posOffset>
            </wp:positionV>
            <wp:extent cx="6997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148590</wp:posOffset>
            </wp:positionV>
            <wp:extent cx="6997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16"/>
          </w:cols>
          <w:pgMar w:left="444" w:top="179" w:right="4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121"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This Registration Statement on Form S-8 is being filed for the purpose of registering 375,000 shares of the Registrant’s Common Stock issuable under previously announced inducement stock option award granted on April 2, 2019.</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29"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The information called for in Part I of Form S-8 is not being filed with or included in this Registration Statement (by incorporation by reference or otherwise) in accordance with the rules and regulations of the Securities and Exchange Commission (the “Commission”).</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121" w:lineRule="exact"/>
        <w:rPr>
          <w:sz w:val="20"/>
          <w:szCs w:val="20"/>
          <w:color w:val="auto"/>
        </w:rPr>
      </w:pPr>
    </w:p>
    <w:p>
      <w:pPr>
        <w:ind w:right="280" w:firstLine="441"/>
        <w:spacing w:after="0" w:line="264" w:lineRule="auto"/>
        <w:rPr>
          <w:sz w:val="20"/>
          <w:szCs w:val="20"/>
          <w:color w:val="auto"/>
        </w:rPr>
      </w:pPr>
      <w:r>
        <w:rPr>
          <w:rFonts w:ascii="Arial" w:cs="Arial" w:eastAsia="Arial" w:hAnsi="Arial"/>
          <w:sz w:val="18"/>
          <w:szCs w:val="18"/>
          <w:color w:val="auto"/>
        </w:rPr>
        <w:t>The following documents, which have been filed with the Commission by the Registrant, pursuant to the Securities Act and the Securities Exchange Act of 1934, as amended (the “Exchange Act”), as applicable, are hereby incorporated by reference in, and shall be deemed to be a part of, this Registration Statement:</w:t>
      </w:r>
    </w:p>
    <w:p>
      <w:pPr>
        <w:spacing w:after="0" w:line="87" w:lineRule="exact"/>
        <w:rPr>
          <w:sz w:val="20"/>
          <w:szCs w:val="20"/>
          <w:color w:val="auto"/>
        </w:rPr>
      </w:pPr>
    </w:p>
    <w:p>
      <w:pPr>
        <w:ind w:left="980" w:hanging="436"/>
        <w:spacing w:after="0"/>
        <w:tabs>
          <w:tab w:leader="none" w:pos="980" w:val="left"/>
        </w:tabs>
        <w:numPr>
          <w:ilvl w:val="0"/>
          <w:numId w:val="2"/>
        </w:numPr>
        <w:rPr>
          <w:rFonts w:ascii="Arial" w:cs="Arial" w:eastAsia="Arial" w:hAnsi="Arial"/>
          <w:sz w:val="17"/>
          <w:szCs w:val="17"/>
          <w:color w:val="auto"/>
        </w:rPr>
      </w:pPr>
      <w:r>
        <w:rPr>
          <w:rFonts w:ascii="Arial" w:cs="Arial" w:eastAsia="Arial" w:hAnsi="Arial"/>
          <w:sz w:val="17"/>
          <w:szCs w:val="17"/>
          <w:color w:val="auto"/>
        </w:rPr>
        <w:t xml:space="preserve">The Registrant’s Annual Report on </w:t>
      </w:r>
      <w:hyperlink r:id="rId20">
        <w:r>
          <w:rPr>
            <w:rFonts w:ascii="Arial" w:cs="Arial" w:eastAsia="Arial" w:hAnsi="Arial"/>
            <w:sz w:val="17"/>
            <w:szCs w:val="17"/>
            <w:u w:val="single" w:color="auto"/>
            <w:color w:val="0000EE"/>
          </w:rPr>
          <w:t>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the year ended December 31, 2018, filed with the Commission on March 14, 2019.</w:t>
      </w:r>
    </w:p>
    <w:p>
      <w:pPr>
        <w:spacing w:after="0" w:line="142" w:lineRule="exact"/>
        <w:rPr>
          <w:rFonts w:ascii="Arial" w:cs="Arial" w:eastAsia="Arial" w:hAnsi="Arial"/>
          <w:sz w:val="17"/>
          <w:szCs w:val="17"/>
          <w:color w:val="auto"/>
        </w:rPr>
      </w:pPr>
    </w:p>
    <w:p>
      <w:pPr>
        <w:ind w:left="980" w:hanging="436"/>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Registrant’s Proxy Statement on </w:t>
      </w:r>
      <w:hyperlink r:id="rId21">
        <w:r>
          <w:rPr>
            <w:rFonts w:ascii="Arial" w:cs="Arial" w:eastAsia="Arial" w:hAnsi="Arial"/>
            <w:sz w:val="18"/>
            <w:szCs w:val="18"/>
            <w:u w:val="single" w:color="auto"/>
            <w:color w:val="0000EE"/>
          </w:rPr>
          <w:t>Schedule 14A</w:t>
        </w:r>
      </w:hyperlink>
      <w:r>
        <w:rPr>
          <w:rFonts w:ascii="Arial" w:cs="Arial" w:eastAsia="Arial" w:hAnsi="Arial"/>
          <w:sz w:val="18"/>
          <w:szCs w:val="18"/>
          <w:color w:val="auto"/>
        </w:rPr>
        <w:t>, filed with the Commission on April 26, 2019.</w:t>
      </w:r>
    </w:p>
    <w:p>
      <w:pPr>
        <w:spacing w:after="0" w:line="130" w:lineRule="exact"/>
        <w:rPr>
          <w:rFonts w:ascii="Arial" w:cs="Arial" w:eastAsia="Arial" w:hAnsi="Arial"/>
          <w:sz w:val="18"/>
          <w:szCs w:val="18"/>
          <w:color w:val="auto"/>
        </w:rPr>
      </w:pPr>
    </w:p>
    <w:p>
      <w:pPr>
        <w:ind w:left="980" w:right="40" w:hanging="436"/>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Registrant’s Quarterly Reports on Form 10-Q for the quarter ended </w:t>
      </w:r>
      <w:hyperlink r:id="rId22">
        <w:r>
          <w:rPr>
            <w:rFonts w:ascii="Arial" w:cs="Arial" w:eastAsia="Arial" w:hAnsi="Arial"/>
            <w:sz w:val="18"/>
            <w:szCs w:val="18"/>
            <w:u w:val="single" w:color="auto"/>
            <w:color w:val="0000EE"/>
          </w:rPr>
          <w:t>March 31, 2019</w:t>
        </w:r>
      </w:hyperlink>
      <w:r>
        <w:rPr>
          <w:rFonts w:ascii="Arial" w:cs="Arial" w:eastAsia="Arial" w:hAnsi="Arial"/>
          <w:sz w:val="18"/>
          <w:szCs w:val="18"/>
          <w:color w:val="auto"/>
        </w:rPr>
        <w:t xml:space="preserve">, </w:t>
      </w:r>
      <w:hyperlink r:id="rId23">
        <w:r>
          <w:rPr>
            <w:rFonts w:ascii="Arial" w:cs="Arial" w:eastAsia="Arial" w:hAnsi="Arial"/>
            <w:sz w:val="18"/>
            <w:szCs w:val="18"/>
            <w:u w:val="single" w:color="auto"/>
            <w:color w:val="0000EE"/>
          </w:rPr>
          <w:t>June 30,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24">
        <w:r>
          <w:rPr>
            <w:rFonts w:ascii="Arial" w:cs="Arial" w:eastAsia="Arial" w:hAnsi="Arial"/>
            <w:sz w:val="18"/>
            <w:szCs w:val="18"/>
            <w:u w:val="single" w:color="auto"/>
            <w:color w:val="0000EE"/>
          </w:rPr>
          <w:t>September 30,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with the Commission on May 9, 2019, August 8, 2019 and November 6, 2019 respectively.</w:t>
      </w:r>
    </w:p>
    <w:p>
      <w:pPr>
        <w:spacing w:after="0" w:line="75" w:lineRule="exact"/>
        <w:rPr>
          <w:rFonts w:ascii="Arial" w:cs="Arial" w:eastAsia="Arial" w:hAnsi="Arial"/>
          <w:sz w:val="18"/>
          <w:szCs w:val="18"/>
          <w:color w:val="auto"/>
        </w:rPr>
      </w:pPr>
    </w:p>
    <w:p>
      <w:pPr>
        <w:ind w:left="980" w:right="140" w:hanging="436"/>
        <w:spacing w:after="0" w:line="277" w:lineRule="auto"/>
        <w:tabs>
          <w:tab w:leader="none" w:pos="980" w:val="left"/>
        </w:tabs>
        <w:numPr>
          <w:ilvl w:val="0"/>
          <w:numId w:val="2"/>
        </w:numPr>
        <w:rPr>
          <w:rFonts w:ascii="Arial" w:cs="Arial" w:eastAsia="Arial" w:hAnsi="Arial"/>
          <w:sz w:val="18"/>
          <w:szCs w:val="18"/>
          <w:color w:val="0000EE"/>
        </w:rPr>
      </w:pPr>
      <w:hyperlink r:id="rId25">
        <w:r>
          <w:rPr>
            <w:rFonts w:ascii="Arial" w:cs="Arial" w:eastAsia="Arial" w:hAnsi="Arial"/>
            <w:sz w:val="18"/>
            <w:szCs w:val="18"/>
            <w:color w:val="auto"/>
          </w:rPr>
          <w:t xml:space="preserve">The Registrant’s Current Reports on Form 8-K filed with the Commission on </w:t>
        </w:r>
        <w:r>
          <w:rPr>
            <w:rFonts w:ascii="Arial" w:cs="Arial" w:eastAsia="Arial" w:hAnsi="Arial"/>
            <w:sz w:val="18"/>
            <w:szCs w:val="18"/>
            <w:u w:val="single" w:color="auto"/>
            <w:color w:val="0000EE"/>
          </w:rPr>
          <w:t>February 15, 2019</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March 11, 2019</w:t>
        </w:r>
        <w:r>
          <w:rPr>
            <w:rFonts w:ascii="Arial" w:cs="Arial" w:eastAsia="Arial" w:hAnsi="Arial"/>
            <w:sz w:val="18"/>
            <w:szCs w:val="18"/>
            <w:color w:val="auto"/>
          </w:rPr>
          <w:t xml:space="preserve">, </w:t>
        </w:r>
        <w:r>
          <w:rPr>
            <w:rFonts w:ascii="Arial" w:cs="Arial" w:eastAsia="Arial" w:hAnsi="Arial"/>
            <w:sz w:val="18"/>
            <w:szCs w:val="18"/>
            <w:u w:val="single" w:color="auto"/>
            <w:color w:val="0000EE"/>
          </w:rPr>
          <w:t>April 4, 2019</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May 9,</w:t>
        </w:r>
      </w:hyperlink>
      <w:r>
        <w:rPr>
          <w:rFonts w:ascii="Arial" w:cs="Arial" w:eastAsia="Arial" w:hAnsi="Arial"/>
          <w:sz w:val="18"/>
          <w:szCs w:val="18"/>
          <w:color w:val="auto"/>
        </w:rPr>
        <w:t xml:space="preserve"> </w:t>
      </w:r>
      <w:hyperlink r:id="rId25">
        <w:r>
          <w:rPr>
            <w:rFonts w:ascii="Arial" w:cs="Arial" w:eastAsia="Arial" w:hAnsi="Arial"/>
            <w:sz w:val="18"/>
            <w:szCs w:val="18"/>
            <w:u w:val="single" w:color="auto"/>
            <w:color w:val="0000EE"/>
          </w:rPr>
          <w:t>2019</w:t>
        </w:r>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26">
        <w:r>
          <w:rPr>
            <w:rFonts w:ascii="Arial" w:cs="Arial" w:eastAsia="Arial" w:hAnsi="Arial"/>
            <w:sz w:val="18"/>
            <w:szCs w:val="18"/>
            <w:u w:val="single" w:color="auto"/>
            <w:color w:val="0000EE"/>
          </w:rPr>
          <w:t>May 30, 2019</w:t>
        </w:r>
      </w:hyperlink>
      <w:hyperlink r:id="rId25">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27">
        <w:r>
          <w:rPr>
            <w:rFonts w:ascii="Arial" w:cs="Arial" w:eastAsia="Arial" w:hAnsi="Arial"/>
            <w:sz w:val="18"/>
            <w:szCs w:val="18"/>
            <w:u w:val="single" w:color="auto"/>
            <w:color w:val="0000EE"/>
          </w:rPr>
          <w:t>June 13, 2019</w:t>
        </w:r>
      </w:hyperlink>
      <w:hyperlink r:id="rId25">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28">
        <w:r>
          <w:rPr>
            <w:rFonts w:ascii="Arial" w:cs="Arial" w:eastAsia="Arial" w:hAnsi="Arial"/>
            <w:sz w:val="18"/>
            <w:szCs w:val="18"/>
            <w:u w:val="single" w:color="auto"/>
            <w:color w:val="0000EE"/>
          </w:rPr>
          <w:t xml:space="preserve">September 12, 2019 </w:t>
        </w:r>
      </w:hyperlink>
      <w:hyperlink r:id="rId25">
        <w:r>
          <w:rPr>
            <w:rFonts w:ascii="Arial" w:cs="Arial" w:eastAsia="Arial" w:hAnsi="Arial"/>
            <w:sz w:val="18"/>
            <w:szCs w:val="18"/>
            <w:color w:val="000000"/>
          </w:rPr>
          <w:t>and</w:t>
        </w:r>
        <w:r>
          <w:rPr>
            <w:rFonts w:ascii="Arial" w:cs="Arial" w:eastAsia="Arial" w:hAnsi="Arial"/>
            <w:sz w:val="18"/>
            <w:szCs w:val="18"/>
            <w:color w:val="0000EE"/>
          </w:rPr>
          <w:t xml:space="preserve"> </w:t>
        </w:r>
      </w:hyperlink>
      <w:hyperlink r:id="rId29">
        <w:r>
          <w:rPr>
            <w:rFonts w:ascii="Arial" w:cs="Arial" w:eastAsia="Arial" w:hAnsi="Arial"/>
            <w:sz w:val="18"/>
            <w:szCs w:val="18"/>
            <w:u w:val="single" w:color="auto"/>
            <w:color w:val="0000EE"/>
          </w:rPr>
          <w:t>September 19, 2019</w:t>
        </w:r>
      </w:hyperlink>
      <w:hyperlink r:id="rId25">
        <w:r>
          <w:rPr>
            <w:rFonts w:ascii="Arial" w:cs="Arial" w:eastAsia="Arial" w:hAnsi="Arial"/>
            <w:sz w:val="18"/>
            <w:szCs w:val="18"/>
            <w:color w:val="000000"/>
          </w:rPr>
          <w:t>.</w:t>
        </w:r>
      </w:hyperlink>
    </w:p>
    <w:p>
      <w:pPr>
        <w:spacing w:after="0" w:line="75" w:lineRule="exact"/>
        <w:rPr>
          <w:rFonts w:ascii="Arial" w:cs="Arial" w:eastAsia="Arial" w:hAnsi="Arial"/>
          <w:sz w:val="18"/>
          <w:szCs w:val="18"/>
          <w:color w:val="0000EE"/>
        </w:rPr>
      </w:pPr>
    </w:p>
    <w:p>
      <w:pPr>
        <w:ind w:left="980" w:right="340" w:hanging="436"/>
        <w:spacing w:after="0" w:line="342" w:lineRule="auto"/>
        <w:tabs>
          <w:tab w:leader="none" w:pos="980"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The description of the Registrant’s Common Stock contained in its Registration Statement on </w:t>
      </w:r>
      <w:hyperlink r:id="rId30">
        <w:r>
          <w:rPr>
            <w:rFonts w:ascii="Arial" w:cs="Arial" w:eastAsia="Arial" w:hAnsi="Arial"/>
            <w:sz w:val="16"/>
            <w:szCs w:val="16"/>
            <w:u w:val="single" w:color="auto"/>
            <w:color w:val="0000EE"/>
          </w:rPr>
          <w:t>Form 8-A</w:t>
        </w:r>
      </w:hyperlink>
      <w:r>
        <w:rPr>
          <w:rFonts w:ascii="Arial" w:cs="Arial" w:eastAsia="Arial" w:hAnsi="Arial"/>
          <w:sz w:val="16"/>
          <w:szCs w:val="16"/>
          <w:color w:val="auto"/>
        </w:rPr>
        <w:t>, filed with the Commission on June 18, 2014, and any amendment or report filed with the Commission for the purpose of updating the description.</w:t>
      </w:r>
    </w:p>
    <w:p>
      <w:pPr>
        <w:spacing w:after="0" w:line="124" w:lineRule="exact"/>
        <w:rPr>
          <w:rFonts w:ascii="Arial" w:cs="Arial" w:eastAsia="Arial" w:hAnsi="Arial"/>
          <w:sz w:val="18"/>
          <w:szCs w:val="18"/>
          <w:color w:val="0000EE"/>
        </w:rPr>
      </w:pPr>
    </w:p>
    <w:p>
      <w:pPr>
        <w:ind w:firstLine="441"/>
        <w:spacing w:after="0" w:line="255" w:lineRule="auto"/>
        <w:rPr>
          <w:sz w:val="20"/>
          <w:szCs w:val="20"/>
          <w:color w:val="auto"/>
        </w:rPr>
      </w:pPr>
      <w:r>
        <w:rPr>
          <w:rFonts w:ascii="Arial" w:cs="Arial" w:eastAsia="Arial" w:hAnsi="Arial"/>
          <w:sz w:val="18"/>
          <w:szCs w:val="18"/>
          <w:color w:val="auto"/>
        </w:rPr>
        <w:t>All documents subsequently filed by the Registrant pursuant to Sections 13(a), 13(c), 14 or 15(d) of the Exchange Act subsequent to the date of this Registration Statement and prior to the filing of a post-effective amendment which indicates that all securities offered hereby have been sold or which deregisters all securities then remaining unsold, shall be deemed to be incorporated by reference in this Registration Statement and to be part hereof from the date of the filing of such documents. The Registrant is not, however, incorporating by reference any documents or portions thereof, whether specifically listed above or filed in the future, that are not deemed “filed” with the Commission, including the Registrant’s Compensation Committee report and performance graph or any information furnished pursuant to Items 2.02 or 7.01 of Form 8-K or related exhibits furnished pursuant to Item 9.01 of Form 8-K.</w:t>
      </w:r>
    </w:p>
    <w:p>
      <w:pPr>
        <w:spacing w:after="0" w:line="189" w:lineRule="exact"/>
        <w:rPr>
          <w:rFonts w:ascii="Arial" w:cs="Arial" w:eastAsia="Arial" w:hAnsi="Arial"/>
          <w:sz w:val="18"/>
          <w:szCs w:val="18"/>
          <w:color w:val="0000EE"/>
        </w:rPr>
      </w:pPr>
    </w:p>
    <w:p>
      <w:pPr>
        <w:ind w:right="60" w:firstLine="441"/>
        <w:spacing w:after="0" w:line="255" w:lineRule="auto"/>
        <w:rPr>
          <w:sz w:val="20"/>
          <w:szCs w:val="20"/>
          <w:color w:val="auto"/>
        </w:rPr>
      </w:pPr>
      <w:r>
        <w:rPr>
          <w:rFonts w:ascii="Arial" w:cs="Arial" w:eastAsia="Arial" w:hAnsi="Arial"/>
          <w:sz w:val="18"/>
          <w:szCs w:val="18"/>
          <w:color w:val="auto"/>
        </w:rPr>
        <w:t>Any statement contained in a document incorporated or deemed to be incorporated by reference herein shall be deemed to be modified or superseded for the purposes of this Registration Statement to the extent that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 Under no circumstances will any information furnished under Items 2.02 or 7.01 of Form 8-K be deemed incorporated herein by reference unless such Current Report on Form 8-K expressly provides to the contrary.</w:t>
      </w:r>
    </w:p>
    <w:p>
      <w:pPr>
        <w:spacing w:after="0" w:line="126" w:lineRule="exact"/>
        <w:rPr>
          <w:rFonts w:ascii="Arial" w:cs="Arial" w:eastAsia="Arial" w:hAnsi="Arial"/>
          <w:sz w:val="18"/>
          <w:szCs w:val="18"/>
          <w:color w:val="0000EE"/>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0" w:right="4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4. Description of Securities.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121" w:lineRule="exact"/>
        <w:rPr>
          <w:sz w:val="20"/>
          <w:szCs w:val="20"/>
          <w:color w:val="auto"/>
        </w:rPr>
      </w:pPr>
    </w:p>
    <w:p>
      <w:pPr>
        <w:ind w:right="180" w:firstLine="441"/>
        <w:spacing w:after="0" w:line="342" w:lineRule="auto"/>
        <w:rPr>
          <w:sz w:val="20"/>
          <w:szCs w:val="20"/>
          <w:color w:val="auto"/>
        </w:rPr>
      </w:pPr>
      <w:r>
        <w:rPr>
          <w:rFonts w:ascii="Arial" w:cs="Arial" w:eastAsia="Arial" w:hAnsi="Arial"/>
          <w:sz w:val="16"/>
          <w:szCs w:val="16"/>
          <w:color w:val="auto"/>
        </w:rPr>
        <w:t>Section 145 of the Delaware General Corporation Law permits a corporation to include in its charter documents, and in agreements between the corporation and its directors and officers, provisions expanding the scope of indemnification beyond that specifically provided by the current law.</w:t>
      </w:r>
    </w:p>
    <w:p>
      <w:pPr>
        <w:spacing w:after="0" w:line="124" w:lineRule="exact"/>
        <w:rPr>
          <w:sz w:val="20"/>
          <w:szCs w:val="20"/>
          <w:color w:val="auto"/>
        </w:rPr>
      </w:pPr>
    </w:p>
    <w:p>
      <w:pPr>
        <w:ind w:right="240" w:firstLine="441"/>
        <w:spacing w:after="0" w:line="277" w:lineRule="auto"/>
        <w:rPr>
          <w:sz w:val="20"/>
          <w:szCs w:val="20"/>
          <w:color w:val="auto"/>
        </w:rPr>
      </w:pPr>
      <w:r>
        <w:rPr>
          <w:rFonts w:ascii="Arial" w:cs="Arial" w:eastAsia="Arial" w:hAnsi="Arial"/>
          <w:sz w:val="18"/>
          <w:szCs w:val="18"/>
          <w:color w:val="auto"/>
        </w:rPr>
        <w:t>The Registrant’s amended and restated certificate of incorporation provides for the indemnification of directors to the fullest extent permissible under Delaware law.</w:t>
      </w:r>
    </w:p>
    <w:p>
      <w:pPr>
        <w:spacing w:after="0" w:line="170" w:lineRule="exact"/>
        <w:rPr>
          <w:sz w:val="20"/>
          <w:szCs w:val="20"/>
          <w:color w:val="auto"/>
        </w:rPr>
      </w:pPr>
    </w:p>
    <w:p>
      <w:pPr>
        <w:ind w:right="140" w:firstLine="441"/>
        <w:spacing w:after="0" w:line="286" w:lineRule="auto"/>
        <w:rPr>
          <w:sz w:val="20"/>
          <w:szCs w:val="20"/>
          <w:color w:val="auto"/>
        </w:rPr>
      </w:pPr>
      <w:r>
        <w:rPr>
          <w:rFonts w:ascii="Arial" w:cs="Arial" w:eastAsia="Arial" w:hAnsi="Arial"/>
          <w:sz w:val="17"/>
          <w:szCs w:val="17"/>
          <w:color w:val="auto"/>
        </w:rPr>
        <w:t>The Registrant’s amended and restated by-laws provide for the indemnification of officers, directors and third parties acting on the Registrant’s behalf if such persons act in good faith and in a manner reasonably believed to be in and not opposed to the Registrant’s best interest, and, with respect to any criminal action or proceeding, such indemnified party had no reason to believe his or her conduct was unlawful.</w:t>
      </w:r>
    </w:p>
    <w:p>
      <w:pPr>
        <w:spacing w:after="0" w:line="166" w:lineRule="exact"/>
        <w:rPr>
          <w:sz w:val="20"/>
          <w:szCs w:val="20"/>
          <w:color w:val="auto"/>
        </w:rPr>
      </w:pPr>
    </w:p>
    <w:p>
      <w:pPr>
        <w:ind w:right="20" w:firstLine="441"/>
        <w:spacing w:after="0" w:line="279" w:lineRule="auto"/>
        <w:rPr>
          <w:sz w:val="20"/>
          <w:szCs w:val="20"/>
          <w:color w:val="auto"/>
        </w:rPr>
      </w:pPr>
      <w:r>
        <w:rPr>
          <w:rFonts w:ascii="Arial" w:cs="Arial" w:eastAsia="Arial" w:hAnsi="Arial"/>
          <w:sz w:val="17"/>
          <w:szCs w:val="17"/>
          <w:color w:val="auto"/>
        </w:rPr>
        <w:t>The Registrant has entered into indemnification agreements with each of its directors and executive officers, in addition to the indemnification provisions provided for in its charter documents, and the Registrant intends to enter into indemnification agreements with any new directors and executive officers in the future. These agreements provide for indemnification for all reasonable expenses and liabilities incurred in connection with any action or proceeding brought against them by reason of the fact that they are or were agents of the Registrant.</w:t>
      </w:r>
    </w:p>
    <w:p>
      <w:pPr>
        <w:spacing w:after="0" w:line="171" w:lineRule="exact"/>
        <w:rPr>
          <w:sz w:val="20"/>
          <w:szCs w:val="20"/>
          <w:color w:val="auto"/>
        </w:rPr>
      </w:pPr>
    </w:p>
    <w:p>
      <w:pPr>
        <w:ind w:firstLine="441"/>
        <w:spacing w:after="0" w:line="342" w:lineRule="auto"/>
        <w:rPr>
          <w:sz w:val="20"/>
          <w:szCs w:val="20"/>
          <w:color w:val="auto"/>
        </w:rPr>
      </w:pPr>
      <w:r>
        <w:rPr>
          <w:rFonts w:ascii="Arial" w:cs="Arial" w:eastAsia="Arial" w:hAnsi="Arial"/>
          <w:sz w:val="16"/>
          <w:szCs w:val="16"/>
          <w:color w:val="auto"/>
        </w:rPr>
        <w:t>The Registrant has purchased and maintains insurance on behalf of any person who is or was a director or officer against any loss arising from any claim asserted against him or her and incurred by him or her in that capacity, subject to certain exclusions and limits of the amount of coverage.</w:t>
      </w:r>
    </w:p>
    <w:p>
      <w:pPr>
        <w:spacing w:after="0" w:line="124" w:lineRule="exact"/>
        <w:rPr>
          <w:sz w:val="20"/>
          <w:szCs w:val="20"/>
          <w:color w:val="auto"/>
        </w:rPr>
      </w:pPr>
    </w:p>
    <w:p>
      <w:pPr>
        <w:ind w:right="280" w:firstLine="441"/>
        <w:spacing w:after="0" w:line="264" w:lineRule="auto"/>
        <w:rPr>
          <w:sz w:val="20"/>
          <w:szCs w:val="20"/>
          <w:color w:val="auto"/>
        </w:rPr>
      </w:pPr>
      <w:r>
        <w:rPr>
          <w:rFonts w:ascii="Arial" w:cs="Arial" w:eastAsia="Arial" w:hAnsi="Arial"/>
          <w:sz w:val="18"/>
          <w:szCs w:val="18"/>
          <w:color w:val="auto"/>
        </w:rPr>
        <w:t>These indemnification provisions and the indemnification agreements entered into between the Registrant and its officers and directors may be sufficiently broad to permit indemnification of the Registrant’s officers and directors for liabilities (including reimbursement of expenses incurred) arising under the Securities Act.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Exhibit Index preceding the exhibits is incorporated by reference.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undersigned Registrant hereby undertakes:</w:t>
      </w:r>
    </w:p>
    <w:p>
      <w:pPr>
        <w:spacing w:after="0" w:line="131" w:lineRule="exact"/>
        <w:rPr>
          <w:sz w:val="20"/>
          <w:szCs w:val="20"/>
          <w:color w:val="auto"/>
        </w:rPr>
      </w:pPr>
    </w:p>
    <w:p>
      <w:pPr>
        <w:ind w:left="440" w:hanging="436"/>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30"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i.</w:t>
      </w:r>
      <w:r>
        <w:rPr>
          <w:rFonts w:ascii="Arial" w:cs="Arial" w:eastAsia="Arial" w:hAnsi="Arial"/>
          <w:sz w:val="16"/>
          <w:szCs w:val="16"/>
          <w:color w:val="auto"/>
        </w:rPr>
        <w:t>to include any prospectus required by Section 10(a)(3) of the Securities Act;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0" w:right="459" w:bottom="1440" w:gutter="0" w:footer="0" w:header="0"/>
        </w:sectPr>
      </w:pPr>
    </w:p>
    <w:bookmarkStart w:id="4" w:name="page5"/>
    <w:bookmarkEnd w:id="4"/>
    <w:p>
      <w:pPr>
        <w:ind w:left="980" w:right="40" w:hanging="544"/>
        <w:spacing w:after="0" w:line="272" w:lineRule="auto"/>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83" w:lineRule="exact"/>
        <w:rPr>
          <w:rFonts w:ascii="Arial" w:cs="Arial" w:eastAsia="Arial" w:hAnsi="Arial"/>
          <w:sz w:val="17"/>
          <w:szCs w:val="17"/>
          <w:color w:val="auto"/>
        </w:rPr>
      </w:pPr>
    </w:p>
    <w:p>
      <w:pPr>
        <w:ind w:left="980" w:right="240" w:hanging="54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provided, however, that paragraphs (1)(i) and (1)(ii)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the Registration Statement.</w:t>
      </w:r>
    </w:p>
    <w:p>
      <w:pPr>
        <w:spacing w:after="0" w:line="87" w:lineRule="exact"/>
        <w:rPr>
          <w:sz w:val="20"/>
          <w:szCs w:val="20"/>
          <w:color w:val="auto"/>
        </w:rPr>
      </w:pPr>
    </w:p>
    <w:p>
      <w:pPr>
        <w:ind w:left="440" w:right="20" w:hanging="436"/>
        <w:spacing w:after="0" w:line="264"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86" w:lineRule="exact"/>
        <w:rPr>
          <w:rFonts w:ascii="Arial" w:cs="Arial" w:eastAsia="Arial" w:hAnsi="Arial"/>
          <w:sz w:val="18"/>
          <w:szCs w:val="18"/>
          <w:color w:val="auto"/>
        </w:rPr>
      </w:pPr>
    </w:p>
    <w:p>
      <w:pPr>
        <w:ind w:left="440" w:hanging="436"/>
        <w:spacing w:after="0" w:line="277"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sz w:val="20"/>
          <w:szCs w:val="20"/>
          <w:color w:val="auto"/>
        </w:rPr>
      </w:pPr>
    </w:p>
    <w:p>
      <w:pPr>
        <w:ind w:firstLine="441"/>
        <w:spacing w:after="0" w:line="302" w:lineRule="auto"/>
        <w:rPr>
          <w:sz w:val="20"/>
          <w:szCs w:val="20"/>
          <w:color w:val="auto"/>
        </w:rPr>
      </w:pPr>
      <w:r>
        <w:rPr>
          <w:rFonts w:ascii="Arial" w:cs="Arial" w:eastAsia="Arial" w:hAnsi="Arial"/>
          <w:sz w:val="16"/>
          <w:szCs w:val="16"/>
          <w:color w:val="auto"/>
        </w:rPr>
        <w:t>The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54" w:lineRule="exact"/>
        <w:rPr>
          <w:sz w:val="20"/>
          <w:szCs w:val="20"/>
          <w:color w:val="auto"/>
        </w:rPr>
      </w:pPr>
    </w:p>
    <w:p>
      <w:pPr>
        <w:ind w:right="20" w:firstLine="441"/>
        <w:spacing w:after="0" w:line="254" w:lineRule="auto"/>
        <w:rPr>
          <w:sz w:val="20"/>
          <w:szCs w:val="20"/>
          <w:color w:val="auto"/>
        </w:rPr>
      </w:pPr>
      <w:r>
        <w:rPr>
          <w:rFonts w:ascii="Arial" w:cs="Arial" w:eastAsia="Arial" w:hAnsi="Arial"/>
          <w:sz w:val="18"/>
          <w:szCs w:val="18"/>
          <w:color w:val="auto"/>
        </w:rPr>
        <w:t>Insofar as indemnification for liabilities arising under the Securities Act may be permitted directors, officers and controlling persons of the Registrant pursuant to the provisions described in Item 6 hereof,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60" w:type="dxa"/>
            <w:vAlign w:val="bottom"/>
            <w:gridSpan w:val="2"/>
          </w:tcPr>
          <w:p>
            <w:pPr>
              <w:ind w:left="43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4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5860" w:type="dxa"/>
            <w:vAlign w:val="bottom"/>
            <w:gridSpan w:val="2"/>
            <w:vMerge w:val="restart"/>
          </w:tcPr>
          <w:p>
            <w:pPr>
              <w:ind w:left="5140"/>
              <w:spacing w:after="0"/>
              <w:rPr>
                <w:sz w:val="20"/>
                <w:szCs w:val="20"/>
                <w:color w:val="auto"/>
              </w:rPr>
            </w:pPr>
            <w:r>
              <w:rPr>
                <w:rFonts w:ascii="Arial" w:cs="Arial" w:eastAsia="Arial" w:hAnsi="Arial"/>
                <w:sz w:val="14"/>
                <w:szCs w:val="14"/>
                <w:b w:val="1"/>
                <w:bCs w:val="1"/>
                <w:color w:val="auto"/>
                <w:w w:val="90"/>
              </w:rPr>
              <w:t>Description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97"/>
              </w:rPr>
              <w:t>No.</w:t>
            </w:r>
          </w:p>
        </w:tc>
        <w:tc>
          <w:tcPr>
            <w:tcW w:w="5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880" w:right="100" w:hanging="787"/>
        <w:spacing w:after="0" w:line="277"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4.1</w:t>
      </w:r>
      <w:r>
        <w:rPr>
          <w:sz w:val="20"/>
          <w:szCs w:val="20"/>
          <w:color w:val="auto"/>
        </w:rPr>
        <w:tab/>
      </w:r>
      <w:hyperlink r:id="rId34">
        <w:r>
          <w:rPr>
            <w:rFonts w:ascii="Arial" w:cs="Arial" w:eastAsia="Arial" w:hAnsi="Arial"/>
            <w:sz w:val="18"/>
            <w:szCs w:val="18"/>
            <w:u w:val="single" w:color="auto"/>
            <w:color w:val="0000EE"/>
          </w:rPr>
          <w:t>Form of Common Stock certificate of the Registrant (incorporated by reference to Exhibit 4.1 to the Registrant’s Registration Statement on</w:t>
        </w:r>
      </w:hyperlink>
      <w:r>
        <w:rPr>
          <w:rFonts w:ascii="Arial" w:cs="Arial" w:eastAsia="Arial" w:hAnsi="Arial"/>
          <w:sz w:val="18"/>
          <w:szCs w:val="18"/>
          <w:u w:val="single" w:color="auto"/>
          <w:color w:val="0000EE"/>
        </w:rPr>
        <w:t xml:space="preserve"> </w:t>
      </w:r>
      <w:hyperlink r:id="rId34">
        <w:r>
          <w:rPr>
            <w:rFonts w:ascii="Arial" w:cs="Arial" w:eastAsia="Arial" w:hAnsi="Arial"/>
            <w:sz w:val="18"/>
            <w:szCs w:val="18"/>
            <w:u w:val="single" w:color="auto"/>
            <w:color w:val="0000EE"/>
          </w:rPr>
          <w:t>Form S-1, as amended (File No. 333-195391)).</w:t>
        </w:r>
      </w:hyperlink>
    </w:p>
    <w:p>
      <w:pPr>
        <w:spacing w:after="0" w:line="62" w:lineRule="exact"/>
        <w:rPr>
          <w:sz w:val="20"/>
          <w:szCs w:val="20"/>
          <w:color w:val="auto"/>
        </w:rPr>
      </w:pPr>
    </w:p>
    <w:p>
      <w:pPr>
        <w:ind w:left="880" w:right="180" w:hanging="787"/>
        <w:spacing w:after="0" w:line="277"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4.2</w:t>
      </w:r>
      <w:r>
        <w:rPr>
          <w:sz w:val="20"/>
          <w:szCs w:val="20"/>
          <w:color w:val="auto"/>
        </w:rPr>
        <w:tab/>
      </w:r>
      <w:hyperlink r:id="rId35">
        <w:r>
          <w:rPr>
            <w:rFonts w:ascii="Arial" w:cs="Arial" w:eastAsia="Arial" w:hAnsi="Arial"/>
            <w:sz w:val="18"/>
            <w:szCs w:val="18"/>
            <w:u w:val="single" w:color="auto"/>
            <w:color w:val="0000EE"/>
          </w:rPr>
          <w:t>Ninth Amended and Restated Certificate of Incorporation of the Registrant, as currently in effect (incorporated by reference to Exhibit 3.1</w:t>
        </w:r>
      </w:hyperlink>
      <w:r>
        <w:rPr>
          <w:rFonts w:ascii="Arial" w:cs="Arial" w:eastAsia="Arial" w:hAnsi="Arial"/>
          <w:sz w:val="18"/>
          <w:szCs w:val="18"/>
          <w:u w:val="single" w:color="auto"/>
          <w:color w:val="0000EE"/>
        </w:rPr>
        <w:t xml:space="preserve"> </w:t>
      </w:r>
      <w:hyperlink r:id="rId35">
        <w:r>
          <w:rPr>
            <w:rFonts w:ascii="Arial" w:cs="Arial" w:eastAsia="Arial" w:hAnsi="Arial"/>
            <w:sz w:val="18"/>
            <w:szCs w:val="18"/>
            <w:u w:val="single" w:color="auto"/>
            <w:color w:val="0000EE"/>
          </w:rPr>
          <w:t>of the Registrant’s Form 8-K filed on June 24, 2014 (File No. 001-36510)).</w:t>
        </w:r>
      </w:hyperlink>
    </w:p>
    <w:p>
      <w:pPr>
        <w:spacing w:after="0" w:line="62" w:lineRule="exact"/>
        <w:rPr>
          <w:sz w:val="20"/>
          <w:szCs w:val="20"/>
          <w:color w:val="auto"/>
        </w:rPr>
      </w:pPr>
    </w:p>
    <w:p>
      <w:pPr>
        <w:ind w:left="100"/>
        <w:spacing w:after="0"/>
        <w:tabs>
          <w:tab w:leader="none" w:pos="860" w:val="left"/>
        </w:tabs>
        <w:rPr>
          <w:rFonts w:ascii="Arial" w:cs="Arial" w:eastAsia="Arial" w:hAnsi="Arial"/>
          <w:sz w:val="16"/>
          <w:szCs w:val="16"/>
          <w:u w:val="single" w:color="auto"/>
          <w:color w:val="0000EE"/>
        </w:rPr>
      </w:pPr>
      <w:r>
        <w:rPr>
          <w:rFonts w:ascii="Arial" w:cs="Arial" w:eastAsia="Arial" w:hAnsi="Arial"/>
          <w:sz w:val="18"/>
          <w:szCs w:val="18"/>
          <w:color w:val="auto"/>
        </w:rPr>
        <w:t>4.3</w:t>
      </w:r>
      <w:r>
        <w:rPr>
          <w:sz w:val="20"/>
          <w:szCs w:val="20"/>
          <w:color w:val="auto"/>
        </w:rPr>
        <w:tab/>
      </w:r>
      <w:hyperlink r:id="rId36">
        <w:r>
          <w:rPr>
            <w:rFonts w:ascii="Arial" w:cs="Arial" w:eastAsia="Arial" w:hAnsi="Arial"/>
            <w:sz w:val="16"/>
            <w:szCs w:val="16"/>
            <w:u w:val="single" w:color="auto"/>
            <w:color w:val="0000EE"/>
          </w:rPr>
          <w:t>Amended and Restated By-laws of the Registrant, as currently in effect (incorporated by reference to Exhibit 3.2 of the Registrant’s Form</w:t>
        </w:r>
      </w:hyperlink>
    </w:p>
    <w:p>
      <w:pPr>
        <w:spacing w:after="0" w:line="23" w:lineRule="exact"/>
        <w:rPr>
          <w:sz w:val="20"/>
          <w:szCs w:val="20"/>
          <w:color w:val="auto"/>
        </w:rPr>
      </w:pPr>
    </w:p>
    <w:p>
      <w:pPr>
        <w:ind w:left="880"/>
        <w:spacing w:after="0"/>
        <w:rPr>
          <w:rFonts w:ascii="Arial" w:cs="Arial" w:eastAsia="Arial" w:hAnsi="Arial"/>
          <w:sz w:val="18"/>
          <w:szCs w:val="18"/>
          <w:u w:val="single" w:color="auto"/>
          <w:color w:val="0000EE"/>
        </w:rPr>
      </w:pPr>
      <w:hyperlink r:id="rId36">
        <w:r>
          <w:rPr>
            <w:rFonts w:ascii="Arial" w:cs="Arial" w:eastAsia="Arial" w:hAnsi="Arial"/>
            <w:sz w:val="18"/>
            <w:szCs w:val="18"/>
            <w:u w:val="single" w:color="auto"/>
            <w:color w:val="0000EE"/>
          </w:rPr>
          <w:t>8-K filed on June 24, 2014 (File No. 001-36510)).</w:t>
        </w:r>
      </w:hyperlink>
    </w:p>
    <w:p>
      <w:pPr>
        <w:spacing w:after="0" w:line="103" w:lineRule="exact"/>
        <w:rPr>
          <w:sz w:val="20"/>
          <w:szCs w:val="20"/>
          <w:color w:val="auto"/>
        </w:rPr>
      </w:pPr>
    </w:p>
    <w:p>
      <w:pPr>
        <w:ind w:left="880" w:right="380" w:hanging="787"/>
        <w:spacing w:after="0" w:line="264"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4.4</w:t>
      </w:r>
      <w:r>
        <w:rPr>
          <w:sz w:val="20"/>
          <w:szCs w:val="20"/>
          <w:color w:val="auto"/>
        </w:rPr>
        <w:tab/>
      </w:r>
      <w:hyperlink r:id="rId37">
        <w:r>
          <w:rPr>
            <w:rFonts w:ascii="Arial" w:cs="Arial" w:eastAsia="Arial" w:hAnsi="Arial"/>
            <w:sz w:val="18"/>
            <w:szCs w:val="18"/>
            <w:u w:val="single" w:color="auto"/>
            <w:color w:val="0000EE"/>
          </w:rPr>
          <w:t>Third Amended and Restated Investors’ Rights Agreement by and among the Registrant and certain of its stockholders, dated as of</w:t>
        </w:r>
      </w:hyperlink>
      <w:r>
        <w:rPr>
          <w:rFonts w:ascii="Arial" w:cs="Arial" w:eastAsia="Arial" w:hAnsi="Arial"/>
          <w:sz w:val="18"/>
          <w:szCs w:val="18"/>
          <w:u w:val="single" w:color="auto"/>
          <w:color w:val="0000EE"/>
        </w:rPr>
        <w:t xml:space="preserve"> </w:t>
      </w:r>
      <w:hyperlink r:id="rId37">
        <w:r>
          <w:rPr>
            <w:rFonts w:ascii="Arial" w:cs="Arial" w:eastAsia="Arial" w:hAnsi="Arial"/>
            <w:sz w:val="18"/>
            <w:szCs w:val="18"/>
            <w:u w:val="single" w:color="auto"/>
            <w:color w:val="0000EE"/>
          </w:rPr>
          <w:t>November 25, 2013 (incorporated by reference to Exhibit 4.2 to the Registrant’s Registration Statement on Form S-1, as amended (File</w:t>
        </w:r>
      </w:hyperlink>
      <w:r>
        <w:rPr>
          <w:rFonts w:ascii="Arial" w:cs="Arial" w:eastAsia="Arial" w:hAnsi="Arial"/>
          <w:sz w:val="18"/>
          <w:szCs w:val="18"/>
          <w:u w:val="single" w:color="auto"/>
          <w:color w:val="0000EE"/>
        </w:rPr>
        <w:t xml:space="preserve"> </w:t>
      </w:r>
      <w:hyperlink r:id="rId37">
        <w:r>
          <w:rPr>
            <w:rFonts w:ascii="Arial" w:cs="Arial" w:eastAsia="Arial" w:hAnsi="Arial"/>
            <w:sz w:val="18"/>
            <w:szCs w:val="18"/>
            <w:u w:val="single" w:color="auto"/>
            <w:color w:val="0000EE"/>
          </w:rPr>
          <w:t>No. 333-195391)).</w:t>
        </w:r>
      </w:hyperlink>
    </w:p>
    <w:p>
      <w:pPr>
        <w:spacing w:after="0" w:line="73" w:lineRule="exact"/>
        <w:rPr>
          <w:rFonts w:ascii="Arial" w:cs="Arial" w:eastAsia="Arial" w:hAnsi="Arial"/>
          <w:sz w:val="18"/>
          <w:szCs w:val="18"/>
          <w:u w:val="single" w:color="auto"/>
          <w:color w:val="0000EE"/>
        </w:rPr>
      </w:pPr>
    </w:p>
    <w:p>
      <w:pPr>
        <w:ind w:left="100"/>
        <w:spacing w:after="0"/>
        <w:tabs>
          <w:tab w:leader="none" w:pos="86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0000EE"/>
        </w:rPr>
        <w:t>Opinion of Goodwin Procter LLP.</w:t>
      </w:r>
    </w:p>
    <w:p>
      <w:pPr>
        <w:spacing w:after="0" w:line="117" w:lineRule="exact"/>
        <w:rPr>
          <w:rFonts w:ascii="Arial" w:cs="Arial" w:eastAsia="Arial" w:hAnsi="Arial"/>
          <w:sz w:val="18"/>
          <w:szCs w:val="18"/>
          <w:u w:val="single" w:color="auto"/>
          <w:color w:val="0000EE"/>
        </w:rPr>
      </w:pPr>
    </w:p>
    <w:p>
      <w:pPr>
        <w:spacing w:after="0"/>
        <w:tabs>
          <w:tab w:leader="none" w:pos="86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u w:val="single" w:color="auto"/>
          <w:color w:val="0000EE"/>
        </w:rPr>
        <w:t>Consent of PricewaterhouseCoopers LLP, independent registered public accounting firm.</w:t>
      </w:r>
    </w:p>
    <w:p>
      <w:pPr>
        <w:spacing w:after="0" w:line="117" w:lineRule="exact"/>
        <w:rPr>
          <w:rFonts w:ascii="Arial" w:cs="Arial" w:eastAsia="Arial" w:hAnsi="Arial"/>
          <w:sz w:val="18"/>
          <w:szCs w:val="18"/>
          <w:u w:val="single" w:color="auto"/>
          <w:color w:val="0000EE"/>
        </w:rPr>
      </w:pPr>
    </w:p>
    <w:p>
      <w:pPr>
        <w:spacing w:after="0"/>
        <w:tabs>
          <w:tab w:leader="none" w:pos="86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u w:val="single" w:color="auto"/>
          <w:color w:val="0000EE"/>
        </w:rPr>
        <w:t>Consent of Goodwin Procter LLP (included in Exhibit 5.1).</w:t>
      </w:r>
    </w:p>
    <w:p>
      <w:pPr>
        <w:spacing w:after="0" w:line="117" w:lineRule="exact"/>
        <w:rPr>
          <w:rFonts w:ascii="Arial" w:cs="Arial" w:eastAsia="Arial" w:hAnsi="Arial"/>
          <w:sz w:val="18"/>
          <w:szCs w:val="18"/>
          <w:u w:val="single" w:color="auto"/>
          <w:color w:val="0000EE"/>
        </w:rPr>
      </w:pPr>
    </w:p>
    <w:p>
      <w:pPr>
        <w:spacing w:after="0"/>
        <w:tabs>
          <w:tab w:leader="none" w:pos="860" w:val="left"/>
        </w:tabs>
        <w:rPr>
          <w:rFonts w:ascii="Arial" w:cs="Arial" w:eastAsia="Arial" w:hAnsi="Arial"/>
          <w:sz w:val="16"/>
          <w:szCs w:val="16"/>
          <w:u w:val="single" w:color="auto"/>
          <w:color w:val="0000EE"/>
        </w:rPr>
      </w:pPr>
      <w:r>
        <w:rPr>
          <w:rFonts w:ascii="Arial" w:cs="Arial" w:eastAsia="Arial" w:hAnsi="Arial"/>
          <w:sz w:val="18"/>
          <w:szCs w:val="18"/>
          <w:color w:val="auto"/>
        </w:rPr>
        <w:t>24.1*</w:t>
      </w:r>
      <w:r>
        <w:rPr>
          <w:sz w:val="20"/>
          <w:szCs w:val="20"/>
          <w:color w:val="auto"/>
        </w:rPr>
        <w:tab/>
      </w:r>
      <w:hyperlink w:anchor="page7">
        <w:r>
          <w:rPr>
            <w:rFonts w:ascii="Arial" w:cs="Arial" w:eastAsia="Arial" w:hAnsi="Arial"/>
            <w:sz w:val="16"/>
            <w:szCs w:val="16"/>
            <w:u w:val="single" w:color="auto"/>
            <w:color w:val="0000EE"/>
          </w:rPr>
          <w:t>Power of attorney (included on signature page).</w:t>
        </w:r>
      </w:hyperlink>
    </w:p>
    <w:p>
      <w:pPr>
        <w:spacing w:after="0" w:line="117" w:lineRule="exact"/>
        <w:rPr>
          <w:rFonts w:ascii="Arial" w:cs="Arial" w:eastAsia="Arial" w:hAnsi="Arial"/>
          <w:sz w:val="18"/>
          <w:szCs w:val="18"/>
          <w:u w:val="single" w:color="auto"/>
          <w:color w:val="0000EE"/>
        </w:rPr>
      </w:pPr>
    </w:p>
    <w:p>
      <w:pPr>
        <w:ind w:left="880" w:hanging="877"/>
        <w:spacing w:after="0" w:line="264"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99.1</w:t>
      </w:r>
      <w:r>
        <w:rPr>
          <w:sz w:val="20"/>
          <w:szCs w:val="20"/>
          <w:color w:val="auto"/>
        </w:rPr>
        <w:tab/>
      </w:r>
      <w:hyperlink r:id="rId38">
        <w:r>
          <w:rPr>
            <w:rFonts w:ascii="Arial" w:cs="Arial" w:eastAsia="Arial" w:hAnsi="Arial"/>
            <w:sz w:val="18"/>
            <w:szCs w:val="18"/>
            <w:u w:val="single" w:color="auto"/>
            <w:color w:val="0000EE"/>
          </w:rPr>
          <w:t>Non-Qualified Stock Option Agreement Inducement Award by and between Registrant and Priya Singhal, M.D., M.P.H. effective as of</w:t>
        </w:r>
      </w:hyperlink>
      <w:r>
        <w:rPr>
          <w:rFonts w:ascii="Arial" w:cs="Arial" w:eastAsia="Arial" w:hAnsi="Arial"/>
          <w:sz w:val="18"/>
          <w:szCs w:val="18"/>
          <w:u w:val="single" w:color="auto"/>
          <w:color w:val="0000EE"/>
        </w:rPr>
        <w:t xml:space="preserve"> </w:t>
      </w:r>
      <w:hyperlink r:id="rId38">
        <w:r>
          <w:rPr>
            <w:rFonts w:ascii="Arial" w:cs="Arial" w:eastAsia="Arial" w:hAnsi="Arial"/>
            <w:sz w:val="18"/>
            <w:szCs w:val="18"/>
            <w:u w:val="single" w:color="auto"/>
            <w:color w:val="0000EE"/>
          </w:rPr>
          <w:t>March 4, 2019 (incorporated by reference to Exhibit 10.3 to the Registrant’s Quarterly Report on Form 10-Q for the period ended March 31,</w:t>
        </w:r>
      </w:hyperlink>
      <w:r>
        <w:rPr>
          <w:rFonts w:ascii="Arial" w:cs="Arial" w:eastAsia="Arial" w:hAnsi="Arial"/>
          <w:sz w:val="18"/>
          <w:szCs w:val="18"/>
          <w:u w:val="single" w:color="auto"/>
          <w:color w:val="0000EE"/>
        </w:rPr>
        <w:t xml:space="preserve"> </w:t>
      </w:r>
      <w:hyperlink r:id="rId38">
        <w:r>
          <w:rPr>
            <w:rFonts w:ascii="Arial" w:cs="Arial" w:eastAsia="Arial" w:hAnsi="Arial"/>
            <w:sz w:val="18"/>
            <w:szCs w:val="18"/>
            <w:u w:val="single" w:color="auto"/>
            <w:color w:val="0000EE"/>
          </w:rPr>
          <w:t>2019, filed on May 9, 2019 (File No. 001-36510)).</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632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9">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34"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color w:val="auto"/>
        </w:rPr>
        <w:t>*  Filed herewith.</w:t>
      </w:r>
    </w:p>
    <w:p>
      <w:pPr>
        <w:spacing w:after="0" w:line="158" w:lineRule="exact"/>
        <w:rPr>
          <w:rFonts w:ascii="Arial" w:cs="Arial" w:eastAsia="Arial" w:hAnsi="Arial"/>
          <w:sz w:val="18"/>
          <w:szCs w:val="18"/>
          <w:u w:val="single" w:color="auto"/>
          <w:color w:val="0000EE"/>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0" w:right="459" w:bottom="1440" w:gutter="0" w:footer="0" w:header="0"/>
        </w:sectPr>
      </w:pPr>
    </w:p>
    <w:bookmarkStart w:id="6" w:name="page7"/>
    <w:bookmarkEnd w:id="6"/>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Boston, Commonwealth of Massachusetts, on the 7</w:t>
      </w:r>
      <w:r>
        <w:rPr>
          <w:rFonts w:ascii="Arial" w:cs="Arial" w:eastAsia="Arial" w:hAnsi="Arial"/>
          <w:sz w:val="15"/>
          <w:szCs w:val="15"/>
          <w:color w:val="auto"/>
        </w:rPr>
        <w:t>th</w:t>
      </w:r>
      <w:r>
        <w:rPr>
          <w:rFonts w:ascii="Arial" w:cs="Arial" w:eastAsia="Arial" w:hAnsi="Arial"/>
          <w:sz w:val="18"/>
          <w:szCs w:val="18"/>
          <w:color w:val="auto"/>
        </w:rPr>
        <w:t xml:space="preserve"> day of November, 2019.</w:t>
      </w:r>
    </w:p>
    <w:p>
      <w:pPr>
        <w:spacing w:after="0" w:line="204"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ZAFGEN,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Jeffrey S. Hatfield</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Jeffrey S. Hatfield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4406265</wp:posOffset>
            </wp:positionH>
            <wp:positionV relativeFrom="paragraph">
              <wp:posOffset>-130810</wp:posOffset>
            </wp:positionV>
            <wp:extent cx="25984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1">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i w:val="1"/>
          <w:iCs w:val="1"/>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POWER OF ATTORNEY AND SIGNATURES</w:t>
      </w:r>
    </w:p>
    <w:p>
      <w:pPr>
        <w:spacing w:after="0" w:line="229"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KNOW ALL BY THESE PRESENT, that each individual whose signature appears below hereby constitutes and appoints each of Jeffrey Hatfield and Patricia L. Allen as such person’s true and lawful attorney-in-fact and agent with full power of substitution and resubstitution, for such person in such person’s name, place and stead, in any and all capacities, to sign any and all amendments (including post-effective amendments) to this Registration Statement on Form S-8, and to file the same, with all exhibits thereto, and all documents in connection therewith, with the Securities and Exchange Commission granting unto each said attorney-in-fact and agent full power and authority to do and perform each and every act and thing requisite and necessary to be done in and about the premises, as fully to all intents and purposes as such person might or could do in person, hereby ratifying and confirming all that any said attorney-in-fact and agent, or any substitute or substitutes of any of them, may lawfully do or cause to be done by virtue hereof.</w:t>
      </w:r>
    </w:p>
    <w:p>
      <w:pPr>
        <w:spacing w:after="0" w:line="19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 in the capacities and on the date indicated.</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4180" w:type="dxa"/>
            <w:vAlign w:val="bottom"/>
          </w:tcPr>
          <w:p>
            <w:pPr>
              <w:jc w:val="center"/>
              <w:spacing w:after="0"/>
              <w:rPr>
                <w:sz w:val="20"/>
                <w:szCs w:val="20"/>
                <w:color w:val="auto"/>
              </w:rPr>
            </w:pPr>
            <w:r>
              <w:rPr>
                <w:rFonts w:ascii="Arial" w:cs="Arial" w:eastAsia="Arial" w:hAnsi="Arial"/>
                <w:sz w:val="14"/>
                <w:szCs w:val="14"/>
                <w:b w:val="1"/>
                <w:bCs w:val="1"/>
                <w:color w:val="auto"/>
                <w:w w:val="94"/>
              </w:rPr>
              <w:t>Name</w:t>
            </w:r>
          </w:p>
        </w:tc>
        <w:tc>
          <w:tcPr>
            <w:tcW w:w="4340" w:type="dxa"/>
            <w:vAlign w:val="bottom"/>
          </w:tcPr>
          <w:p>
            <w:pPr>
              <w:ind w:left="2400"/>
              <w:spacing w:after="0"/>
              <w:rPr>
                <w:sz w:val="20"/>
                <w:szCs w:val="20"/>
                <w:color w:val="auto"/>
              </w:rPr>
            </w:pPr>
            <w:r>
              <w:rPr>
                <w:rFonts w:ascii="Arial" w:cs="Arial" w:eastAsia="Arial" w:hAnsi="Arial"/>
                <w:sz w:val="14"/>
                <w:szCs w:val="14"/>
                <w:b w:val="1"/>
                <w:bCs w:val="1"/>
                <w:color w:val="auto"/>
              </w:rPr>
              <w:t>Title</w:t>
            </w:r>
          </w:p>
        </w:tc>
        <w:tc>
          <w:tcPr>
            <w:tcW w:w="2280" w:type="dxa"/>
            <w:vAlign w:val="bottom"/>
          </w:tcPr>
          <w:p>
            <w:pPr>
              <w:jc w:val="center"/>
              <w:ind w:left="852"/>
              <w:spacing w:after="0"/>
              <w:rPr>
                <w:sz w:val="20"/>
                <w:szCs w:val="20"/>
                <w:color w:val="auto"/>
              </w:rPr>
            </w:pPr>
            <w:r>
              <w:rPr>
                <w:rFonts w:ascii="Arial" w:cs="Arial" w:eastAsia="Arial" w:hAnsi="Arial"/>
                <w:sz w:val="14"/>
                <w:szCs w:val="14"/>
                <w:b w:val="1"/>
                <w:bCs w:val="1"/>
                <w:color w:val="auto"/>
                <w:w w:val="98"/>
              </w:rPr>
              <w:t>Date</w:t>
            </w:r>
          </w:p>
        </w:tc>
      </w:tr>
      <w:tr>
        <w:trPr>
          <w:trHeight w:val="417"/>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Jeffrey S. Hatfield</w:t>
            </w:r>
          </w:p>
        </w:tc>
        <w:tc>
          <w:tcPr>
            <w:tcW w:w="4340" w:type="dxa"/>
            <w:vAlign w:val="bottom"/>
          </w:tcPr>
          <w:p>
            <w:pPr>
              <w:ind w:left="120"/>
              <w:spacing w:after="0"/>
              <w:rPr>
                <w:sz w:val="20"/>
                <w:szCs w:val="20"/>
                <w:color w:val="auto"/>
              </w:rPr>
            </w:pPr>
            <w:r>
              <w:rPr>
                <w:rFonts w:ascii="Arial" w:cs="Arial" w:eastAsia="Arial" w:hAnsi="Arial"/>
                <w:sz w:val="18"/>
                <w:szCs w:val="18"/>
                <w:color w:val="auto"/>
              </w:rPr>
              <w:t>Chief Executive Officer and Director</w:t>
            </w:r>
          </w:p>
        </w:tc>
        <w:tc>
          <w:tcPr>
            <w:tcW w:w="2280" w:type="dxa"/>
            <w:vAlign w:val="bottom"/>
          </w:tcPr>
          <w:p>
            <w:pPr>
              <w:jc w:val="center"/>
              <w:ind w:left="852"/>
              <w:spacing w:after="0"/>
              <w:rPr>
                <w:sz w:val="20"/>
                <w:szCs w:val="20"/>
                <w:color w:val="auto"/>
              </w:rPr>
            </w:pPr>
            <w:r>
              <w:rPr>
                <w:rFonts w:ascii="Arial" w:cs="Arial" w:eastAsia="Arial" w:hAnsi="Arial"/>
                <w:sz w:val="18"/>
                <w:szCs w:val="18"/>
                <w:color w:val="auto"/>
                <w:w w:val="90"/>
              </w:rPr>
              <w:t>November 7, 2019</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2"/>
              </w:rPr>
              <w:t>Jeffrey S. Hatfield</w:t>
            </w:r>
          </w:p>
        </w:tc>
        <w:tc>
          <w:tcPr>
            <w:tcW w:w="4340" w:type="dxa"/>
            <w:vAlign w:val="bottom"/>
          </w:tcPr>
          <w:p>
            <w:pPr>
              <w:ind w:left="120"/>
              <w:spacing w:after="0"/>
              <w:rPr>
                <w:sz w:val="20"/>
                <w:szCs w:val="20"/>
                <w:color w:val="auto"/>
              </w:rPr>
            </w:pPr>
            <w:r>
              <w:rPr>
                <w:rFonts w:ascii="Arial" w:cs="Arial" w:eastAsia="Arial" w:hAnsi="Arial"/>
                <w:sz w:val="18"/>
                <w:szCs w:val="18"/>
                <w:i w:val="1"/>
                <w:iCs w:val="1"/>
                <w:color w:val="auto"/>
              </w:rPr>
              <w:t>(Principal Executive Officer)</w:t>
            </w:r>
          </w:p>
        </w:tc>
        <w:tc>
          <w:tcPr>
            <w:tcW w:w="228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Patricia L. Allen</w:t>
            </w:r>
          </w:p>
        </w:tc>
        <w:tc>
          <w:tcPr>
            <w:tcW w:w="4340" w:type="dxa"/>
            <w:vAlign w:val="bottom"/>
          </w:tcPr>
          <w:p>
            <w:pPr>
              <w:ind w:left="120"/>
              <w:spacing w:after="0"/>
              <w:rPr>
                <w:sz w:val="20"/>
                <w:szCs w:val="20"/>
                <w:color w:val="auto"/>
              </w:rPr>
            </w:pPr>
            <w:r>
              <w:rPr>
                <w:rFonts w:ascii="Arial" w:cs="Arial" w:eastAsia="Arial" w:hAnsi="Arial"/>
                <w:sz w:val="18"/>
                <w:szCs w:val="18"/>
                <w:color w:val="auto"/>
              </w:rPr>
              <w:t>Chief Financial Officer</w:t>
            </w:r>
          </w:p>
        </w:tc>
        <w:tc>
          <w:tcPr>
            <w:tcW w:w="2280" w:type="dxa"/>
            <w:vAlign w:val="bottom"/>
          </w:tcPr>
          <w:p>
            <w:pPr>
              <w:jc w:val="center"/>
              <w:ind w:left="852"/>
              <w:spacing w:after="0"/>
              <w:rPr>
                <w:sz w:val="20"/>
                <w:szCs w:val="20"/>
                <w:color w:val="auto"/>
              </w:rPr>
            </w:pPr>
            <w:r>
              <w:rPr>
                <w:rFonts w:ascii="Arial" w:cs="Arial" w:eastAsia="Arial" w:hAnsi="Arial"/>
                <w:sz w:val="18"/>
                <w:szCs w:val="18"/>
                <w:color w:val="auto"/>
                <w:w w:val="90"/>
              </w:rPr>
              <w:t>November 7, 2019</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5"/>
              </w:rPr>
              <w:t>Patricia L. Allen</w:t>
            </w:r>
          </w:p>
        </w:tc>
        <w:tc>
          <w:tcPr>
            <w:tcW w:w="4340" w:type="dxa"/>
            <w:vAlign w:val="bottom"/>
          </w:tcPr>
          <w:p>
            <w:pPr>
              <w:ind w:left="120"/>
              <w:spacing w:after="0"/>
              <w:rPr>
                <w:sz w:val="20"/>
                <w:szCs w:val="20"/>
                <w:color w:val="auto"/>
              </w:rPr>
            </w:pPr>
            <w:r>
              <w:rPr>
                <w:rFonts w:ascii="Arial" w:cs="Arial" w:eastAsia="Arial" w:hAnsi="Arial"/>
                <w:sz w:val="18"/>
                <w:szCs w:val="18"/>
                <w:i w:val="1"/>
                <w:iCs w:val="1"/>
                <w:color w:val="auto"/>
              </w:rPr>
              <w:t>(Principal Financial and Accounting Officer)</w:t>
            </w:r>
          </w:p>
        </w:tc>
        <w:tc>
          <w:tcPr>
            <w:tcW w:w="228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Peter Barrett</w:t>
            </w:r>
          </w:p>
        </w:tc>
        <w:tc>
          <w:tcPr>
            <w:tcW w:w="4340" w:type="dxa"/>
            <w:vAlign w:val="bottom"/>
          </w:tcPr>
          <w:p>
            <w:pPr>
              <w:ind w:left="120"/>
              <w:spacing w:after="0"/>
              <w:rPr>
                <w:sz w:val="20"/>
                <w:szCs w:val="20"/>
                <w:color w:val="auto"/>
              </w:rPr>
            </w:pPr>
            <w:r>
              <w:rPr>
                <w:rFonts w:ascii="Arial" w:cs="Arial" w:eastAsia="Arial" w:hAnsi="Arial"/>
                <w:sz w:val="18"/>
                <w:szCs w:val="18"/>
                <w:color w:val="auto"/>
              </w:rPr>
              <w:t>Chairman of the Board of Directors</w:t>
            </w:r>
          </w:p>
        </w:tc>
        <w:tc>
          <w:tcPr>
            <w:tcW w:w="2280" w:type="dxa"/>
            <w:vAlign w:val="bottom"/>
          </w:tcPr>
          <w:p>
            <w:pPr>
              <w:jc w:val="center"/>
              <w:ind w:left="852"/>
              <w:spacing w:after="0"/>
              <w:rPr>
                <w:sz w:val="20"/>
                <w:szCs w:val="20"/>
                <w:color w:val="auto"/>
              </w:rPr>
            </w:pPr>
            <w:r>
              <w:rPr>
                <w:rFonts w:ascii="Arial" w:cs="Arial" w:eastAsia="Arial" w:hAnsi="Arial"/>
                <w:sz w:val="18"/>
                <w:szCs w:val="18"/>
                <w:color w:val="auto"/>
                <w:w w:val="90"/>
              </w:rPr>
              <w:t>November 7, 2019</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0"/>
              </w:rPr>
              <w:t>Peter Barrett, Ph.D.</w:t>
            </w:r>
          </w:p>
        </w:tc>
        <w:tc>
          <w:tcPr>
            <w:tcW w:w="434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Thomas O. Daniel</w:t>
            </w:r>
          </w:p>
        </w:tc>
        <w:tc>
          <w:tcPr>
            <w:tcW w:w="434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280" w:type="dxa"/>
            <w:vAlign w:val="bottom"/>
          </w:tcPr>
          <w:p>
            <w:pPr>
              <w:jc w:val="center"/>
              <w:ind w:left="852"/>
              <w:spacing w:after="0"/>
              <w:rPr>
                <w:sz w:val="20"/>
                <w:szCs w:val="20"/>
                <w:color w:val="auto"/>
              </w:rPr>
            </w:pPr>
            <w:r>
              <w:rPr>
                <w:rFonts w:ascii="Arial" w:cs="Arial" w:eastAsia="Arial" w:hAnsi="Arial"/>
                <w:sz w:val="18"/>
                <w:szCs w:val="18"/>
                <w:color w:val="auto"/>
                <w:w w:val="90"/>
              </w:rPr>
              <w:t>November 7, 2019</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3"/>
              </w:rPr>
              <w:t>Thomas O. Daniel, M.D.</w:t>
            </w:r>
          </w:p>
        </w:tc>
        <w:tc>
          <w:tcPr>
            <w:tcW w:w="434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Wendy Everett</w:t>
            </w:r>
          </w:p>
        </w:tc>
        <w:tc>
          <w:tcPr>
            <w:tcW w:w="434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280" w:type="dxa"/>
            <w:vAlign w:val="bottom"/>
          </w:tcPr>
          <w:p>
            <w:pPr>
              <w:jc w:val="center"/>
              <w:ind w:left="852"/>
              <w:spacing w:after="0"/>
              <w:rPr>
                <w:sz w:val="20"/>
                <w:szCs w:val="20"/>
                <w:color w:val="auto"/>
              </w:rPr>
            </w:pPr>
            <w:r>
              <w:rPr>
                <w:rFonts w:ascii="Arial" w:cs="Arial" w:eastAsia="Arial" w:hAnsi="Arial"/>
                <w:sz w:val="18"/>
                <w:szCs w:val="18"/>
                <w:color w:val="auto"/>
                <w:w w:val="90"/>
              </w:rPr>
              <w:t>November 7, 2019</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0"/>
              </w:rPr>
              <w:t>Wendy Everett, Sc.D.</w:t>
            </w:r>
          </w:p>
        </w:tc>
        <w:tc>
          <w:tcPr>
            <w:tcW w:w="434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John L. LaMattina</w:t>
            </w:r>
          </w:p>
        </w:tc>
        <w:tc>
          <w:tcPr>
            <w:tcW w:w="434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280" w:type="dxa"/>
            <w:vAlign w:val="bottom"/>
          </w:tcPr>
          <w:p>
            <w:pPr>
              <w:jc w:val="center"/>
              <w:ind w:left="852"/>
              <w:spacing w:after="0"/>
              <w:rPr>
                <w:sz w:val="20"/>
                <w:szCs w:val="20"/>
                <w:color w:val="auto"/>
              </w:rPr>
            </w:pPr>
            <w:r>
              <w:rPr>
                <w:rFonts w:ascii="Arial" w:cs="Arial" w:eastAsia="Arial" w:hAnsi="Arial"/>
                <w:sz w:val="18"/>
                <w:szCs w:val="18"/>
                <w:color w:val="auto"/>
                <w:w w:val="90"/>
              </w:rPr>
              <w:t>November 7, 2019</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2"/>
              </w:rPr>
              <w:t>John L. LaMattina, Ph.D.</w:t>
            </w:r>
          </w:p>
        </w:tc>
        <w:tc>
          <w:tcPr>
            <w:tcW w:w="434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Cameron Geoffrey McDonough</w:t>
            </w:r>
          </w:p>
        </w:tc>
        <w:tc>
          <w:tcPr>
            <w:tcW w:w="434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280" w:type="dxa"/>
            <w:vAlign w:val="bottom"/>
          </w:tcPr>
          <w:p>
            <w:pPr>
              <w:jc w:val="center"/>
              <w:ind w:left="852"/>
              <w:spacing w:after="0"/>
              <w:rPr>
                <w:sz w:val="20"/>
                <w:szCs w:val="20"/>
                <w:color w:val="auto"/>
              </w:rPr>
            </w:pPr>
            <w:r>
              <w:rPr>
                <w:rFonts w:ascii="Arial" w:cs="Arial" w:eastAsia="Arial" w:hAnsi="Arial"/>
                <w:sz w:val="18"/>
                <w:szCs w:val="18"/>
                <w:color w:val="auto"/>
                <w:w w:val="90"/>
              </w:rPr>
              <w:t>November 7, 2019</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3"/>
              </w:rPr>
              <w:t>Cameron Geoffrey McDonough, M.D.</w:t>
            </w:r>
          </w:p>
        </w:tc>
        <w:tc>
          <w:tcPr>
            <w:tcW w:w="434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Robert J. Perez</w:t>
            </w:r>
          </w:p>
        </w:tc>
        <w:tc>
          <w:tcPr>
            <w:tcW w:w="434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280" w:type="dxa"/>
            <w:vAlign w:val="bottom"/>
          </w:tcPr>
          <w:p>
            <w:pPr>
              <w:jc w:val="center"/>
              <w:ind w:left="852"/>
              <w:spacing w:after="0"/>
              <w:rPr>
                <w:sz w:val="20"/>
                <w:szCs w:val="20"/>
                <w:color w:val="auto"/>
              </w:rPr>
            </w:pPr>
            <w:r>
              <w:rPr>
                <w:rFonts w:ascii="Arial" w:cs="Arial" w:eastAsia="Arial" w:hAnsi="Arial"/>
                <w:sz w:val="18"/>
                <w:szCs w:val="18"/>
                <w:color w:val="auto"/>
                <w:w w:val="90"/>
              </w:rPr>
              <w:t>November 7, 2019</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87"/>
              </w:rPr>
              <w:t>Robert J. Perez</w:t>
            </w:r>
          </w:p>
        </w:tc>
        <w:tc>
          <w:tcPr>
            <w:tcW w:w="434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Frank E. Thomas</w:t>
            </w:r>
          </w:p>
        </w:tc>
        <w:tc>
          <w:tcPr>
            <w:tcW w:w="434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280" w:type="dxa"/>
            <w:vAlign w:val="bottom"/>
          </w:tcPr>
          <w:p>
            <w:pPr>
              <w:jc w:val="center"/>
              <w:ind w:left="852"/>
              <w:spacing w:after="0"/>
              <w:rPr>
                <w:sz w:val="20"/>
                <w:szCs w:val="20"/>
                <w:color w:val="auto"/>
              </w:rPr>
            </w:pPr>
            <w:r>
              <w:rPr>
                <w:rFonts w:ascii="Arial" w:cs="Arial" w:eastAsia="Arial" w:hAnsi="Arial"/>
                <w:sz w:val="18"/>
                <w:szCs w:val="18"/>
                <w:color w:val="auto"/>
                <w:w w:val="90"/>
              </w:rPr>
              <w:t>November 7, 2019</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89"/>
              </w:rPr>
              <w:t>Frank E. Thomas</w:t>
            </w:r>
          </w:p>
        </w:tc>
        <w:tc>
          <w:tcPr>
            <w:tcW w:w="434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85"/>
        </w:trPr>
        <w:tc>
          <w:tcPr>
            <w:tcW w:w="4180" w:type="dxa"/>
            <w:vAlign w:val="bottom"/>
          </w:tcPr>
          <w:p>
            <w:pPr>
              <w:spacing w:after="0"/>
              <w:rPr>
                <w:sz w:val="24"/>
                <w:szCs w:val="24"/>
                <w:color w:val="auto"/>
              </w:rPr>
            </w:pPr>
          </w:p>
        </w:tc>
        <w:tc>
          <w:tcPr>
            <w:tcW w:w="4340" w:type="dxa"/>
            <w:vAlign w:val="bottom"/>
          </w:tcPr>
          <w:p>
            <w:pPr>
              <w:ind w:left="1260"/>
              <w:spacing w:after="0"/>
              <w:rPr>
                <w:sz w:val="20"/>
                <w:szCs w:val="20"/>
                <w:color w:val="auto"/>
              </w:rPr>
            </w:pPr>
            <w:r>
              <w:rPr>
                <w:rFonts w:ascii="Arial" w:cs="Arial" w:eastAsia="Arial" w:hAnsi="Arial"/>
                <w:sz w:val="18"/>
                <w:szCs w:val="18"/>
                <w:color w:val="auto"/>
              </w:rPr>
              <w:t>6</w:t>
            </w:r>
          </w:p>
        </w:tc>
        <w:tc>
          <w:tcPr>
            <w:tcW w:w="2280" w:type="dxa"/>
            <w:vAlign w:val="bottom"/>
          </w:tcPr>
          <w:p>
            <w:pPr>
              <w:spacing w:after="0"/>
              <w:rPr>
                <w:sz w:val="24"/>
                <w:szCs w:val="24"/>
                <w:color w:val="auto"/>
              </w:rPr>
            </w:pPr>
          </w:p>
        </w:tc>
      </w:tr>
    </w:tbl>
    <w:p>
      <w:pPr>
        <w:sectPr>
          <w:pgSz w:w="11900" w:h="16838" w:orient="portrait"/>
          <w:cols w:equalWidth="0" w:num="1">
            <w:col w:w="10940"/>
          </w:cols>
          <w:pgMar w:left="440" w:top="270" w:right="519" w:bottom="1440" w:gutter="0" w:footer="0" w:header="0"/>
        </w:sectPr>
      </w:pPr>
    </w:p>
    <w:bookmarkStart w:id="7" w:name="page8"/>
    <w:bookmarkEnd w:id="7"/>
    <w:p>
      <w:pPr>
        <w:ind w:left="10180"/>
        <w:spacing w:after="0"/>
        <w:rPr>
          <w:sz w:val="20"/>
          <w:szCs w:val="20"/>
          <w:color w:val="auto"/>
        </w:rPr>
      </w:pPr>
      <w:r>
        <w:rPr>
          <w:rFonts w:ascii="Arial" w:cs="Arial" w:eastAsia="Arial" w:hAnsi="Arial"/>
          <w:sz w:val="16"/>
          <w:szCs w:val="16"/>
          <w:b w:val="1"/>
          <w:bCs w:val="1"/>
          <w:color w:val="auto"/>
        </w:rPr>
        <w:t>Exhibit 5.1</w:t>
      </w:r>
    </w:p>
    <w:p>
      <w:pPr>
        <w:spacing w:after="0" w:line="252" w:lineRule="exact"/>
        <w:rPr>
          <w:sz w:val="20"/>
          <w:szCs w:val="20"/>
          <w:color w:val="auto"/>
        </w:rPr>
      </w:pPr>
    </w:p>
    <w:p>
      <w:pPr>
        <w:ind w:left="9320"/>
        <w:spacing w:after="0"/>
        <w:rPr>
          <w:sz w:val="20"/>
          <w:szCs w:val="20"/>
          <w:color w:val="auto"/>
        </w:rPr>
      </w:pPr>
      <w:r>
        <w:rPr>
          <w:rFonts w:ascii="Arial" w:cs="Arial" w:eastAsia="Arial" w:hAnsi="Arial"/>
          <w:sz w:val="18"/>
          <w:szCs w:val="18"/>
          <w:color w:val="auto"/>
        </w:rPr>
        <w:t>November 7,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Zafgen,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 Center Plaza, Suite 610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 02108</w:t>
      </w:r>
    </w:p>
    <w:p>
      <w:pPr>
        <w:spacing w:after="0" w:line="238" w:lineRule="exact"/>
        <w:rPr>
          <w:sz w:val="20"/>
          <w:szCs w:val="20"/>
          <w:color w:val="auto"/>
        </w:rPr>
      </w:pPr>
    </w:p>
    <w:p>
      <w:pPr>
        <w:ind w:left="440"/>
        <w:spacing w:after="0"/>
        <w:tabs>
          <w:tab w:leader="none" w:pos="96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Securities Being Registered under Registration Statement on Form S-8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firstLine="441"/>
        <w:spacing w:after="0" w:line="302" w:lineRule="auto"/>
        <w:rPr>
          <w:sz w:val="20"/>
          <w:szCs w:val="20"/>
          <w:color w:val="auto"/>
        </w:rPr>
      </w:pPr>
      <w:r>
        <w:rPr>
          <w:rFonts w:ascii="Arial" w:cs="Arial" w:eastAsia="Arial" w:hAnsi="Arial"/>
          <w:sz w:val="16"/>
          <w:szCs w:val="16"/>
          <w:color w:val="auto"/>
        </w:rPr>
        <w:t>We have acted as counsel to you in connection with your filing of a Registration Statement on Form S-8 (the “Registration Statement”) pursuant to the Securities Act of 1933, as amended (the “Securities Act”), on or about the date hereof relating to an aggregate of 375,000 shares (the “Shares”) of Common Stock, $0.001 par value per share, of Zafgen, Inc., a Delaware corporation (the “Company”), that may be issued pursuant to Inducement Stock Option Agreement, between the Company and Priya Singhal, M.D., M.P.H., for awards granted on April 2, 2019 (the “Inducement Award”).</w:t>
      </w:r>
    </w:p>
    <w:p>
      <w:pPr>
        <w:spacing w:after="0" w:line="154" w:lineRule="exact"/>
        <w:rPr>
          <w:sz w:val="20"/>
          <w:szCs w:val="20"/>
          <w:color w:val="auto"/>
        </w:rPr>
      </w:pPr>
    </w:p>
    <w:p>
      <w:pPr>
        <w:ind w:right="280" w:firstLine="441"/>
        <w:spacing w:after="0" w:line="264" w:lineRule="auto"/>
        <w:rPr>
          <w:sz w:val="20"/>
          <w:szCs w:val="20"/>
          <w:color w:val="auto"/>
        </w:rPr>
      </w:pPr>
      <w:r>
        <w:rPr>
          <w:rFonts w:ascii="Arial" w:cs="Arial" w:eastAsia="Arial" w:hAnsi="Arial"/>
          <w:sz w:val="18"/>
          <w:szCs w:val="18"/>
          <w:color w:val="auto"/>
        </w:rPr>
        <w:t>We have reviewed such documents and made such examination of law as we have deemed appropriate to give the opinions set forth below. We have relied, without independent verification, on certificates of public officials and, as to matters of fact material to the opinion set forth below, on certificates of officers of the Company.</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opinion set forth below is limited to the Delaware General Corporation Law.</w:t>
      </w:r>
    </w:p>
    <w:p>
      <w:pPr>
        <w:spacing w:after="0" w:line="225"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For purposes of the opinion set forth below, we have assumed that no event occurs that causes the number of authorized shares of Common Stock available for issuance by the Company to be less than the number of then unissued Shares.</w:t>
      </w:r>
    </w:p>
    <w:p>
      <w:pPr>
        <w:spacing w:after="0" w:line="170"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Based on the foregoing, we are of the opinion that the Shares have been duly authorized and, upon issuance and delivery against payment therefor in accordance with the terms of the Inducement Award, will be validly issued, fully paid and nonassessable.</w:t>
      </w:r>
    </w:p>
    <w:p>
      <w:pPr>
        <w:spacing w:after="0" w:line="170" w:lineRule="exact"/>
        <w:rPr>
          <w:sz w:val="20"/>
          <w:szCs w:val="20"/>
          <w:color w:val="auto"/>
        </w:rPr>
      </w:pPr>
    </w:p>
    <w:p>
      <w:pPr>
        <w:ind w:right="60" w:firstLine="441"/>
        <w:spacing w:after="0" w:line="308" w:lineRule="auto"/>
        <w:rPr>
          <w:sz w:val="20"/>
          <w:szCs w:val="20"/>
          <w:color w:val="auto"/>
        </w:rPr>
      </w:pPr>
      <w:r>
        <w:rPr>
          <w:rFonts w:ascii="Arial" w:cs="Arial" w:eastAsia="Arial" w:hAnsi="Arial"/>
          <w:sz w:val="17"/>
          <w:szCs w:val="17"/>
          <w:color w:val="auto"/>
        </w:rPr>
        <w:t>We hereby consent to the inclusion of this opinion as Exhibit 5.1 to the Registration Statement. In giving our consent, we do not admit that we are in the category of persons whose consent is required under Section 7 of the Securities Act or the rules and regulations thereunder.</w:t>
      </w:r>
    </w:p>
    <w:p>
      <w:pPr>
        <w:spacing w:after="0" w:line="14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Goodwin Procter LLP</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 xml:space="preserve">GOODWIN PROCTER </w:t>
      </w:r>
      <w:r>
        <w:rPr>
          <w:rFonts w:ascii="Arial" w:cs="Arial" w:eastAsia="Arial" w:hAnsi="Arial"/>
          <w:sz w:val="15"/>
          <w:szCs w:val="15"/>
          <w:color w:val="auto"/>
        </w:rPr>
        <w:t>LLP</w:t>
      </w:r>
    </w:p>
    <w:p>
      <w:pPr>
        <w:sectPr>
          <w:pgSz w:w="11900" w:h="16838" w:orient="portrait"/>
          <w:cols w:equalWidth="0" w:num="1">
            <w:col w:w="11020"/>
          </w:cols>
          <w:pgMar w:left="440" w:top="121" w:right="4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We hereby consent to the incorporation by reference in this Registration Statement on Form S-8 of Zafgen, Inc. of our report dated March 14, 2019 relating to the consolidated financial statements, which appears in Zafgen, Inc.’s Annual Report on Form 10-K for the year ended December 31, 2018.</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6, 2019</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lowerRoman"/>
      <w:start w:val="2"/>
    </w:lvl>
  </w:abstractNum>
  <w:abstractNum w:abstractNumId="4">
    <w:nsid w:val="46E87CCD"/>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9" Type="http://schemas.openxmlformats.org/officeDocument/2006/relationships/image" Target="media/image16.png"/><Relationship Id="rId40" Type="http://schemas.openxmlformats.org/officeDocument/2006/relationships/image" Target="media/image17.png"/><Relationship Id="rId41" Type="http://schemas.openxmlformats.org/officeDocument/2006/relationships/image" Target="media/image18.png"/><Relationship Id="rId20" Type="http://schemas.openxmlformats.org/officeDocument/2006/relationships/hyperlink" Target="http://www.sec.gov/Archives/edgar/data/1374690/000156459019007863/zfgn-10k_20181231.htm" TargetMode="External"/><Relationship Id="rId21" Type="http://schemas.openxmlformats.org/officeDocument/2006/relationships/hyperlink" Target="http://www.sec.gov/Archives/edgar/data/1374690/000119312519122675/d675204ddef14a.htm" TargetMode="External"/><Relationship Id="rId22" Type="http://schemas.openxmlformats.org/officeDocument/2006/relationships/hyperlink" Target="http://www.sec.gov/Archives/edgar/data/1374690/000156459019018086/zfgn-10q_20190331.htm" TargetMode="External"/><Relationship Id="rId23" Type="http://schemas.openxmlformats.org/officeDocument/2006/relationships/hyperlink" Target="http://www.sec.gov/Archives/edgar/data/1374690/000119312518244422/d585259d10q.htm" TargetMode="External"/><Relationship Id="rId24" Type="http://schemas.openxmlformats.org/officeDocument/2006/relationships/hyperlink" Target="http://www.sec.gov/Archives/edgar/data/1374690/000156459019041090/zfgn-10q_20190930.htm" TargetMode="External"/><Relationship Id="rId25" Type="http://schemas.openxmlformats.org/officeDocument/2006/relationships/hyperlink" Target="http://www.sec.gov/Archives/edgar/data/1374690/000119312519143016/d745793d8k.htm" TargetMode="External"/><Relationship Id="rId26" Type="http://schemas.openxmlformats.org/officeDocument/2006/relationships/hyperlink" Target="http://www.sec.gov/Archives/edgar/data/1374690/000119312519160233/d747725d8k.htm" TargetMode="External"/><Relationship Id="rId27" Type="http://schemas.openxmlformats.org/officeDocument/2006/relationships/hyperlink" Target="http://www.sec.gov/Archives/edgar/data/1374690/000119312519172590/d764669d8k.htm" TargetMode="External"/><Relationship Id="rId28" Type="http://schemas.openxmlformats.org/officeDocument/2006/relationships/hyperlink" Target="http://www.sec.gov/Archives/edgar/data/1374690/000119312519244019/d798377d8k.htm" TargetMode="External"/><Relationship Id="rId29" Type="http://schemas.openxmlformats.org/officeDocument/2006/relationships/hyperlink" Target="http://www.sec.gov/Archives/edgar/data/1374690/000119312519249639/d803837d8k.htm" TargetMode="External"/><Relationship Id="rId30" Type="http://schemas.openxmlformats.org/officeDocument/2006/relationships/hyperlink" Target="http://www.sec.gov/Archives/edgar/data/1374690/000119312514240257/d745277d8a12b.htm" TargetMode="External"/><Relationship Id="rId34" Type="http://schemas.openxmlformats.org/officeDocument/2006/relationships/hyperlink" Target="http://www.sec.gov/Archives/edgar/data/1374690/000119312514222253/d642727dex41.htm" TargetMode="External"/><Relationship Id="rId35" Type="http://schemas.openxmlformats.org/officeDocument/2006/relationships/hyperlink" Target="http://www.sec.gov/Archives/edgar/data/1374690/000119312514247362/d747935dex31.htm" TargetMode="External"/><Relationship Id="rId36" Type="http://schemas.openxmlformats.org/officeDocument/2006/relationships/hyperlink" Target="http://www.sec.gov/Archives/edgar/data/1374690/000119312514247362/d747935dex32.htm" TargetMode="External"/><Relationship Id="rId37" Type="http://schemas.openxmlformats.org/officeDocument/2006/relationships/hyperlink" Target="http://www.sec.gov/Archives/edgar/data/1374690/000119312514149201/d642727dex42.htm" TargetMode="External"/><Relationship Id="rId38" Type="http://schemas.openxmlformats.org/officeDocument/2006/relationships/hyperlink" Target="http://www.sec.gov/Archives/edgar/data/1374690/000156459019018086/zfgn-ex103_7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2019-11-28T12:33:50Z</dcterms:created>
  <dcterms:modified xsi:type="dcterms:W3CDTF">2019-11-28T12:33:50Z</dcterms:modified>
</cp:coreProperties>
</file>