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28"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jc w:val="center"/>
        <w:ind w:right="-4"/>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141605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2"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Date of Report (Date of earliest event reported): August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194310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4"/>
        <w:spacing w:after="0"/>
        <w:rPr>
          <w:sz w:val="20"/>
          <w:szCs w:val="20"/>
          <w:color w:val="auto"/>
        </w:rPr>
      </w:pPr>
      <w:r>
        <w:rPr>
          <w:rFonts w:ascii="Arial" w:cs="Arial" w:eastAsia="Arial" w:hAnsi="Arial"/>
          <w:sz w:val="38"/>
          <w:szCs w:val="38"/>
          <w:b w:val="1"/>
          <w:bCs w:val="1"/>
          <w:color w:val="auto"/>
        </w:rPr>
        <w:t>Larimar Therapeutics, Inc.</w:t>
      </w:r>
    </w:p>
    <w:p>
      <w:pPr>
        <w:spacing w:after="0" w:line="7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212090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4"/>
        </w:trPr>
        <w:tc>
          <w:tcPr>
            <w:tcW w:w="2840" w:type="dxa"/>
            <w:vAlign w:val="bottom"/>
          </w:tcPr>
          <w:p>
            <w:pPr>
              <w:jc w:val="center"/>
              <w:ind w:right="771"/>
              <w:spacing w:after="0"/>
              <w:rPr>
                <w:sz w:val="20"/>
                <w:szCs w:val="20"/>
                <w:color w:val="auto"/>
              </w:rPr>
            </w:pPr>
            <w:r>
              <w:rPr>
                <w:rFonts w:ascii="Arial" w:cs="Arial" w:eastAsia="Arial" w:hAnsi="Arial"/>
                <w:sz w:val="16"/>
                <w:szCs w:val="16"/>
                <w:b w:val="1"/>
                <w:bCs w:val="1"/>
                <w:color w:val="auto"/>
                <w:w w:val="91"/>
              </w:rPr>
              <w:t>Delaware</w:t>
            </w:r>
          </w:p>
        </w:tc>
        <w:tc>
          <w:tcPr>
            <w:tcW w:w="3260" w:type="dxa"/>
            <w:vAlign w:val="bottom"/>
          </w:tcPr>
          <w:p>
            <w:pPr>
              <w:jc w:val="right"/>
              <w:ind w:right="1351"/>
              <w:spacing w:after="0"/>
              <w:rPr>
                <w:sz w:val="20"/>
                <w:szCs w:val="20"/>
                <w:color w:val="auto"/>
              </w:rPr>
            </w:pPr>
            <w:r>
              <w:rPr>
                <w:rFonts w:ascii="Arial" w:cs="Arial" w:eastAsia="Arial" w:hAnsi="Arial"/>
                <w:sz w:val="16"/>
                <w:szCs w:val="16"/>
                <w:b w:val="1"/>
                <w:bCs w:val="1"/>
                <w:color w:val="auto"/>
              </w:rPr>
              <w:t>001-36510</w:t>
            </w:r>
          </w:p>
        </w:tc>
        <w:tc>
          <w:tcPr>
            <w:tcW w:w="2020" w:type="dxa"/>
            <w:vAlign w:val="bottom"/>
          </w:tcPr>
          <w:p>
            <w:pPr>
              <w:jc w:val="right"/>
              <w:ind w:right="33"/>
              <w:spacing w:after="0"/>
              <w:rPr>
                <w:sz w:val="20"/>
                <w:szCs w:val="20"/>
                <w:color w:val="auto"/>
              </w:rPr>
            </w:pPr>
            <w:r>
              <w:rPr>
                <w:rFonts w:ascii="Arial" w:cs="Arial" w:eastAsia="Arial" w:hAnsi="Arial"/>
                <w:sz w:val="16"/>
                <w:szCs w:val="16"/>
                <w:b w:val="1"/>
                <w:bCs w:val="1"/>
                <w:color w:val="auto"/>
              </w:rPr>
              <w:t>20-3857670</w:t>
            </w:r>
          </w:p>
        </w:tc>
      </w:tr>
      <w:tr>
        <w:trPr>
          <w:trHeight w:val="132"/>
        </w:trPr>
        <w:tc>
          <w:tcPr>
            <w:tcW w:w="2840" w:type="dxa"/>
            <w:vAlign w:val="bottom"/>
          </w:tcPr>
          <w:p>
            <w:pPr>
              <w:jc w:val="center"/>
              <w:ind w:right="771"/>
              <w:spacing w:after="0" w:line="133" w:lineRule="exact"/>
              <w:rPr>
                <w:sz w:val="20"/>
                <w:szCs w:val="20"/>
                <w:color w:val="auto"/>
              </w:rPr>
            </w:pPr>
            <w:r>
              <w:rPr>
                <w:rFonts w:ascii="Arial" w:cs="Arial" w:eastAsia="Arial" w:hAnsi="Arial"/>
                <w:sz w:val="12"/>
                <w:szCs w:val="12"/>
                <w:b w:val="1"/>
                <w:bCs w:val="1"/>
                <w:color w:val="auto"/>
                <w:w w:val="90"/>
              </w:rPr>
              <w:t>(State or Other Jurisdiction</w:t>
            </w:r>
          </w:p>
        </w:tc>
        <w:tc>
          <w:tcPr>
            <w:tcW w:w="3260" w:type="dxa"/>
            <w:vAlign w:val="bottom"/>
          </w:tcPr>
          <w:p>
            <w:pPr>
              <w:jc w:val="center"/>
              <w:ind w:right="211"/>
              <w:spacing w:after="0" w:line="133" w:lineRule="exact"/>
              <w:rPr>
                <w:sz w:val="20"/>
                <w:szCs w:val="20"/>
                <w:color w:val="auto"/>
              </w:rPr>
            </w:pPr>
            <w:r>
              <w:rPr>
                <w:rFonts w:ascii="Arial" w:cs="Arial" w:eastAsia="Arial" w:hAnsi="Arial"/>
                <w:sz w:val="12"/>
                <w:szCs w:val="12"/>
                <w:b w:val="1"/>
                <w:bCs w:val="1"/>
                <w:color w:val="auto"/>
                <w:w w:val="90"/>
              </w:rPr>
              <w:t>(Commission File Number)</w:t>
            </w:r>
          </w:p>
        </w:tc>
        <w:tc>
          <w:tcPr>
            <w:tcW w:w="2020" w:type="dxa"/>
            <w:vAlign w:val="bottom"/>
          </w:tcPr>
          <w:p>
            <w:pPr>
              <w:jc w:val="center"/>
              <w:ind w:left="1013"/>
              <w:spacing w:after="0" w:line="133" w:lineRule="exact"/>
              <w:rPr>
                <w:sz w:val="20"/>
                <w:szCs w:val="20"/>
                <w:color w:val="auto"/>
              </w:rPr>
            </w:pPr>
            <w:r>
              <w:rPr>
                <w:rFonts w:ascii="Arial" w:cs="Arial" w:eastAsia="Arial" w:hAnsi="Arial"/>
                <w:sz w:val="12"/>
                <w:szCs w:val="12"/>
                <w:b w:val="1"/>
                <w:bCs w:val="1"/>
                <w:color w:val="auto"/>
                <w:w w:val="95"/>
              </w:rPr>
              <w:t>(IRS Employer</w:t>
            </w:r>
          </w:p>
        </w:tc>
      </w:tr>
      <w:tr>
        <w:trPr>
          <w:trHeight w:val="151"/>
        </w:trPr>
        <w:tc>
          <w:tcPr>
            <w:tcW w:w="2840" w:type="dxa"/>
            <w:vAlign w:val="bottom"/>
          </w:tcPr>
          <w:p>
            <w:pPr>
              <w:jc w:val="center"/>
              <w:ind w:right="771"/>
              <w:spacing w:after="0"/>
              <w:rPr>
                <w:sz w:val="20"/>
                <w:szCs w:val="20"/>
                <w:color w:val="auto"/>
              </w:rPr>
            </w:pPr>
            <w:r>
              <w:rPr>
                <w:rFonts w:ascii="Arial" w:cs="Arial" w:eastAsia="Arial" w:hAnsi="Arial"/>
                <w:sz w:val="12"/>
                <w:szCs w:val="12"/>
                <w:b w:val="1"/>
                <w:bCs w:val="1"/>
                <w:color w:val="auto"/>
                <w:w w:val="91"/>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Arial" w:cs="Arial" w:eastAsia="Arial" w:hAnsi="Arial"/>
                <w:sz w:val="12"/>
                <w:szCs w:val="12"/>
                <w:b w:val="1"/>
                <w:bCs w:val="1"/>
                <w:color w:val="auto"/>
                <w:w w:val="92"/>
              </w:rPr>
              <w:t>Identification No.)</w:t>
            </w:r>
          </w:p>
        </w:tc>
      </w:tr>
      <w:tr>
        <w:trPr>
          <w:trHeight w:val="387"/>
        </w:trPr>
        <w:tc>
          <w:tcPr>
            <w:tcW w:w="2840" w:type="dxa"/>
            <w:vAlign w:val="bottom"/>
          </w:tcPr>
          <w:p>
            <w:pPr>
              <w:jc w:val="center"/>
              <w:ind w:right="751"/>
              <w:spacing w:after="0"/>
              <w:rPr>
                <w:sz w:val="20"/>
                <w:szCs w:val="20"/>
                <w:color w:val="auto"/>
              </w:rPr>
            </w:pPr>
            <w:r>
              <w:rPr>
                <w:rFonts w:ascii="Arial" w:cs="Arial" w:eastAsia="Arial" w:hAnsi="Arial"/>
                <w:sz w:val="16"/>
                <w:szCs w:val="16"/>
                <w:b w:val="1"/>
                <w:bCs w:val="1"/>
                <w:color w:val="auto"/>
                <w:w w:val="90"/>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4"/>
        </w:trPr>
        <w:tc>
          <w:tcPr>
            <w:tcW w:w="2840" w:type="dxa"/>
            <w:vAlign w:val="bottom"/>
          </w:tcPr>
          <w:p>
            <w:pPr>
              <w:jc w:val="center"/>
              <w:ind w:right="771"/>
              <w:spacing w:after="0"/>
              <w:rPr>
                <w:sz w:val="20"/>
                <w:szCs w:val="20"/>
                <w:color w:val="auto"/>
              </w:rPr>
            </w:pPr>
            <w:r>
              <w:rPr>
                <w:rFonts w:ascii="Arial" w:cs="Arial" w:eastAsia="Arial" w:hAnsi="Arial"/>
                <w:sz w:val="16"/>
                <w:szCs w:val="16"/>
                <w:b w:val="1"/>
                <w:bCs w:val="1"/>
                <w:color w:val="auto"/>
                <w:w w:val="89"/>
              </w:rPr>
              <w:t>Bala Cynwyd, Pennsylvania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Arial" w:cs="Arial" w:eastAsia="Arial" w:hAnsi="Arial"/>
                <w:sz w:val="16"/>
                <w:szCs w:val="16"/>
                <w:b w:val="1"/>
                <w:bCs w:val="1"/>
                <w:color w:val="auto"/>
              </w:rPr>
              <w:t>19004</w:t>
            </w:r>
          </w:p>
        </w:tc>
      </w:tr>
      <w:tr>
        <w:trPr>
          <w:trHeight w:val="154"/>
        </w:trPr>
        <w:tc>
          <w:tcPr>
            <w:tcW w:w="2840" w:type="dxa"/>
            <w:vAlign w:val="bottom"/>
          </w:tcPr>
          <w:p>
            <w:pPr>
              <w:jc w:val="center"/>
              <w:ind w:right="751"/>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Arial" w:cs="Arial" w:eastAsia="Arial" w:hAnsi="Arial"/>
                <w:sz w:val="12"/>
                <w:szCs w:val="12"/>
                <w:b w:val="1"/>
                <w:bCs w:val="1"/>
                <w:color w:val="auto"/>
                <w:w w:val="90"/>
              </w:rPr>
              <w:t>(Zip Code)</w:t>
            </w:r>
          </w:p>
        </w:tc>
      </w:tr>
    </w:tbl>
    <w:p>
      <w:pPr>
        <w:spacing w:after="0" w:line="375" w:lineRule="exact"/>
        <w:rPr>
          <w:sz w:val="24"/>
          <w:szCs w:val="24"/>
          <w:color w:val="auto"/>
        </w:rPr>
      </w:pPr>
    </w:p>
    <w:p>
      <w:pPr>
        <w:jc w:val="center"/>
        <w:ind w:right="35"/>
        <w:spacing w:after="0"/>
        <w:rPr>
          <w:sz w:val="20"/>
          <w:szCs w:val="20"/>
          <w:color w:val="auto"/>
        </w:rPr>
      </w:pPr>
      <w:r>
        <w:rPr>
          <w:rFonts w:ascii="Arial" w:cs="Arial" w:eastAsia="Arial" w:hAnsi="Arial"/>
          <w:sz w:val="16"/>
          <w:szCs w:val="16"/>
          <w:b w:val="1"/>
          <w:bCs w:val="1"/>
          <w:color w:val="auto"/>
        </w:rPr>
        <w:t>Registrant’s Telephone Number, Including Area Code: (844) 511-9056</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219710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left="5"/>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43" w:lineRule="exact"/>
        <w:rPr>
          <w:sz w:val="24"/>
          <w:szCs w:val="24"/>
          <w:color w:val="auto"/>
        </w:rPr>
      </w:pPr>
    </w:p>
    <w:tbl>
      <w:tblPr>
        <w:tblLayout w:type="fixed"/>
        <w:tblInd w:w="5" w:type="dxa"/>
        <w:tblCellMar>
          <w:top w:w="0" w:type="dxa"/>
          <w:left w:w="0" w:type="dxa"/>
          <w:bottom w:w="0" w:type="dxa"/>
          <w:right w:w="0" w:type="dxa"/>
        </w:tblCellMar>
      </w:tblPr>
      <w:tr>
        <w:trPr>
          <w:trHeight w:val="204"/>
        </w:trPr>
        <w:tc>
          <w:tcPr>
            <w:tcW w:w="3600" w:type="dxa"/>
            <w:vAlign w:val="bottom"/>
          </w:tcPr>
          <w:p>
            <w:pPr>
              <w:spacing w:after="0"/>
              <w:rPr>
                <w:sz w:val="17"/>
                <w:szCs w:val="17"/>
                <w:color w:val="auto"/>
              </w:rPr>
            </w:pPr>
          </w:p>
        </w:tc>
        <w:tc>
          <w:tcPr>
            <w:tcW w:w="7660" w:type="dxa"/>
            <w:vAlign w:val="bottom"/>
            <w:gridSpan w:val="5"/>
          </w:tcPr>
          <w:p>
            <w:pPr>
              <w:ind w:left="100"/>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16"/>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9"/>
        </w:trPr>
        <w:tc>
          <w:tcPr>
            <w:tcW w:w="3600" w:type="dxa"/>
            <w:vAlign w:val="bottom"/>
            <w:tcBorders>
              <w:bottom w:val="single" w:sz="8" w:color="auto"/>
            </w:tcBorders>
          </w:tcPr>
          <w:p>
            <w:pPr>
              <w:jc w:val="center"/>
              <w:ind w:left="581"/>
              <w:spacing w:after="0"/>
              <w:rPr>
                <w:sz w:val="20"/>
                <w:szCs w:val="20"/>
                <w:color w:val="auto"/>
              </w:rPr>
            </w:pPr>
            <w:r>
              <w:rPr>
                <w:rFonts w:ascii="Arial" w:cs="Arial" w:eastAsia="Arial" w:hAnsi="Arial"/>
                <w:sz w:val="16"/>
                <w:szCs w:val="16"/>
                <w:b w:val="1"/>
                <w:bCs w:val="1"/>
                <w:color w:val="auto"/>
                <w:w w:val="85"/>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Name of each exchange on which registered</w:t>
            </w:r>
          </w:p>
        </w:tc>
      </w:tr>
      <w:tr>
        <w:trPr>
          <w:trHeight w:val="200"/>
        </w:trPr>
        <w:tc>
          <w:tcPr>
            <w:tcW w:w="3600" w:type="dxa"/>
            <w:vAlign w:val="bottom"/>
          </w:tcPr>
          <w:p>
            <w:pPr>
              <w:jc w:val="center"/>
              <w:ind w:left="581"/>
              <w:spacing w:after="0"/>
              <w:rPr>
                <w:sz w:val="20"/>
                <w:szCs w:val="20"/>
                <w:color w:val="auto"/>
              </w:rPr>
            </w:pPr>
            <w:r>
              <w:rPr>
                <w:rFonts w:ascii="Arial" w:cs="Arial" w:eastAsia="Arial" w:hAnsi="Arial"/>
                <w:sz w:val="16"/>
                <w:szCs w:val="16"/>
                <w:color w:val="auto"/>
                <w:w w:val="8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Arial" w:cs="Arial" w:eastAsia="Arial" w:hAnsi="Arial"/>
                <w:sz w:val="16"/>
                <w:szCs w:val="16"/>
                <w:color w:val="auto"/>
                <w:w w:val="90"/>
              </w:rPr>
              <w:t>Nasdaq Global Market</w:t>
            </w:r>
          </w:p>
        </w:tc>
      </w:tr>
    </w:tbl>
    <w:p>
      <w:pPr>
        <w:spacing w:after="0" w:line="177" w:lineRule="exact"/>
        <w:rPr>
          <w:sz w:val="24"/>
          <w:szCs w:val="24"/>
          <w:color w:val="auto"/>
        </w:rPr>
      </w:pPr>
    </w:p>
    <w:p>
      <w:pPr>
        <w:ind w:left="5" w:right="20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ind w:left="5"/>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left="5" w:right="320"/>
        <w:spacing w:after="0" w:line="20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294640</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517"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8.01 Other Events.</w:t>
      </w:r>
    </w:p>
    <w:p>
      <w:pPr>
        <w:spacing w:after="0" w:line="104"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On August 14, 2023, Larimar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Below is a list of exhibits included with this Current Report on Form 8-K.</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 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780" w:type="dxa"/>
            <w:vAlign w:val="bottom"/>
            <w:tcBorders>
              <w:bottom w:val="single" w:sz="8" w:color="auto"/>
            </w:tcBorders>
            <w:gridSpan w:val="2"/>
          </w:tcPr>
          <w:p>
            <w:pPr>
              <w:ind w:left="4600"/>
              <w:spacing w:after="0"/>
              <w:rPr>
                <w:sz w:val="20"/>
                <w:szCs w:val="20"/>
                <w:color w:val="auto"/>
              </w:rPr>
            </w:pPr>
            <w:r>
              <w:rPr>
                <w:rFonts w:ascii="Arial" w:cs="Arial" w:eastAsia="Arial" w:hAnsi="Arial"/>
                <w:sz w:val="13"/>
                <w:szCs w:val="13"/>
                <w:b w:val="1"/>
                <w:bCs w:val="1"/>
                <w:color w:val="auto"/>
              </w:rPr>
              <w:t>Document</w:t>
            </w:r>
          </w:p>
        </w:tc>
      </w:tr>
      <w:tr>
        <w:trPr>
          <w:trHeight w:val="157"/>
        </w:trPr>
        <w:tc>
          <w:tcPr>
            <w:tcW w:w="1120" w:type="dxa"/>
            <w:vAlign w:val="bottom"/>
          </w:tcPr>
          <w:p>
            <w:pPr>
              <w:spacing w:after="0" w:line="158" w:lineRule="exact"/>
              <w:rPr>
                <w:sz w:val="20"/>
                <w:szCs w:val="20"/>
                <w:color w:val="auto"/>
              </w:rPr>
            </w:pPr>
            <w:r>
              <w:rPr>
                <w:rFonts w:ascii="Arial" w:cs="Arial" w:eastAsia="Arial" w:hAnsi="Arial"/>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2"/>
          </w:tcPr>
          <w:p>
            <w:pPr>
              <w:spacing w:after="0" w:line="158" w:lineRule="exact"/>
              <w:rPr>
                <w:sz w:val="20"/>
                <w:szCs w:val="20"/>
                <w:color w:val="auto"/>
              </w:rPr>
            </w:pPr>
            <w:r>
              <w:rPr>
                <w:rFonts w:ascii="Arial" w:cs="Arial" w:eastAsia="Arial" w:hAnsi="Arial"/>
                <w:sz w:val="16"/>
                <w:szCs w:val="16"/>
                <w:color w:val="0000FF"/>
              </w:rPr>
              <w:t>Larimar Therapeutics, Inc. Corporate Presentation, dated August 14, 2023*</w:t>
            </w: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Borders>
              <w:right w:val="single" w:sz="8" w:color="0000EE"/>
            </w:tcBorders>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bl>
    <w:p>
      <w:pPr>
        <w:spacing w:after="0" w:line="35" w:lineRule="exact"/>
        <w:rPr>
          <w:sz w:val="20"/>
          <w:szCs w:val="20"/>
          <w:color w:val="auto"/>
        </w:rPr>
      </w:pPr>
    </w:p>
    <w:p>
      <w:pPr>
        <w:ind w:left="1480" w:hanging="1474"/>
        <w:spacing w:after="0"/>
        <w:tabs>
          <w:tab w:leader="none" w:pos="1480" w:val="left"/>
        </w:tabs>
        <w:numPr>
          <w:ilvl w:val="1"/>
          <w:numId w:val="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179070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07" w:right="319" w:bottom="1440" w:gutter="0" w:footer="0" w:header="0"/>
        </w:sectPr>
      </w:pPr>
    </w:p>
    <w:bookmarkStart w:id="2" w:name="page3"/>
    <w:bookmarkEnd w:id="2"/>
    <w:p>
      <w:pPr>
        <w:ind w:left="5120"/>
        <w:spacing w:after="0"/>
        <w:rPr>
          <w:sz w:val="20"/>
          <w:szCs w:val="20"/>
          <w:color w:val="auto"/>
        </w:rPr>
      </w:pPr>
      <w:r>
        <w:rPr>
          <w:rFonts w:ascii="Arial" w:cs="Arial" w:eastAsia="Arial" w:hAnsi="Arial"/>
          <w:sz w:val="16"/>
          <w:szCs w:val="16"/>
          <w:b w:val="1"/>
          <w:bCs w:val="1"/>
          <w:color w:val="auto"/>
        </w:rPr>
        <w:t>SIGNATURES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Larimar Therapeutics,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August 14,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19050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Name: Carole S. Ben-Maimon, M.D.</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269240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23" w:right="85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2023-08-14T07:12:20Z</dcterms:created>
  <dcterms:modified xsi:type="dcterms:W3CDTF">2023-08-14T07:12:20Z</dcterms:modified>
</cp:coreProperties>
</file>