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101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517125100</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Larimar Therapeutics, Inc. (f/k/a Zafgen,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400" w:right="9580" w:firstLine="4"/>
        <w:spacing w:after="0" w:line="229" w:lineRule="exact"/>
        <w:tabs>
          <w:tab w:leader="none" w:pos="60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13d-1(d)</w:t>
      </w:r>
    </w:p>
    <w:p>
      <w:pPr>
        <w:spacing w:after="0" w:line="18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706120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517125100</w:t>
            </w:r>
          </w:p>
        </w:tc>
        <w:tc>
          <w:tcPr>
            <w:tcW w:w="6680" w:type="dxa"/>
            <w:vAlign w:val="bottom"/>
          </w:tcPr>
          <w:p>
            <w:pPr>
              <w:ind w:left="55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tc>
      </w:tr>
      <w:tr>
        <w:trPr>
          <w:trHeight w:val="216"/>
        </w:trPr>
        <w:tc>
          <w:tcPr>
            <w:tcW w:w="42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tcPr>
          <w:p>
            <w:pPr>
              <w:spacing w:after="0"/>
              <w:rPr>
                <w:sz w:val="18"/>
                <w:szCs w:val="18"/>
                <w:color w:val="auto"/>
              </w:rPr>
            </w:pPr>
          </w:p>
        </w:tc>
        <w:tc>
          <w:tcPr>
            <w:tcW w:w="6680" w:type="dxa"/>
            <w:vAlign w:val="bottom"/>
            <w:tcBorders>
              <w:bottom w:val="single" w:sz="8" w:color="auto"/>
            </w:tcBorders>
          </w:tcPr>
          <w:p>
            <w:pPr>
              <w:spacing w:after="0"/>
              <w:rPr>
                <w:sz w:val="18"/>
                <w:szCs w:val="18"/>
                <w:color w:val="auto"/>
              </w:rPr>
            </w:pPr>
          </w:p>
        </w:tc>
      </w:tr>
      <w:tr>
        <w:trPr>
          <w:trHeight w:val="22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Names of Reporting Person</w:t>
            </w:r>
          </w:p>
        </w:tc>
        <w:tc>
          <w:tcPr>
            <w:tcW w:w="66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Sio Capital Management, LLC</w:t>
            </w:r>
          </w:p>
        </w:tc>
      </w:tr>
      <w:tr>
        <w:trPr>
          <w:trHeight w:val="395"/>
        </w:trPr>
        <w:tc>
          <w:tcPr>
            <w:tcW w:w="420" w:type="dxa"/>
            <w:vAlign w:val="bottom"/>
          </w:tcPr>
          <w:p>
            <w:pPr>
              <w:spacing w:after="0"/>
              <w:rPr>
                <w:sz w:val="24"/>
                <w:szCs w:val="24"/>
                <w:color w:val="auto"/>
              </w:rPr>
            </w:pPr>
          </w:p>
        </w:tc>
        <w:tc>
          <w:tcPr>
            <w:tcW w:w="4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I.R.S. Identification Nos. of</w:t>
            </w:r>
          </w:p>
        </w:tc>
        <w:tc>
          <w:tcPr>
            <w:tcW w:w="66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20-4586565</w:t>
            </w:r>
          </w:p>
        </w:tc>
      </w:tr>
      <w:tr>
        <w:trPr>
          <w:trHeight w:val="216"/>
        </w:trPr>
        <w:tc>
          <w:tcPr>
            <w:tcW w:w="420" w:type="dxa"/>
            <w:vAlign w:val="bottom"/>
          </w:tcPr>
          <w:p>
            <w:pPr>
              <w:spacing w:after="0"/>
              <w:rPr>
                <w:sz w:val="18"/>
                <w:szCs w:val="18"/>
                <w:color w:val="auto"/>
              </w:rPr>
            </w:pPr>
          </w:p>
        </w:tc>
        <w:tc>
          <w:tcPr>
            <w:tcW w:w="4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Above Persons (entities</w:t>
            </w:r>
          </w:p>
        </w:tc>
        <w:tc>
          <w:tcPr>
            <w:tcW w:w="668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4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only)</w:t>
            </w:r>
          </w:p>
        </w:tc>
        <w:tc>
          <w:tcPr>
            <w:tcW w:w="6680" w:type="dxa"/>
            <w:vAlign w:val="bottom"/>
          </w:tcPr>
          <w:p>
            <w:pPr>
              <w:spacing w:after="0"/>
              <w:rPr>
                <w:sz w:val="20"/>
                <w:szCs w:val="20"/>
                <w:color w:val="auto"/>
              </w:rPr>
            </w:pPr>
          </w:p>
        </w:tc>
      </w:tr>
      <w:tr>
        <w:trPr>
          <w:trHeight w:val="216"/>
        </w:trPr>
        <w:tc>
          <w:tcPr>
            <w:tcW w:w="42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tcPr>
          <w:p>
            <w:pPr>
              <w:spacing w:after="0"/>
              <w:rPr>
                <w:sz w:val="18"/>
                <w:szCs w:val="18"/>
                <w:color w:val="auto"/>
              </w:rPr>
            </w:pPr>
          </w:p>
        </w:tc>
        <w:tc>
          <w:tcPr>
            <w:tcW w:w="6680" w:type="dxa"/>
            <w:vAlign w:val="bottom"/>
            <w:tcBorders>
              <w:bottom w:val="single" w:sz="8" w:color="auto"/>
            </w:tcBorders>
          </w:tcPr>
          <w:p>
            <w:pPr>
              <w:spacing w:after="0"/>
              <w:rPr>
                <w:sz w:val="18"/>
                <w:szCs w:val="18"/>
                <w:color w:val="auto"/>
              </w:rPr>
            </w:pPr>
          </w:p>
        </w:tc>
      </w:tr>
      <w:tr>
        <w:trPr>
          <w:trHeight w:val="163"/>
        </w:trPr>
        <w:tc>
          <w:tcPr>
            <w:tcW w:w="42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2.</w:t>
            </w:r>
          </w:p>
        </w:tc>
        <w:tc>
          <w:tcPr>
            <w:tcW w:w="4140" w:type="dxa"/>
            <w:vAlign w:val="bottom"/>
          </w:tcPr>
          <w:p>
            <w:pPr>
              <w:ind w:left="260"/>
              <w:spacing w:after="0" w:line="163" w:lineRule="exact"/>
              <w:rPr>
                <w:sz w:val="20"/>
                <w:szCs w:val="20"/>
                <w:color w:val="auto"/>
              </w:rPr>
            </w:pPr>
            <w:r>
              <w:rPr>
                <w:rFonts w:ascii="Times New Roman" w:cs="Times New Roman" w:eastAsia="Times New Roman" w:hAnsi="Times New Roman"/>
                <w:sz w:val="18"/>
                <w:szCs w:val="18"/>
                <w:color w:val="auto"/>
              </w:rPr>
              <w:t>Check the Appropriate Box</w:t>
            </w:r>
          </w:p>
        </w:tc>
        <w:tc>
          <w:tcPr>
            <w:tcW w:w="6680" w:type="dxa"/>
            <w:vAlign w:val="bottom"/>
          </w:tcPr>
          <w:p>
            <w:pPr>
              <w:ind w:left="186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420" w:type="dxa"/>
            <w:vAlign w:val="bottom"/>
          </w:tcPr>
          <w:p>
            <w:pPr>
              <w:spacing w:after="0"/>
              <w:rPr>
                <w:sz w:val="24"/>
                <w:szCs w:val="24"/>
                <w:color w:val="auto"/>
              </w:rPr>
            </w:pPr>
          </w:p>
        </w:tc>
        <w:tc>
          <w:tcPr>
            <w:tcW w:w="4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if a Member of a Group</w:t>
            </w:r>
          </w:p>
        </w:tc>
        <w:tc>
          <w:tcPr>
            <w:tcW w:w="6680" w:type="dxa"/>
            <w:vAlign w:val="bottom"/>
          </w:tcPr>
          <w:p>
            <w:pPr>
              <w:ind w:left="18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91" w:lineRule="exact"/>
        <w:rPr>
          <w:sz w:val="20"/>
          <w:szCs w:val="20"/>
          <w:color w:val="auto"/>
        </w:rPr>
      </w:pPr>
    </w:p>
    <w:p>
      <w:pPr>
        <w:ind w:left="680" w:hanging="672"/>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w:t>
            </w:r>
          </w:p>
        </w:tc>
        <w:tc>
          <w:tcPr>
            <w:tcW w:w="48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Citizenship or Place</w:t>
            </w:r>
          </w:p>
        </w:tc>
        <w:tc>
          <w:tcPr>
            <w:tcW w:w="400" w:type="dxa"/>
            <w:vAlign w:val="bottom"/>
            <w:tcBorders>
              <w:top w:val="single" w:sz="8" w:color="auto"/>
            </w:tcBorders>
          </w:tcPr>
          <w:p>
            <w:pPr>
              <w:spacing w:after="0"/>
              <w:rPr>
                <w:sz w:val="18"/>
                <w:szCs w:val="18"/>
                <w:color w:val="auto"/>
              </w:rPr>
            </w:pPr>
          </w:p>
        </w:tc>
        <w:tc>
          <w:tcPr>
            <w:tcW w:w="354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Delaware</w:t>
            </w:r>
          </w:p>
        </w:tc>
        <w:tc>
          <w:tcPr>
            <w:tcW w:w="2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Organization</w:t>
            </w:r>
          </w:p>
        </w:tc>
        <w:tc>
          <w:tcPr>
            <w:tcW w:w="4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tcBorders>
              <w:bottom w:val="single" w:sz="8" w:color="auto"/>
            </w:tcBorders>
            <w:gridSpan w:val="2"/>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3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Number of Shares Beneficially</w:t>
            </w:r>
          </w:p>
        </w:tc>
        <w:tc>
          <w:tcPr>
            <w:tcW w:w="40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354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2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-0-</w:t>
            </w: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Owned by Each Reporting</w:t>
            </w:r>
          </w:p>
        </w:tc>
        <w:tc>
          <w:tcPr>
            <w:tcW w:w="4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 With</w:t>
            </w:r>
            <w:r>
              <w:rPr>
                <w:rFonts w:ascii="Times New Roman" w:cs="Times New Roman" w:eastAsia="Times New Roman" w:hAnsi="Times New Roman"/>
                <w:sz w:val="29"/>
                <w:szCs w:val="29"/>
                <w:color w:val="auto"/>
                <w:vertAlign w:val="superscript"/>
              </w:rPr>
              <w:t>1</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6.</w:t>
            </w:r>
          </w:p>
        </w:tc>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188,661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420" w:type="dxa"/>
            <w:vAlign w:val="bottom"/>
          </w:tcPr>
          <w:p>
            <w:pPr>
              <w:spacing w:after="0"/>
              <w:rPr>
                <w:sz w:val="4"/>
                <w:szCs w:val="4"/>
                <w:color w:val="auto"/>
              </w:rPr>
            </w:pPr>
          </w:p>
        </w:tc>
        <w:tc>
          <w:tcPr>
            <w:tcW w:w="488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7.</w:t>
            </w:r>
          </w:p>
        </w:tc>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Sole Dispositive Power</w:t>
            </w: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8.</w:t>
            </w:r>
          </w:p>
        </w:tc>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80" w:hanging="672"/>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Reporting Person</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188,661</w:t>
            </w:r>
          </w:p>
        </w:tc>
      </w:tr>
    </w:tbl>
    <w:p>
      <w:pPr>
        <w:spacing w:after="0" w:line="193" w:lineRule="exact"/>
        <w:rPr>
          <w:sz w:val="20"/>
          <w:szCs w:val="20"/>
          <w:color w:val="auto"/>
        </w:rPr>
      </w:pPr>
    </w:p>
    <w:p>
      <w:pPr>
        <w:ind w:left="680" w:hanging="672"/>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 w:lineRule="exact"/>
        <w:rPr>
          <w:sz w:val="20"/>
          <w:szCs w:val="20"/>
          <w:color w:val="auto"/>
        </w:rPr>
      </w:pPr>
    </w:p>
    <w:p>
      <w:pPr>
        <w:ind w:left="6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Excludes Certain Shares</w:t>
      </w:r>
      <w:r>
        <w:rPr>
          <w:sz w:val="20"/>
          <w:szCs w:val="20"/>
          <w:color w:val="auto"/>
        </w:rPr>
        <w:tab/>
      </w:r>
      <w:r>
        <w:rPr>
          <w:rFonts w:ascii="MS PGothic" w:cs="MS PGothic" w:eastAsia="MS PGothic" w:hAnsi="MS PGothic"/>
          <w:sz w:val="16"/>
          <w:szCs w:val="16"/>
          <w:color w:val="auto"/>
        </w:rPr>
        <w:t>☐</w:t>
      </w:r>
    </w:p>
    <w:p>
      <w:pPr>
        <w:spacing w:after="0" w:line="225" w:lineRule="exact"/>
        <w:rPr>
          <w:sz w:val="20"/>
          <w:szCs w:val="20"/>
          <w:color w:val="auto"/>
        </w:rPr>
      </w:pPr>
    </w:p>
    <w:p>
      <w:pPr>
        <w:ind w:left="680" w:hanging="672"/>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460" w:type="dxa"/>
            <w:vAlign w:val="bottom"/>
          </w:tcPr>
          <w:p>
            <w:pPr>
              <w:spacing w:after="0"/>
              <w:rPr>
                <w:sz w:val="24"/>
                <w:szCs w:val="24"/>
                <w:color w:val="auto"/>
              </w:rPr>
            </w:pP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Row (9)</w:t>
            </w:r>
          </w:p>
        </w:tc>
        <w:tc>
          <w:tcPr>
            <w:tcW w:w="4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38"/>
        </w:trPr>
        <w:tc>
          <w:tcPr>
            <w:tcW w:w="460" w:type="dxa"/>
            <w:vAlign w:val="bottom"/>
            <w:tcBorders>
              <w:bottom w:val="single" w:sz="8" w:color="auto"/>
            </w:tcBorders>
          </w:tcPr>
          <w:p>
            <w:pPr>
              <w:spacing w:after="0"/>
              <w:rPr>
                <w:sz w:val="3"/>
                <w:szCs w:val="3"/>
                <w:color w:val="auto"/>
              </w:rPr>
            </w:pPr>
          </w:p>
        </w:tc>
        <w:tc>
          <w:tcPr>
            <w:tcW w:w="6140" w:type="dxa"/>
            <w:vAlign w:val="bottom"/>
            <w:tcBorders>
              <w:bottom w:val="single" w:sz="8" w:color="auto"/>
            </w:tcBorders>
          </w:tcPr>
          <w:p>
            <w:pPr>
              <w:spacing w:after="0"/>
              <w:rPr>
                <w:sz w:val="3"/>
                <w:szCs w:val="3"/>
                <w:color w:val="auto"/>
              </w:rPr>
            </w:pPr>
          </w:p>
        </w:tc>
        <w:tc>
          <w:tcPr>
            <w:tcW w:w="464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12.</w:t>
            </w: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IA</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1713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3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60" w:firstLine="8"/>
        <w:spacing w:after="0" w:line="195" w:lineRule="auto"/>
        <w:tabs>
          <w:tab w:leader="none" w:pos="112"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December 31, 2020, Sio Capital Management, LLC beneficially owned 188,661 shares of Common Stock with shared voting power and shared dispositive power. The ownership information reported in this Schedule 13G is as of December 31, 2020.</w:t>
      </w:r>
    </w:p>
    <w:p>
      <w:pPr>
        <w:spacing w:after="0" w:line="24" w:lineRule="exact"/>
        <w:rPr>
          <w:sz w:val="20"/>
          <w:szCs w:val="20"/>
          <w:color w:val="auto"/>
        </w:rPr>
      </w:pPr>
    </w:p>
    <w:p>
      <w:pPr>
        <w:ind w:right="40" w:firstLine="8"/>
        <w:spacing w:after="0" w:line="195" w:lineRule="auto"/>
        <w:tabs>
          <w:tab w:leader="none" w:pos="112"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15,356,206 shares of common stock outstanding as of October 31, 2020, as reported in the Issuer’s Form 10-Q filed with the SEC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517125100</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780" w:type="dxa"/>
            <w:vAlign w:val="bottom"/>
          </w:tcPr>
          <w:p>
            <w:pPr>
              <w:ind w:left="3960"/>
              <w:spacing w:after="0"/>
              <w:rPr>
                <w:sz w:val="20"/>
                <w:szCs w:val="20"/>
                <w:color w:val="auto"/>
              </w:rPr>
            </w:pPr>
            <w:r>
              <w:rPr>
                <w:rFonts w:ascii="Times New Roman" w:cs="Times New Roman" w:eastAsia="Times New Roman" w:hAnsi="Times New Roman"/>
                <w:sz w:val="18"/>
                <w:szCs w:val="18"/>
                <w:color w:val="auto"/>
                <w:w w:val="98"/>
              </w:rPr>
              <w:t xml:space="preserve">Page </w:t>
            </w:r>
            <w:r>
              <w:rPr>
                <w:rFonts w:ascii="Times New Roman" w:cs="Times New Roman" w:eastAsia="Times New Roman" w:hAnsi="Times New Roman"/>
                <w:sz w:val="18"/>
                <w:szCs w:val="18"/>
                <w:b w:val="1"/>
                <w:bCs w:val="1"/>
                <w:color w:val="auto"/>
                <w:w w:val="98"/>
              </w:rPr>
              <w:t>3</w:t>
            </w:r>
            <w:r>
              <w:rPr>
                <w:rFonts w:ascii="Times New Roman" w:cs="Times New Roman" w:eastAsia="Times New Roman" w:hAnsi="Times New Roman"/>
                <w:sz w:val="18"/>
                <w:szCs w:val="18"/>
                <w:color w:val="auto"/>
                <w:w w:val="98"/>
              </w:rPr>
              <w:t xml:space="preserve"> of </w:t>
            </w:r>
            <w:r>
              <w:rPr>
                <w:rFonts w:ascii="Times New Roman" w:cs="Times New Roman" w:eastAsia="Times New Roman" w:hAnsi="Times New Roman"/>
                <w:sz w:val="18"/>
                <w:szCs w:val="18"/>
                <w:b w:val="1"/>
                <w:bCs w:val="1"/>
                <w:color w:val="auto"/>
                <w:w w:val="98"/>
              </w:rPr>
              <w:t>6</w:t>
            </w:r>
          </w:p>
        </w:tc>
      </w:tr>
      <w:tr>
        <w:trPr>
          <w:trHeight w:val="392"/>
        </w:trPr>
        <w:tc>
          <w:tcPr>
            <w:tcW w:w="8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24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Schedule 13G</w:t>
            </w:r>
          </w:p>
        </w:tc>
      </w:tr>
      <w:tr>
        <w:trPr>
          <w:trHeight w:val="453"/>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38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4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780" w:type="dxa"/>
            <w:vAlign w:val="bottom"/>
          </w:tcPr>
          <w:p>
            <w:pPr>
              <w:spacing w:after="0"/>
              <w:rPr>
                <w:sz w:val="24"/>
                <w:szCs w:val="24"/>
                <w:color w:val="auto"/>
              </w:rPr>
            </w:pPr>
          </w:p>
        </w:tc>
      </w:tr>
      <w:tr>
        <w:trPr>
          <w:trHeight w:val="432"/>
        </w:trPr>
        <w:tc>
          <w:tcPr>
            <w:tcW w:w="860" w:type="dxa"/>
            <w:vAlign w:val="bottom"/>
          </w:tcPr>
          <w:p>
            <w:pPr>
              <w:spacing w:after="0"/>
              <w:rPr>
                <w:sz w:val="24"/>
                <w:szCs w:val="24"/>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Larimar Therapeutics, Inc. (f/k/a Zafgen, Inc.)</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pacing w:after="0" w:line="3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b w:val="1"/>
          <w:bCs w:val="1"/>
          <w:color w:val="auto"/>
        </w:rPr>
        <w:t>Name of Persons Filing:</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Statement is filed on behalf of Sio Capital Management, LLC (the “Reporting Person” or “Sio”)</w:t>
      </w:r>
    </w:p>
    <w:p>
      <w:pPr>
        <w:spacing w:after="0" w:line="225"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Sio is a registered investment adviser to certain affiliated funds that directly hold the shares of Common Stock to which this statement relates for the benefit of their respective investors, and in such capacity Sio has voting and dispositive power over such shares.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600 Third Avenue,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p>
      <w:pPr>
        <w:ind w:left="980"/>
        <w:spacing w:after="0"/>
        <w:rPr>
          <w:sz w:val="20"/>
          <w:szCs w:val="20"/>
          <w:color w:val="auto"/>
        </w:rPr>
      </w:pPr>
      <w:r>
        <w:rPr>
          <w:rFonts w:ascii="Times New Roman" w:cs="Times New Roman" w:eastAsia="Times New Roman" w:hAnsi="Times New Roman"/>
          <w:sz w:val="18"/>
          <w:szCs w:val="18"/>
          <w:color w:val="auto"/>
        </w:rPr>
        <w:t>New York, New York 10016</w:t>
      </w:r>
    </w:p>
    <w:p>
      <w:pPr>
        <w:spacing w:after="0" w:line="200" w:lineRule="exact"/>
        <w:rPr>
          <w:sz w:val="20"/>
          <w:szCs w:val="20"/>
          <w:color w:val="auto"/>
        </w:rPr>
      </w:pPr>
    </w:p>
    <w:p>
      <w:pPr>
        <w:spacing w:after="0" w:line="21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Sio is a Delaware limited liability company.</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$0.001 par value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8"/>
          <w:szCs w:val="18"/>
          <w:color w:val="auto"/>
        </w:rPr>
        <w:t>CUSIP Number: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33" w:right="439" w:bottom="1440" w:gutter="0" w:footer="0" w:header="0"/>
        </w:sectPr>
      </w:pPr>
    </w:p>
    <w:bookmarkStart w:id="3" w:name="page4"/>
    <w:bookmarkEnd w:id="3"/>
    <w:p>
      <w:pPr>
        <w:spacing w:after="0"/>
        <w:tabs>
          <w:tab w:leader="none" w:pos="10100" w:val="left"/>
        </w:tabs>
        <w:rPr>
          <w:sz w:val="20"/>
          <w:szCs w:val="20"/>
          <w:color w:val="auto"/>
        </w:rPr>
      </w:pPr>
      <w:r>
        <w:rPr>
          <w:rFonts w:ascii="Times New Roman" w:cs="Times New Roman" w:eastAsia="Times New Roman" w:hAnsi="Times New Roman"/>
          <w:sz w:val="18"/>
          <w:szCs w:val="18"/>
          <w:color w:val="auto"/>
        </w:rPr>
        <w:t>CUSIP No. 517125100</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p>
      <w:pPr>
        <w:spacing w:after="0" w:line="200" w:lineRule="exact"/>
        <w:rPr>
          <w:sz w:val="20"/>
          <w:szCs w:val="20"/>
          <w:color w:val="auto"/>
        </w:rPr>
      </w:pPr>
    </w:p>
    <w:p>
      <w:pPr>
        <w:ind w:left="920" w:hanging="912"/>
        <w:spacing w:after="0" w:line="207" w:lineRule="exact"/>
        <w:tabs>
          <w:tab w:leader="none" w:pos="92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Broker or dealer registered under section 15 of the Act (15 U.S.C. 78o).</w:t>
      </w:r>
    </w:p>
    <w:p>
      <w:pPr>
        <w:spacing w:after="0" w:line="57" w:lineRule="exact"/>
        <w:rPr>
          <w:rFonts w:ascii="Times New Roman" w:cs="Times New Roman" w:eastAsia="Times New Roman" w:hAnsi="Times New Roman"/>
          <w:sz w:val="18"/>
          <w:szCs w:val="18"/>
          <w:color w:val="auto"/>
        </w:rPr>
      </w:pPr>
    </w:p>
    <w:p>
      <w:pPr>
        <w:ind w:left="920" w:hanging="912"/>
        <w:spacing w:after="0" w:line="207" w:lineRule="exact"/>
        <w:tabs>
          <w:tab w:leader="none" w:pos="92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Bank as defined in section 3(a)(6) of the Act (15 U.S.C. 73c).</w:t>
      </w:r>
    </w:p>
    <w:p>
      <w:pPr>
        <w:spacing w:after="0" w:line="9" w:lineRule="exact"/>
        <w:rPr>
          <w:rFonts w:ascii="Times New Roman" w:cs="Times New Roman" w:eastAsia="Times New Roman" w:hAnsi="Times New Roman"/>
          <w:sz w:val="18"/>
          <w:szCs w:val="18"/>
          <w:color w:val="auto"/>
        </w:rPr>
      </w:pPr>
    </w:p>
    <w:p>
      <w:pPr>
        <w:ind w:left="920" w:hanging="912"/>
        <w:spacing w:after="0" w:line="207" w:lineRule="exact"/>
        <w:tabs>
          <w:tab w:leader="none" w:pos="92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U.S.C.78c).</w:t>
      </w:r>
    </w:p>
    <w:p>
      <w:pPr>
        <w:spacing w:after="0" w:line="9" w:lineRule="exact"/>
        <w:rPr>
          <w:rFonts w:ascii="Times New Roman" w:cs="Times New Roman" w:eastAsia="Times New Roman" w:hAnsi="Times New Roman"/>
          <w:sz w:val="18"/>
          <w:szCs w:val="18"/>
          <w:color w:val="auto"/>
        </w:rPr>
      </w:pPr>
    </w:p>
    <w:p>
      <w:pPr>
        <w:ind w:left="920" w:hanging="912"/>
        <w:spacing w:after="0" w:line="207" w:lineRule="exact"/>
        <w:tabs>
          <w:tab w:leader="none" w:pos="92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920" w:hanging="912"/>
        <w:spacing w:after="0" w:line="207" w:lineRule="exact"/>
        <w:tabs>
          <w:tab w:leader="none" w:pos="92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§13d-1(b)(1)(ii)(E).</w:t>
      </w:r>
    </w:p>
    <w:p>
      <w:pPr>
        <w:spacing w:after="0" w:line="9" w:lineRule="exact"/>
        <w:rPr>
          <w:rFonts w:ascii="Times New Roman" w:cs="Times New Roman" w:eastAsia="Times New Roman" w:hAnsi="Times New Roman"/>
          <w:sz w:val="18"/>
          <w:szCs w:val="18"/>
          <w:color w:val="auto"/>
        </w:rPr>
      </w:pPr>
    </w:p>
    <w:p>
      <w:pPr>
        <w:ind w:left="920" w:hanging="912"/>
        <w:spacing w:after="0" w:line="207" w:lineRule="exact"/>
        <w:tabs>
          <w:tab w:leader="none" w:pos="92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employee benefit plan or endowment fund in accordance with §240.13d-1(b)(1)(ii)(F).</w:t>
      </w:r>
    </w:p>
    <w:p>
      <w:pPr>
        <w:spacing w:after="0" w:line="9" w:lineRule="exact"/>
        <w:rPr>
          <w:rFonts w:ascii="Times New Roman" w:cs="Times New Roman" w:eastAsia="Times New Roman" w:hAnsi="Times New Roman"/>
          <w:sz w:val="18"/>
          <w:szCs w:val="18"/>
          <w:color w:val="auto"/>
        </w:rPr>
      </w:pPr>
    </w:p>
    <w:p>
      <w:pPr>
        <w:ind w:left="920" w:hanging="912"/>
        <w:spacing w:after="0" w:line="207" w:lineRule="exact"/>
        <w:tabs>
          <w:tab w:leader="none" w:pos="92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parent holding company or control person in accordance with §240.13d-1(b)(1)(ii)(G).</w:t>
      </w:r>
    </w:p>
    <w:p>
      <w:pPr>
        <w:spacing w:after="0" w:line="9" w:lineRule="exact"/>
        <w:rPr>
          <w:rFonts w:ascii="Times New Roman" w:cs="Times New Roman" w:eastAsia="Times New Roman" w:hAnsi="Times New Roman"/>
          <w:sz w:val="18"/>
          <w:szCs w:val="18"/>
          <w:color w:val="auto"/>
        </w:rPr>
      </w:pPr>
    </w:p>
    <w:p>
      <w:pPr>
        <w:ind w:left="920" w:hanging="912"/>
        <w:spacing w:after="0" w:line="207" w:lineRule="exact"/>
        <w:tabs>
          <w:tab w:leader="none" w:pos="92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1580" w:right="20" w:hanging="1572"/>
        <w:spacing w:after="0" w:line="215" w:lineRule="exact"/>
        <w:tabs>
          <w:tab w:leader="none" w:pos="905"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ind w:left="920" w:hanging="912"/>
        <w:spacing w:after="0" w:line="207" w:lineRule="exact"/>
        <w:tabs>
          <w:tab w:leader="none" w:pos="92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in accordance with §240.13d-1(b)(1)(ii)(J).</w:t>
      </w:r>
    </w:p>
    <w:p>
      <w:pPr>
        <w:spacing w:after="0" w:line="207" w:lineRule="exact"/>
        <w:rPr>
          <w:sz w:val="20"/>
          <w:szCs w:val="20"/>
          <w:color w:val="auto"/>
        </w:rPr>
      </w:pPr>
    </w:p>
    <w:p>
      <w:pPr>
        <w:ind w:left="920" w:hanging="912"/>
        <w:spacing w:after="0"/>
        <w:tabs>
          <w:tab w:leader="none" w:pos="920" w:val="left"/>
        </w:tabs>
        <w:numPr>
          <w:ilvl w:val="0"/>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this statement is filed pursuant to §240.13d-1(c), check this box.</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through (c):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Items 5 through 9 and 11 of the cover pages to this Schedule 13G is incorporated herein by reference.</w:t>
      </w:r>
      <w:r>
        <w:rPr>
          <w:rFonts w:ascii="Times New Roman" w:cs="Times New Roman" w:eastAsia="Times New Roman" w:hAnsi="Times New Roman"/>
          <w:sz w:val="29"/>
          <w:szCs w:val="29"/>
          <w:color w:val="auto"/>
          <w:vertAlign w:val="superscript"/>
        </w:rPr>
        <w:t>3</w:t>
      </w:r>
    </w:p>
    <w:p>
      <w:pPr>
        <w:spacing w:after="0" w:line="34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980" w:right="16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Various advisory clients of the Reporting Person have the right to receive or the power to direct the receipt of dividends from, or the proceeds from the sale of, the Common Stock of Larimar Therapeutics, Inc. (f/k/a Zafgen, Inc.) in their accounts with the Reporting Person. No such person has such interest relating to more than 5% of the outstanding shares of Common Stock of Larimar Therapeutics, Inc. (f/k/a Zafgen,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236855</wp:posOffset>
            </wp:positionV>
            <wp:extent cx="1713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38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60" w:firstLine="8"/>
        <w:spacing w:after="0" w:line="231" w:lineRule="auto"/>
        <w:tabs>
          <w:tab w:leader="none" w:pos="12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Sio and Sio GP, LLC (the “GP”) act as investment advisor and general partner, respectively, to various clients that are the record owners of the Common Stock reported on this Schedule 13G. Because Sio’s investment discretion with respect to such clients is subject to oversight by the GP, the GP may be deemed to be the beneficial owner of the Common Stock of the Issuer owned by such clients. In addition, both Sio and the GP are controlled by Michael Castor. As such, he may be deemed to control the voting and dispositive decisions with respect to, and therefore be the beneficial owner of, the shares of Common Stock reported on this Schedule 13G. Neither the filing of this Schedule 13G nor any of its contents shall be deemed to constitute an admission by the GP or Michael Castor that such person is the beneficial owner of any of the equity securities referred to herein for purposes of Section 13(d) of the Exchange Act, or for any other purpose, and such beneficial ownership is expressly disclaimed.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33" w:right="419" w:bottom="1440" w:gutter="0" w:footer="0" w:header="0"/>
        </w:sectPr>
      </w:pPr>
    </w:p>
    <w:bookmarkStart w:id="4" w:name="page5"/>
    <w:bookmarkEnd w:id="4"/>
    <w:p>
      <w:pPr>
        <w:spacing w:after="0"/>
        <w:tabs>
          <w:tab w:leader="none" w:pos="10100" w:val="left"/>
        </w:tabs>
        <w:rPr>
          <w:sz w:val="20"/>
          <w:szCs w:val="20"/>
          <w:color w:val="auto"/>
        </w:rPr>
      </w:pPr>
      <w:r>
        <w:rPr>
          <w:rFonts w:ascii="Times New Roman" w:cs="Times New Roman" w:eastAsia="Times New Roman" w:hAnsi="Times New Roman"/>
          <w:sz w:val="18"/>
          <w:szCs w:val="18"/>
          <w:color w:val="auto"/>
        </w:rPr>
        <w:t>CUSIP No. 517125100</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00" w:lineRule="exact"/>
        <w:rPr>
          <w:sz w:val="20"/>
          <w:szCs w:val="20"/>
          <w:color w:val="auto"/>
        </w:rPr>
      </w:pPr>
    </w:p>
    <w:p>
      <w:pPr>
        <w:spacing w:after="0" w:line="241" w:lineRule="exact"/>
        <w:rPr>
          <w:sz w:val="20"/>
          <w:szCs w:val="20"/>
          <w:color w:val="auto"/>
        </w:rPr>
      </w:pPr>
    </w:p>
    <w:p>
      <w:pPr>
        <w:ind w:left="1300" w:right="8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By the Parent Holding Company.</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a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herein were acquired and are held in the ordinary course of business and were not acquired and are not held for the purpose of or with the effect of changing or influencing the control of the Issuer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33" w:right="359" w:bottom="1440" w:gutter="0" w:footer="0" w:header="0"/>
        </w:sectPr>
      </w:pPr>
    </w:p>
    <w:bookmarkStart w:id="5" w:name="page6"/>
    <w:bookmarkEnd w:id="5"/>
    <w:p>
      <w:pPr>
        <w:spacing w:after="0"/>
        <w:tabs>
          <w:tab w:leader="none" w:pos="10100" w:val="left"/>
        </w:tabs>
        <w:rPr>
          <w:sz w:val="20"/>
          <w:szCs w:val="20"/>
          <w:color w:val="auto"/>
        </w:rPr>
      </w:pPr>
      <w:r>
        <w:rPr>
          <w:rFonts w:ascii="Times New Roman" w:cs="Times New Roman" w:eastAsia="Times New Roman" w:hAnsi="Times New Roman"/>
          <w:sz w:val="18"/>
          <w:szCs w:val="18"/>
          <w:color w:val="auto"/>
        </w:rPr>
        <w:t>CUSIP No. 517125100</w:t>
      </w:r>
      <w:r>
        <w:rPr>
          <w:sz w:val="20"/>
          <w:szCs w:val="20"/>
          <w:color w:val="auto"/>
        </w:rPr>
        <w:tab/>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12, 2021</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SIO CAPITAL MANAGEMENT, LLC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 xml:space="preserve">By: </w:t>
      </w:r>
      <w:r>
        <w:rPr>
          <w:sz w:val="1"/>
          <w:szCs w:val="1"/>
          <w:color w:val="auto"/>
        </w:rPr>
        <w:drawing>
          <wp:inline distT="0" distB="0" distL="0" distR="0">
            <wp:extent cx="1217295" cy="46291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17295" cy="46291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9525</wp:posOffset>
            </wp:positionV>
            <wp:extent cx="24942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color w:val="auto"/>
        </w:rPr>
        <w:t>Name: Judah Drillick</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60"/>
      </w:cols>
      <w:pgMar w:left="320" w:top="83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3"/>
    </w:lvl>
  </w:abstractNum>
  <w:abstractNum w:abstractNumId="2">
    <w:nsid w:val="2EB141F2"/>
    <w:multiLevelType w:val="hybridMultilevel"/>
    <w:lvl w:ilvl="0">
      <w:lvlJc w:val="left"/>
      <w:lvlText w:val="%1."/>
      <w:numFmt w:val="decimal"/>
      <w:start w:val="9"/>
    </w:lvl>
  </w:abstractNum>
  <w:abstractNum w:abstractNumId="3">
    <w:nsid w:val="41B71EFB"/>
    <w:multiLevelType w:val="hybridMultilevel"/>
    <w:lvl w:ilvl="0">
      <w:lvlJc w:val="left"/>
      <w:lvlText w:val="%1."/>
      <w:numFmt w:val="decimal"/>
      <w:start w:val="10"/>
    </w:lvl>
  </w:abstractNum>
  <w:abstractNum w:abstractNumId="4">
    <w:nsid w:val="79E2A9E3"/>
    <w:multiLevelType w:val="hybridMultilevel"/>
    <w:lvl w:ilvl="0">
      <w:lvlJc w:val="left"/>
      <w:lvlText w:val="%1."/>
      <w:numFmt w:val="decimal"/>
      <w:start w:val="11"/>
    </w:lvl>
  </w:abstractNum>
  <w:abstractNum w:abstractNumId="5">
    <w:nsid w:val="7545E146"/>
    <w:multiLevelType w:val="hybridMultilevel"/>
    <w:lvl w:ilvl="0">
      <w:lvlJc w:val="left"/>
      <w:lvlText w:val="1"/>
      <w:numFmt w:val="bullet"/>
      <w:start w:val="1"/>
    </w:lvl>
  </w:abstractNum>
  <w:abstractNum w:abstractNumId="6">
    <w:nsid w:val="515F007C"/>
    <w:multiLevelType w:val="hybridMultilevel"/>
    <w:lvl w:ilvl="0">
      <w:lvlJc w:val="left"/>
      <w:lvlText w:val="2"/>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2021-02-16T12:04:52Z</dcterms:created>
  <dcterms:modified xsi:type="dcterms:W3CDTF">2021-02-16T12:04:52Z</dcterms:modified>
</cp:coreProperties>
</file>