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4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March 14, 2023</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20" w:type="dxa"/>
        <w:tblCellMar>
          <w:top w:w="0" w:type="dxa"/>
          <w:left w:w="0" w:type="dxa"/>
          <w:bottom w:w="0" w:type="dxa"/>
          <w:right w:w="0" w:type="dxa"/>
        </w:tblCellMar>
      </w:tblPr>
      <w:tr>
        <w:trPr>
          <w:trHeight w:val="214"/>
        </w:trPr>
        <w:tc>
          <w:tcPr>
            <w:tcW w:w="606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6060" w:type="dxa"/>
            <w:vAlign w:val="bottom"/>
            <w:gridSpan w:val="3"/>
          </w:tcPr>
          <w:p>
            <w:pPr>
              <w:jc w:val="center"/>
              <w:ind w:right="35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2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60" w:type="dxa"/>
            <w:vAlign w:val="bottom"/>
            <w:gridSpan w:val="3"/>
          </w:tcPr>
          <w:p>
            <w:pPr>
              <w:jc w:val="center"/>
              <w:ind w:right="35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2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606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1320" w:type="dxa"/>
            <w:vAlign w:val="bottom"/>
          </w:tcPr>
          <w:p>
            <w:pPr>
              <w:spacing w:after="0"/>
              <w:rPr>
                <w:sz w:val="24"/>
                <w:szCs w:val="24"/>
                <w:color w:val="auto"/>
              </w:rPr>
            </w:pPr>
          </w:p>
        </w:tc>
      </w:tr>
      <w:tr>
        <w:trPr>
          <w:trHeight w:val="227"/>
        </w:trPr>
        <w:tc>
          <w:tcPr>
            <w:tcW w:w="606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6060" w:type="dxa"/>
            <w:vAlign w:val="bottom"/>
            <w:gridSpan w:val="3"/>
          </w:tcPr>
          <w:p>
            <w:pPr>
              <w:jc w:val="center"/>
              <w:ind w:right="3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2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06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Non-Qualified Stock Option Inducement Awards</w:t>
            </w:r>
          </w:p>
        </w:tc>
        <w:tc>
          <w:tcPr>
            <w:tcW w:w="132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320" w:type="dxa"/>
            <w:vAlign w:val="bottom"/>
          </w:tcPr>
          <w:p>
            <w:pPr>
              <w:spacing w:after="0"/>
              <w:rPr>
                <w:sz w:val="16"/>
                <w:szCs w:val="16"/>
                <w:color w:val="auto"/>
              </w:rPr>
            </w:pPr>
          </w:p>
        </w:tc>
      </w:tr>
      <w:tr>
        <w:trPr>
          <w:trHeight w:val="393"/>
        </w:trPr>
        <w:tc>
          <w:tcPr>
            <w:tcW w:w="282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Carole S. Ben-Maimon, M.D.</w:t>
            </w:r>
          </w:p>
        </w:tc>
        <w:tc>
          <w:tcPr>
            <w:tcW w:w="1320" w:type="dxa"/>
            <w:vAlign w:val="bottom"/>
          </w:tcPr>
          <w:p>
            <w:pPr>
              <w:spacing w:after="0"/>
              <w:rPr>
                <w:sz w:val="24"/>
                <w:szCs w:val="24"/>
                <w:color w:val="auto"/>
              </w:rPr>
            </w:pPr>
          </w:p>
        </w:tc>
      </w:tr>
      <w:tr>
        <w:trPr>
          <w:trHeight w:val="216"/>
        </w:trPr>
        <w:tc>
          <w:tcPr>
            <w:tcW w:w="606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13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Larimar Therapeutics, Inc.</w:t>
            </w:r>
          </w:p>
        </w:tc>
        <w:tc>
          <w:tcPr>
            <w:tcW w:w="1320" w:type="dxa"/>
            <w:vAlign w:val="bottom"/>
          </w:tcPr>
          <w:p>
            <w:pPr>
              <w:spacing w:after="0"/>
              <w:rPr>
                <w:sz w:val="18"/>
                <w:szCs w:val="18"/>
                <w:color w:val="auto"/>
              </w:rPr>
            </w:pPr>
          </w:p>
        </w:tc>
      </w:tr>
      <w:tr>
        <w:trPr>
          <w:trHeight w:val="216"/>
        </w:trPr>
        <w:tc>
          <w:tcPr>
            <w:tcW w:w="606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1320" w:type="dxa"/>
            <w:vAlign w:val="bottom"/>
          </w:tcPr>
          <w:p>
            <w:pPr>
              <w:spacing w:after="0"/>
              <w:rPr>
                <w:sz w:val="18"/>
                <w:szCs w:val="18"/>
                <w:color w:val="auto"/>
              </w:rPr>
            </w:pPr>
          </w:p>
        </w:tc>
      </w:tr>
      <w:tr>
        <w:trPr>
          <w:trHeight w:val="214"/>
        </w:trPr>
        <w:tc>
          <w:tcPr>
            <w:tcW w:w="606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Bala Cynwyd, Pennsylvania 19004</w:t>
            </w:r>
          </w:p>
        </w:tc>
        <w:tc>
          <w:tcPr>
            <w:tcW w:w="1320" w:type="dxa"/>
            <w:vAlign w:val="bottom"/>
          </w:tcPr>
          <w:p>
            <w:pPr>
              <w:spacing w:after="0"/>
              <w:rPr>
                <w:sz w:val="18"/>
                <w:szCs w:val="18"/>
                <w:color w:val="auto"/>
              </w:rPr>
            </w:pPr>
          </w:p>
        </w:tc>
      </w:tr>
      <w:tr>
        <w:trPr>
          <w:trHeight w:val="190"/>
        </w:trPr>
        <w:tc>
          <w:tcPr>
            <w:tcW w:w="6060" w:type="dxa"/>
            <w:vAlign w:val="bottom"/>
            <w:gridSpan w:val="3"/>
          </w:tcPr>
          <w:p>
            <w:pPr>
              <w:jc w:val="center"/>
              <w:ind w:left="1816"/>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320" w:type="dxa"/>
            <w:vAlign w:val="bottom"/>
          </w:tcPr>
          <w:p>
            <w:pPr>
              <w:spacing w:after="0"/>
              <w:rPr>
                <w:sz w:val="16"/>
                <w:szCs w:val="16"/>
                <w:color w:val="auto"/>
              </w:rPr>
            </w:pPr>
          </w:p>
        </w:tc>
      </w:tr>
      <w:tr>
        <w:trPr>
          <w:trHeight w:val="390"/>
        </w:trPr>
        <w:tc>
          <w:tcPr>
            <w:tcW w:w="5140" w:type="dxa"/>
            <w:vAlign w:val="bottom"/>
            <w:gridSpan w:val="2"/>
          </w:tcPr>
          <w:p>
            <w:pPr>
              <w:jc w:val="center"/>
              <w:ind w:left="2736"/>
              <w:spacing w:after="0"/>
              <w:rPr>
                <w:sz w:val="20"/>
                <w:szCs w:val="20"/>
                <w:color w:val="auto"/>
              </w:rPr>
            </w:pPr>
            <w:r>
              <w:rPr>
                <w:rFonts w:ascii="Times New Roman" w:cs="Times New Roman" w:eastAsia="Times New Roman" w:hAnsi="Times New Roman"/>
                <w:sz w:val="18"/>
                <w:szCs w:val="18"/>
                <w:b w:val="1"/>
                <w:bCs w:val="1"/>
                <w:color w:val="auto"/>
                <w:w w:val="99"/>
              </w:rPr>
              <w:t>(844) 511-9056</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0"/>
        </w:trPr>
        <w:tc>
          <w:tcPr>
            <w:tcW w:w="6060" w:type="dxa"/>
            <w:vAlign w:val="bottom"/>
            <w:gridSpan w:val="3"/>
          </w:tcPr>
          <w:p>
            <w:pPr>
              <w:jc w:val="center"/>
              <w:ind w:left="1836"/>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320" w:type="dxa"/>
            <w:vAlign w:val="bottom"/>
          </w:tcPr>
          <w:p>
            <w:pPr>
              <w:spacing w:after="0"/>
              <w:rPr>
                <w:sz w:val="16"/>
                <w:szCs w:val="16"/>
                <w:color w:val="auto"/>
              </w:rPr>
            </w:pPr>
          </w:p>
        </w:tc>
      </w:tr>
      <w:tr>
        <w:trPr>
          <w:trHeight w:val="347"/>
        </w:trPr>
        <w:tc>
          <w:tcPr>
            <w:tcW w:w="28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6"/>
        </w:trPr>
        <w:tc>
          <w:tcPr>
            <w:tcW w:w="2820" w:type="dxa"/>
            <w:vAlign w:val="bottom"/>
          </w:tcPr>
          <w:p>
            <w:pPr>
              <w:spacing w:after="0"/>
              <w:rPr>
                <w:sz w:val="24"/>
                <w:szCs w:val="24"/>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1320" w:type="dxa"/>
            <w:vAlign w:val="bottom"/>
          </w:tcPr>
          <w:p>
            <w:pPr>
              <w:spacing w:after="0"/>
              <w:rPr>
                <w:sz w:val="24"/>
                <w:szCs w:val="24"/>
                <w:color w:val="auto"/>
              </w:rPr>
            </w:pPr>
          </w:p>
        </w:tc>
      </w:tr>
      <w:tr>
        <w:trPr>
          <w:trHeight w:val="302"/>
        </w:trPr>
        <w:tc>
          <w:tcPr>
            <w:tcW w:w="282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Rachael M. Bushey</w:t>
            </w:r>
          </w:p>
        </w:tc>
        <w:tc>
          <w:tcPr>
            <w:tcW w:w="132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Jennifer L. Porter</w:t>
            </w:r>
          </w:p>
        </w:tc>
        <w:tc>
          <w:tcPr>
            <w:tcW w:w="13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13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2929 Arch Street, Suite 1700</w:t>
            </w:r>
          </w:p>
        </w:tc>
        <w:tc>
          <w:tcPr>
            <w:tcW w:w="13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Philadelphia, PA 19104</w:t>
            </w:r>
          </w:p>
        </w:tc>
        <w:tc>
          <w:tcPr>
            <w:tcW w:w="1320" w:type="dxa"/>
            <w:vAlign w:val="bottom"/>
          </w:tcPr>
          <w:p>
            <w:pPr>
              <w:spacing w:after="0"/>
              <w:rPr>
                <w:sz w:val="18"/>
                <w:szCs w:val="18"/>
                <w:color w:val="auto"/>
              </w:rPr>
            </w:pPr>
          </w:p>
        </w:tc>
      </w:tr>
      <w:tr>
        <w:trPr>
          <w:trHeight w:val="238"/>
        </w:trPr>
        <w:tc>
          <w:tcPr>
            <w:tcW w:w="5140" w:type="dxa"/>
            <w:vAlign w:val="bottom"/>
            <w:gridSpan w:val="2"/>
          </w:tcPr>
          <w:p>
            <w:pPr>
              <w:jc w:val="center"/>
              <w:ind w:left="2736"/>
              <w:spacing w:after="0"/>
              <w:rPr>
                <w:sz w:val="20"/>
                <w:szCs w:val="20"/>
                <w:color w:val="auto"/>
              </w:rPr>
            </w:pPr>
            <w:r>
              <w:rPr>
                <w:rFonts w:ascii="Times New Roman" w:cs="Times New Roman" w:eastAsia="Times New Roman" w:hAnsi="Times New Roman"/>
                <w:sz w:val="18"/>
                <w:szCs w:val="18"/>
                <w:b w:val="1"/>
                <w:bCs w:val="1"/>
                <w:color w:val="auto"/>
                <w:w w:val="99"/>
              </w:rPr>
              <w:t>(445) 207-7805</w:t>
            </w: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ind w:left="4"/>
        <w:spacing w:after="0" w:line="289" w:lineRule="auto"/>
        <w:rPr>
          <w:sz w:val="20"/>
          <w:szCs w:val="20"/>
          <w:color w:val="auto"/>
        </w:rPr>
      </w:pPr>
      <w:r>
        <w:rPr>
          <w:rFonts w:ascii="Times New Roman" w:cs="Times New Roman" w:eastAsia="Times New Roman" w:hAnsi="Times New Roman"/>
          <w:sz w:val="17"/>
          <w:szCs w:val="17"/>
          <w:color w:val="auto"/>
        </w:rPr>
        <w:t>This Registration Statement on Form S-8 registers shares of common stock, par value $0.001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Larimar Therapeutics, Inc. (the “</w:t>
      </w:r>
      <w:r>
        <w:rPr>
          <w:rFonts w:ascii="Times New Roman" w:cs="Times New Roman" w:eastAsia="Times New Roman" w:hAnsi="Times New Roman"/>
          <w:sz w:val="17"/>
          <w:szCs w:val="17"/>
          <w:u w:val="single" w:color="auto"/>
          <w:color w:val="auto"/>
        </w:rPr>
        <w:t>Registrant</w:t>
      </w:r>
      <w:r>
        <w:rPr>
          <w:rFonts w:ascii="Times New Roman" w:cs="Times New Roman" w:eastAsia="Times New Roman" w:hAnsi="Times New Roman"/>
          <w:sz w:val="17"/>
          <w:szCs w:val="17"/>
          <w:color w:val="auto"/>
        </w:rPr>
        <w:t>”) issuable pursuant to the inducement award, as described below. To induce the individual listed below to accept employment with the Registrant, the Registrant granted the following equity award to such individual (the “</w:t>
      </w:r>
      <w:r>
        <w:rPr>
          <w:rFonts w:ascii="Times New Roman" w:cs="Times New Roman" w:eastAsia="Times New Roman" w:hAnsi="Times New Roman"/>
          <w:sz w:val="17"/>
          <w:szCs w:val="17"/>
          <w:u w:val="single" w:color="auto"/>
          <w:color w:val="auto"/>
        </w:rPr>
        <w:t>Inducement Award</w:t>
      </w:r>
      <w:r>
        <w:rPr>
          <w:rFonts w:ascii="Times New Roman" w:cs="Times New Roman" w:eastAsia="Times New Roman" w:hAnsi="Times New Roman"/>
          <w:sz w:val="17"/>
          <w:szCs w:val="17"/>
          <w:color w:val="auto"/>
        </w:rPr>
        <w:t>”) on the date listed below:</w:t>
      </w:r>
    </w:p>
    <w:p>
      <w:pPr>
        <w:spacing w:after="0" w:line="63"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to purchase 180,000 shares of Common Stock granted to one newly-hired employee on February 7, 2023.</w:t>
      </w:r>
    </w:p>
    <w:p>
      <w:pPr>
        <w:spacing w:after="0" w:line="225" w:lineRule="exact"/>
        <w:rPr>
          <w:sz w:val="20"/>
          <w:szCs w:val="20"/>
          <w:color w:val="auto"/>
        </w:rPr>
      </w:pPr>
    </w:p>
    <w:p>
      <w:pPr>
        <w:ind w:left="4" w:right="200"/>
        <w:spacing w:after="0" w:line="312" w:lineRule="auto"/>
        <w:rPr>
          <w:sz w:val="20"/>
          <w:szCs w:val="20"/>
          <w:color w:val="auto"/>
        </w:rPr>
      </w:pPr>
      <w:r>
        <w:rPr>
          <w:rFonts w:ascii="Times New Roman" w:cs="Times New Roman" w:eastAsia="Times New Roman" w:hAnsi="Times New Roman"/>
          <w:sz w:val="17"/>
          <w:szCs w:val="17"/>
          <w:color w:val="auto"/>
        </w:rPr>
        <w:t>The Inducement Award was approved by the Registrant’s Compensation Committee of the Board of Directors in compliance with and in reliance on Nasdaq Listing Rule 5635(c)(4). The Inducement Award was granted outside of the Registrant’s 2020 Equity Incentive Plan and its predecessor plans.</w:t>
      </w:r>
    </w:p>
    <w:p>
      <w:pPr>
        <w:spacing w:after="0" w:line="35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filing in accordance with the provisions of Rule 428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introductory note to Part I of the Form S-8 instructions. The documents containing the information specified in Part I will be delivered to the person to whom the Inducement Award has been granted as required by Rule 428(b)(1) under the Securities Act.</w:t>
      </w:r>
    </w:p>
    <w:p>
      <w:pPr>
        <w:spacing w:after="0" w:line="39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by reference in this Registration Statement as of their respective dates:</w:t>
      </w:r>
    </w:p>
    <w:p>
      <w:pPr>
        <w:spacing w:after="0" w:line="54"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Commission on March 14, 2023;</w:t>
      </w:r>
    </w:p>
    <w:p>
      <w:pPr>
        <w:spacing w:after="0" w:line="225" w:lineRule="exact"/>
        <w:rPr>
          <w:rFonts w:ascii="Times New Roman" w:cs="Times New Roman" w:eastAsia="Times New Roman" w:hAnsi="Times New Roman"/>
          <w:sz w:val="18"/>
          <w:szCs w:val="18"/>
          <w:color w:val="auto"/>
        </w:rPr>
      </w:pPr>
    </w:p>
    <w:p>
      <w:pPr>
        <w:ind w:left="4" w:right="400" w:hanging="4"/>
        <w:spacing w:after="0" w:line="282"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(in each case other than portions thereof furnished under Item 2.02 or Item 7.01 of Form 8-K and exhibits accompanying such reports related to such items) filed on </w:t>
      </w:r>
      <w:hyperlink r:id="rId19">
        <w:r>
          <w:rPr>
            <w:rFonts w:ascii="Times New Roman" w:cs="Times New Roman" w:eastAsia="Times New Roman" w:hAnsi="Times New Roman"/>
            <w:sz w:val="18"/>
            <w:szCs w:val="18"/>
            <w:u w:val="single" w:color="auto"/>
            <w:color w:val="0000EE"/>
          </w:rPr>
          <w:t>January 9, 2023</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February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March 14, 2023</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4" w:right="60" w:hanging="4"/>
        <w:spacing w:after="0" w:line="282"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Registration Statement on </w:t>
      </w:r>
      <w:hyperlink r:id="rId2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June 18, 2014 (File No. 001-36510), together with any amendment thereto filed with the Commission for the purpose of updating such description.</w:t>
      </w:r>
    </w:p>
    <w:p>
      <w:pPr>
        <w:spacing w:after="0" w:line="162" w:lineRule="exact"/>
        <w:rPr>
          <w:rFonts w:ascii="Times New Roman" w:cs="Times New Roman" w:eastAsia="Times New Roman" w:hAnsi="Times New Roman"/>
          <w:sz w:val="18"/>
          <w:szCs w:val="18"/>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and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(other than information furnished under Item 2.02 or 7.01 of Form 8-K and exhibits furnished on such form that relate to such items unless such form expressly provides to the contrary)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w:t>
      </w:r>
    </w:p>
    <w:p>
      <w:pPr>
        <w:spacing w:after="0" w:line="183" w:lineRule="exact"/>
        <w:rPr>
          <w:rFonts w:ascii="Times New Roman" w:cs="Times New Roman" w:eastAsia="Times New Roman" w:hAnsi="Times New Roman"/>
          <w:sz w:val="18"/>
          <w:szCs w:val="18"/>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w:t>
      </w:r>
    </w:p>
    <w:p>
      <w:pPr>
        <w:sectPr>
          <w:pgSz w:w="11900" w:h="16838" w:orient="portrait"/>
          <w:cols w:equalWidth="0" w:num="1">
            <w:col w:w="11004"/>
          </w:cols>
          <w:pgMar w:left="436" w:top="266" w:right="45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Registrant is governed by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Section 145 of the DGCL provides that a corporation may indemnify any person, including an officer or director, who was or is, or is threatened to be made, a party to any threatened, pending or completed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actions or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9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Registrant’s Ninth Amended and Restated Certificate of Incorporation, as amended,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provides for the indemnification of directors to the fullest extent permissible under Delaware law. Accordingly, the Registrant’s directors will not be personally liable for monetary damages for breach of their fiduciary duty as directors, except for liabilities:</w:t>
      </w:r>
    </w:p>
    <w:p>
      <w:pPr>
        <w:spacing w:after="0" w:line="8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Registrant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unlawful payments of dividends or unlawful stock purchases or redemptions, as provided under Section 174 of the DGCL;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Registrant’s Amended and Restated Bylaws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provide for the indemnification of officers and directors acting on the Registrant’s behalf if such persons act in good faith and in a manner reasonably believed to be in or not opposed to the Registrant’s best interest, and, with respect to any criminal proceeding, such indemnified party had no reasonable cause to believe his or her conduct was unlawful.</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the Registrant’s directors and certain of its executive officers. These agreements provide that the Registrant will indemnify each of its directors and certain of its executive officers to the fullest extent permitted by law. The Registrant intends to enter into indemnification agreements with any new directors and executive officers in the future.</w:t>
      </w:r>
    </w:p>
    <w:p>
      <w:pPr>
        <w:sectPr>
          <w:pgSz w:w="11900" w:h="16838" w:orient="portrait"/>
          <w:cols w:equalWidth="0" w:num="1">
            <w:col w:w="10960"/>
          </w:cols>
          <w:pgMar w:left="440" w:top="266" w:right="499" w:bottom="1440" w:gutter="0" w:footer="0" w:header="0"/>
        </w:sectPr>
      </w:pPr>
    </w:p>
    <w:bookmarkStart w:id="3" w:name="page4"/>
    <w:bookmarkEnd w:id="3"/>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also maintains a general liability insurance policy which covers certain liabilities of directors and officers of the Registrant arising out of claims based on acts or omissions in their capacities as directors or officers.</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The Registrant believes that the limitation of liability provision in the Charter and the indemnification agreements facilitate its ability to continue to attract and retain qualified individuals to serve as directors and officers. The limitation of liability and indemnification provisions in the Charter and Bylaws may discourage stockholders from bringing a lawsuit against directors for breach of their fiduciary duties. They may also reduce the likelihood of derivative litigation against directors and officers, even though an action, if successful, might benefit the Registrant and its stockholders. A stockholder’s investment may be harmed to the extent the Registrant pays the costs of settlement and damage awards against directors and officers pursuant to these indemnification provisions.</w:t>
      </w:r>
    </w:p>
    <w:p>
      <w:pPr>
        <w:spacing w:after="0" w:line="33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760" w:type="dxa"/>
            <w:vAlign w:val="bottom"/>
            <w:gridSpan w:val="1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99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Ninth Amended and Restated Certificate of Incorporation of Larimar Therapeutics, Inc. (incorporated herein by reference to Exhibit 3.1 to</w:t>
              </w:r>
            </w:hyperlink>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the Company’s Current Report on Form 8-K (File No. 001-36510) filed on June 24, 2014)</w:t>
              </w:r>
            </w:hyperlink>
          </w:p>
        </w:tc>
        <w:tc>
          <w:tcPr>
            <w:tcW w:w="36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Certificate of Amendment of Ninth Amended and Restated Certificate of Incorporation of Zafgen, Inc. related to the Reverse Stock Split,</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dated May 28, 2020 (incorporated herein by reference to Exhibit 3.1 to the Company’s Current Report on Form 8-K (File No. 001-36510)</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filed on June 2,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99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Certificate of Amendment of Ninth Amended and Restated Certificate of Incorporation of Zafgen, Inc. related to the Name Change, dated</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May 28, 2020 (incorporated herein by reference to Exhibit 3.2 to the Company’s Current Report on Form 8-K (File No. 001-36510) filed</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on June 2,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10100" w:type="dxa"/>
            <w:vAlign w:val="bottom"/>
            <w:gridSpan w:val="17"/>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Bylaws of Larimar Therapeutics, Inc. (incorporated herein by reference to Exhibit 3.2 to the Company’s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Report on Form 8-K (File No. 001-36510) filed on June 24, 2014)</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Goodwin Procter LLP</w:t>
            </w:r>
          </w:p>
        </w:tc>
        <w:tc>
          <w:tcPr>
            <w:tcW w:w="2320" w:type="dxa"/>
            <w:vAlign w:val="bottom"/>
            <w:tcBorders>
              <w:top w:val="single" w:sz="8" w:color="0000EE"/>
            </w:tcBorders>
            <w:gridSpan w:val="2"/>
          </w:tcPr>
          <w:p>
            <w:pPr>
              <w:spacing w:after="0"/>
              <w:rPr>
                <w:sz w:val="24"/>
                <w:szCs w:val="24"/>
                <w:color w:val="auto"/>
              </w:rPr>
            </w:pPr>
          </w:p>
        </w:tc>
        <w:tc>
          <w:tcPr>
            <w:tcW w:w="5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8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 independent registered public accounting firm for Larimar Therapeutics, Inc.</w:t>
            </w:r>
          </w:p>
        </w:tc>
        <w:tc>
          <w:tcPr>
            <w:tcW w:w="1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4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(contained in Exhibit 5.1)</w:t>
            </w:r>
          </w:p>
        </w:tc>
        <w:tc>
          <w:tcPr>
            <w:tcW w:w="57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5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of this Registration Statement)</w:t>
            </w:r>
          </w:p>
        </w:tc>
        <w:tc>
          <w:tcPr>
            <w:tcW w:w="42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00" w:type="dxa"/>
            <w:vAlign w:val="bottom"/>
            <w:gridSpan w:val="17"/>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Non-Qualified Stock Option Grant Notice and Award Agreement Non-Plan Inducement Award (incorporated herein by reference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to Exhibit 10.4 to the Company’s Annual Report on Form 10-K (File No. 001-36510) filed on March 14, 2023)</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80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21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980" w:right="40" w:firstLine="7"/>
        <w:spacing w:after="0" w:line="255" w:lineRule="auto"/>
        <w:tabs>
          <w:tab w:leader="none" w:pos="1245"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980" w:right="220" w:firstLine="7"/>
        <w:spacing w:after="0" w:line="282" w:lineRule="auto"/>
        <w:tabs>
          <w:tab w:leader="none" w:pos="1295"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paragraphs (a)(1)(i) and (a)(1)(ii) of this section do not apply if the registration statement is on Form S-8, and the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49" w:lineRule="exact"/>
        <w:rPr>
          <w:sz w:val="20"/>
          <w:szCs w:val="20"/>
          <w:color w:val="auto"/>
        </w:rPr>
      </w:pPr>
    </w:p>
    <w:p>
      <w:pPr>
        <w:ind w:left="440" w:right="140" w:firstLine="419"/>
        <w:spacing w:after="0" w:line="266" w:lineRule="auto"/>
        <w:tabs>
          <w:tab w:leader="none" w:pos="11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right="60" w:firstLine="436"/>
        <w:spacing w:after="0" w:line="254"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0"/>
          </w:cols>
          <w:pgMar w:left="440" w:top="266"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Bala Cynwyd, Commonwealth of Pennsylvania, on March 14, 2023.</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each of Carole S. Ben-Maimon, M.D. and Michael Celano as his or her true and lawful attorney-in-fact and agent with full power of substitution, for him or her in any and all capacities, to sign any and all amendments to this Registration Statement (including post-effective amendments thereto),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S. Ben-Maimon, M.D.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Carole S. Ben-Maimon, M.D.</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Celano</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Celano</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Truitt</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Truitt</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Barrett, Ph.D.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Barrett,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E. Hamilton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E. Hamilton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Jonathan Leff</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Leff</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Frank Thomas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Frank Thomas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14,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2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180,000 shares (the “Shares”) of Common Stock, $0.001 par value per share (“Common Stock”), of Larimar Therapeutics, Inc., a Delaware corporation (the “Company”), that may be issued pursuant to a non-qualified stock option grant agreement providing for an employee inducement grant between the Company and an employee, which was entered into in connection with the commencement of such employee’s employment with the Company pursuant to Nasdaq Listing Rule 5635(c)(4) (the “Inducement Award Agreement”).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Inducement Award Agreement,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Larimar Therapeutics, Inc. of our report dated March 14, 2023 relating to the financial statements, which appears in Larimar Therapeutics, Inc.’s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2023</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ind w:left="4284"/>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17" w:lineRule="exact"/>
        <w:rPr>
          <w:sz w:val="20"/>
          <w:szCs w:val="20"/>
          <w:color w:val="auto"/>
        </w:rPr>
      </w:pPr>
    </w:p>
    <w:p>
      <w:pPr>
        <w:ind w:left="5144"/>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95"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860" w:type="dxa"/>
            <w:vAlign w:val="bottom"/>
            <w:tcBorders>
              <w:top w:val="single" w:sz="8" w:color="auto"/>
              <w:left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3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35"/>
        </w:trPr>
        <w:tc>
          <w:tcPr>
            <w:tcW w:w="86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35"/>
        </w:trPr>
        <w:tc>
          <w:tcPr>
            <w:tcW w:w="86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r>
      <w:tr>
        <w:trPr>
          <w:trHeight w:val="135"/>
        </w:trPr>
        <w:tc>
          <w:tcPr>
            <w:tcW w:w="860" w:type="dxa"/>
            <w:vAlign w:val="bottom"/>
            <w:tcBorders>
              <w:left w:val="single" w:sz="8" w:color="auto"/>
              <w:right w:val="single" w:sz="8" w:color="auto"/>
            </w:tcBorders>
          </w:tcPr>
          <w:p>
            <w:pPr>
              <w:jc w:val="center"/>
              <w:ind w:left="68"/>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00" w:type="dxa"/>
            <w:vAlign w:val="bottom"/>
            <w:tcBorders>
              <w:right w:val="single" w:sz="8" w:color="auto"/>
            </w:tcBorders>
          </w:tcPr>
          <w:p>
            <w:pPr>
              <w:ind w:left="300"/>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r>
      <w:tr>
        <w:trPr>
          <w:trHeight w:val="167"/>
        </w:trPr>
        <w:tc>
          <w:tcPr>
            <w:tcW w:w="860" w:type="dxa"/>
            <w:vAlign w:val="bottom"/>
            <w:tcBorders>
              <w:left w:val="single" w:sz="8" w:color="auto"/>
              <w:bottom w:val="single" w:sz="8" w:color="auto"/>
              <w:right w:val="single" w:sz="8" w:color="auto"/>
            </w:tcBorders>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Security Class Title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Registered(1)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Offering 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Fee 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r>
      <w:tr>
        <w:trPr>
          <w:trHeight w:val="206"/>
        </w:trPr>
        <w:tc>
          <w:tcPr>
            <w:tcW w:w="860" w:type="dxa"/>
            <w:vAlign w:val="bottom"/>
            <w:tcBorders>
              <w:left w:val="single" w:sz="8" w:color="auto"/>
              <w:right w:val="single" w:sz="8" w:color="auto"/>
            </w:tcBorders>
          </w:tcPr>
          <w:p>
            <w:pPr>
              <w:jc w:val="center"/>
              <w:ind w:left="68"/>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7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 par</w:t>
            </w:r>
          </w:p>
        </w:tc>
        <w:tc>
          <w:tcPr>
            <w:tcW w:w="8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$0.001 per</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180,000(2)</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340" w:type="dxa"/>
            <w:vAlign w:val="bottom"/>
            <w:tcBorders>
              <w:right w:val="single" w:sz="8" w:color="auto"/>
            </w:tcBorders>
          </w:tcPr>
          <w:p>
            <w:pPr>
              <w:jc w:val="right"/>
              <w:ind w:right="66"/>
              <w:spacing w:after="0"/>
              <w:rPr>
                <w:sz w:val="20"/>
                <w:szCs w:val="20"/>
                <w:color w:val="auto"/>
              </w:rPr>
            </w:pPr>
            <w:r>
              <w:rPr>
                <w:rFonts w:ascii="Times New Roman" w:cs="Times New Roman" w:eastAsia="Times New Roman" w:hAnsi="Times New Roman"/>
                <w:sz w:val="18"/>
                <w:szCs w:val="18"/>
                <w:color w:val="auto"/>
              </w:rPr>
              <w:t>$1,058,400(3)</w:t>
            </w:r>
          </w:p>
        </w:tc>
        <w:tc>
          <w:tcPr>
            <w:tcW w:w="1000" w:type="dxa"/>
            <w:vAlign w:val="bottom"/>
            <w:tcBorders>
              <w:right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0.0001102</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$116.64</w:t>
            </w:r>
          </w:p>
        </w:tc>
      </w:tr>
      <w:tr>
        <w:trPr>
          <w:trHeight w:val="241"/>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8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241"/>
        </w:trPr>
        <w:tc>
          <w:tcPr>
            <w:tcW w:w="860" w:type="dxa"/>
            <w:vAlign w:val="bottom"/>
            <w:tcBorders>
              <w:left w:val="single" w:sz="8" w:color="auto"/>
              <w:bottom w:val="single" w:sz="8" w:color="auto"/>
            </w:tcBorders>
          </w:tcPr>
          <w:p>
            <w:pPr>
              <w:spacing w:after="0"/>
              <w:rPr>
                <w:sz w:val="20"/>
                <w:szCs w:val="20"/>
                <w:color w:val="auto"/>
              </w:rPr>
            </w:pPr>
          </w:p>
        </w:tc>
        <w:tc>
          <w:tcPr>
            <w:tcW w:w="254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166"/>
              <w:spacing w:after="0"/>
              <w:rPr>
                <w:sz w:val="20"/>
                <w:szCs w:val="20"/>
                <w:color w:val="auto"/>
              </w:rPr>
            </w:pPr>
            <w:r>
              <w:rPr>
                <w:rFonts w:ascii="Times New Roman" w:cs="Times New Roman" w:eastAsia="Times New Roman" w:hAnsi="Times New Roman"/>
                <w:sz w:val="18"/>
                <w:szCs w:val="18"/>
                <w:color w:val="auto"/>
              </w:rPr>
              <w:t>$1,058,400</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$116.64</w:t>
            </w:r>
          </w:p>
        </w:tc>
      </w:tr>
      <w:tr>
        <w:trPr>
          <w:trHeight w:val="236"/>
        </w:trPr>
        <w:tc>
          <w:tcPr>
            <w:tcW w:w="860" w:type="dxa"/>
            <w:vAlign w:val="bottom"/>
            <w:tcBorders>
              <w:left w:val="single" w:sz="8" w:color="auto"/>
              <w:bottom w:val="single" w:sz="8" w:color="auto"/>
            </w:tcBorders>
          </w:tcPr>
          <w:p>
            <w:pPr>
              <w:spacing w:after="0"/>
              <w:rPr>
                <w:sz w:val="20"/>
                <w:szCs w:val="20"/>
                <w:color w:val="auto"/>
              </w:rPr>
            </w:pPr>
          </w:p>
        </w:tc>
        <w:tc>
          <w:tcPr>
            <w:tcW w:w="2540" w:type="dxa"/>
            <w:vAlign w:val="bottom"/>
            <w:tcBorders>
              <w:bottom w:val="single" w:sz="8" w:color="auto"/>
            </w:tcBorders>
            <w:gridSpan w:val="2"/>
          </w:tcPr>
          <w:p>
            <w:pPr>
              <w:jc w:val="center"/>
              <w:ind w:left="194"/>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6"/>
        </w:trPr>
        <w:tc>
          <w:tcPr>
            <w:tcW w:w="860" w:type="dxa"/>
            <w:vAlign w:val="bottom"/>
            <w:tcBorders>
              <w:left w:val="single" w:sz="8" w:color="auto"/>
              <w:bottom w:val="single" w:sz="8" w:color="auto"/>
            </w:tcBorders>
          </w:tcPr>
          <w:p>
            <w:pPr>
              <w:spacing w:after="0"/>
              <w:rPr>
                <w:sz w:val="20"/>
                <w:szCs w:val="20"/>
                <w:color w:val="auto"/>
              </w:rPr>
            </w:pPr>
          </w:p>
        </w:tc>
        <w:tc>
          <w:tcPr>
            <w:tcW w:w="2540" w:type="dxa"/>
            <w:vAlign w:val="bottom"/>
            <w:tcBorders>
              <w:bottom w:val="single" w:sz="8" w:color="auto"/>
            </w:tcBorders>
            <w:gridSpan w:val="2"/>
          </w:tcPr>
          <w:p>
            <w:pPr>
              <w:jc w:val="center"/>
              <w:ind w:left="194"/>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$116.64</w:t>
            </w:r>
          </w:p>
        </w:tc>
      </w:tr>
    </w:tbl>
    <w:p>
      <w:pPr>
        <w:spacing w:after="0" w:line="225" w:lineRule="exact"/>
        <w:rPr>
          <w:sz w:val="20"/>
          <w:szCs w:val="20"/>
          <w:color w:val="auto"/>
        </w:rPr>
      </w:pPr>
    </w:p>
    <w:p>
      <w:pPr>
        <w:ind w:left="424" w:right="4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on Form S-8 shall also cover an indeterminate number of additional shares of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Larimar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issuable by reason of any future stock dividend, stock split, recapitalization or other similar transaction effected without the receipt of consideration by the Registrant, which results in an increase in the number of outstanding shares of Common Stock.</w:t>
      </w:r>
    </w:p>
    <w:p>
      <w:pPr>
        <w:spacing w:after="0" w:line="2" w:lineRule="exact"/>
        <w:rPr>
          <w:rFonts w:ascii="Times New Roman" w:cs="Times New Roman" w:eastAsia="Times New Roman" w:hAnsi="Times New Roman"/>
          <w:sz w:val="18"/>
          <w:szCs w:val="18"/>
          <w:color w:val="auto"/>
        </w:rPr>
      </w:pPr>
    </w:p>
    <w:p>
      <w:pPr>
        <w:ind w:left="424" w:right="38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are issuable upon the exercise of a stock option award granted on February 7, 2023 to a newly-hired employee of the Registrant as an inducement material to such employee’s acceptance of employment with the Registrant.</w:t>
      </w:r>
    </w:p>
    <w:p>
      <w:pPr>
        <w:ind w:left="424" w:right="100"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457(h) of the Securities Act solely for the purpose of calculating the registration fee. The proposed maximum offering price per share and proposed maximum aggregate offering price are calculated on the basis of the exercise price of the inducement stock option award.</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lowerLetter"/>
      <w:start w:val="1"/>
    </w:lvl>
    <w:lvl w:ilvl="1">
      <w:lvlJc w:val="left"/>
      <w:lvlText w:val="(%2)"/>
      <w:numFmt w:val="decimal"/>
      <w:start w:val="2"/>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18" Type="http://schemas.openxmlformats.org/officeDocument/2006/relationships/hyperlink" Target="http://www.sec.gov/ix?doc=/Archives/edgar/data/1374690/000095017023007855/lrmr-20221231.htm" TargetMode="External"/><Relationship Id="rId19" Type="http://schemas.openxmlformats.org/officeDocument/2006/relationships/hyperlink" Target="http://www.sec.gov/ix?doc=/Archives/edgar/data/1374690/000095017023000506/lrmr-20230109.htm" TargetMode="External"/><Relationship Id="rId20" Type="http://schemas.openxmlformats.org/officeDocument/2006/relationships/hyperlink" Target="http://www.sec.gov/ix?doc=/Archives/edgar/data/1374690/000119312523026958/d399840d8k.htm" TargetMode="External"/><Relationship Id="rId21" Type="http://schemas.openxmlformats.org/officeDocument/2006/relationships/hyperlink" Target="http://www.sec.gov/ix?doc=/Archives/edgar/data/0001374690/000119312523069624/d475352d8k.htm" TargetMode="External"/><Relationship Id="rId22" Type="http://schemas.openxmlformats.org/officeDocument/2006/relationships/hyperlink" Target="http://www.sec.gov/Archives/edgar/data/1374690/000119312514240257/d745277d8a12b.htm" TargetMode="External"/><Relationship Id="rId25" Type="http://schemas.openxmlformats.org/officeDocument/2006/relationships/hyperlink" Target="http://www.sec.gov/Archives/edgar/data/1374690/000119312514247362/d747935dex31.htm" TargetMode="External"/><Relationship Id="rId26" Type="http://schemas.openxmlformats.org/officeDocument/2006/relationships/hyperlink" Target="http://www.sec.gov/Archives/edgar/data/1374690/000119312520157924/d936040dex31.htm" TargetMode="External"/><Relationship Id="rId27" Type="http://schemas.openxmlformats.org/officeDocument/2006/relationships/hyperlink" Target="http://www.sec.gov/Archives/edgar/data/1374690/000119312520157924/d936040dex32.htm" TargetMode="External"/><Relationship Id="rId28" Type="http://schemas.openxmlformats.org/officeDocument/2006/relationships/hyperlink" Target="http://www.sec.gov/Archives/edgar/data/1374690/000119312514247362/d747935dex32.htm" TargetMode="External"/><Relationship Id="rId29" Type="http://schemas.openxmlformats.org/officeDocument/2006/relationships/hyperlink" Target="http://www.sec.gov/Archives/edgar/data/1374690/000095017023007855/lrmr-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2023-03-14T18:00:36Z</dcterms:created>
  <dcterms:modified xsi:type="dcterms:W3CDTF">2023-03-14T18:00:36Z</dcterms:modified>
</cp:coreProperties>
</file>