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150495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154940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Larimar Therapeutics, Inc.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5"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Arial" w:cs="Arial" w:eastAsia="Arial" w:hAnsi="Arial"/>
                <w:sz w:val="13"/>
                <w:szCs w:val="13"/>
                <w:b w:val="1"/>
                <w:bCs w:val="1"/>
                <w:color w:val="auto"/>
                <w:w w:val="87"/>
              </w:rPr>
              <w:t>Delaware</w:t>
            </w:r>
          </w:p>
        </w:tc>
        <w:tc>
          <w:tcPr>
            <w:tcW w:w="2380" w:type="dxa"/>
            <w:vAlign w:val="bottom"/>
          </w:tcPr>
          <w:p>
            <w:pPr>
              <w:ind w:left="900"/>
              <w:spacing w:after="0"/>
              <w:rPr>
                <w:sz w:val="20"/>
                <w:szCs w:val="20"/>
                <w:color w:val="auto"/>
              </w:rPr>
            </w:pPr>
            <w:r>
              <w:rPr>
                <w:rFonts w:ascii="Arial" w:cs="Arial" w:eastAsia="Arial" w:hAnsi="Arial"/>
                <w:sz w:val="13"/>
                <w:szCs w:val="13"/>
                <w:b w:val="1"/>
                <w:bCs w:val="1"/>
                <w:color w:val="auto"/>
              </w:rPr>
              <w:t>001-36510</w:t>
            </w:r>
          </w:p>
        </w:tc>
        <w:tc>
          <w:tcPr>
            <w:tcW w:w="1720" w:type="dxa"/>
            <w:vAlign w:val="bottom"/>
          </w:tcPr>
          <w:p>
            <w:pPr>
              <w:jc w:val="center"/>
              <w:ind w:left="885"/>
              <w:spacing w:after="0"/>
              <w:rPr>
                <w:sz w:val="20"/>
                <w:szCs w:val="20"/>
                <w:color w:val="auto"/>
              </w:rPr>
            </w:pPr>
            <w:r>
              <w:rPr>
                <w:rFonts w:ascii="Arial" w:cs="Arial" w:eastAsia="Arial" w:hAnsi="Arial"/>
                <w:sz w:val="13"/>
                <w:szCs w:val="13"/>
                <w:b w:val="1"/>
                <w:bCs w:val="1"/>
                <w:color w:val="auto"/>
                <w:w w:val="89"/>
              </w:rPr>
              <w:t>20-3857670</w:t>
            </w:r>
          </w:p>
        </w:tc>
      </w:tr>
      <w:tr>
        <w:trPr>
          <w:trHeight w:val="104"/>
        </w:trPr>
        <w:tc>
          <w:tcPr>
            <w:tcW w:w="2040" w:type="dxa"/>
            <w:vAlign w:val="bottom"/>
          </w:tcPr>
          <w:p>
            <w:pPr>
              <w:jc w:val="center"/>
              <w:ind w:right="845"/>
              <w:spacing w:after="0" w:line="104" w:lineRule="exact"/>
              <w:rPr>
                <w:sz w:val="20"/>
                <w:szCs w:val="20"/>
                <w:color w:val="auto"/>
              </w:rPr>
            </w:pPr>
            <w:r>
              <w:rPr>
                <w:rFonts w:ascii="Arial" w:cs="Arial" w:eastAsia="Arial" w:hAnsi="Arial"/>
                <w:sz w:val="10"/>
                <w:szCs w:val="10"/>
                <w:b w:val="1"/>
                <w:bCs w:val="1"/>
                <w:color w:val="auto"/>
                <w:w w:val="91"/>
              </w:rPr>
              <w:t>(State or other jurisdiction</w:t>
            </w:r>
          </w:p>
        </w:tc>
        <w:tc>
          <w:tcPr>
            <w:tcW w:w="2380" w:type="dxa"/>
            <w:vAlign w:val="bottom"/>
          </w:tcPr>
          <w:p>
            <w:pPr>
              <w:ind w:left="880"/>
              <w:spacing w:after="0" w:line="104" w:lineRule="exact"/>
              <w:rPr>
                <w:sz w:val="20"/>
                <w:szCs w:val="20"/>
                <w:color w:val="auto"/>
              </w:rPr>
            </w:pPr>
            <w:r>
              <w:rPr>
                <w:rFonts w:ascii="Arial" w:cs="Arial" w:eastAsia="Arial" w:hAnsi="Arial"/>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Arial" w:cs="Arial" w:eastAsia="Arial" w:hAnsi="Arial"/>
                <w:sz w:val="10"/>
                <w:szCs w:val="10"/>
                <w:b w:val="1"/>
                <w:bCs w:val="1"/>
                <w:color w:val="auto"/>
                <w:w w:val="96"/>
              </w:rPr>
              <w:t>(I.R.S. Employer</w:t>
            </w:r>
          </w:p>
        </w:tc>
      </w:tr>
      <w:tr>
        <w:trPr>
          <w:trHeight w:val="130"/>
        </w:trPr>
        <w:tc>
          <w:tcPr>
            <w:tcW w:w="2040" w:type="dxa"/>
            <w:vAlign w:val="bottom"/>
          </w:tcPr>
          <w:p>
            <w:pPr>
              <w:jc w:val="center"/>
              <w:ind w:right="845"/>
              <w:spacing w:after="0"/>
              <w:rPr>
                <w:sz w:val="20"/>
                <w:szCs w:val="20"/>
                <w:color w:val="auto"/>
              </w:rPr>
            </w:pPr>
            <w:r>
              <w:rPr>
                <w:rFonts w:ascii="Arial" w:cs="Arial" w:eastAsia="Arial" w:hAnsi="Arial"/>
                <w:sz w:val="10"/>
                <w:szCs w:val="10"/>
                <w:b w:val="1"/>
                <w:bCs w:val="1"/>
                <w:color w:val="auto"/>
                <w:w w:val="92"/>
              </w:rPr>
              <w:t>of incorporation)</w:t>
            </w:r>
          </w:p>
        </w:tc>
        <w:tc>
          <w:tcPr>
            <w:tcW w:w="2380" w:type="dxa"/>
            <w:vAlign w:val="bottom"/>
          </w:tcPr>
          <w:p>
            <w:pPr>
              <w:ind w:left="880"/>
              <w:spacing w:after="0"/>
              <w:rPr>
                <w:sz w:val="20"/>
                <w:szCs w:val="20"/>
                <w:color w:val="auto"/>
              </w:rPr>
            </w:pPr>
            <w:r>
              <w:rPr>
                <w:rFonts w:ascii="Arial" w:cs="Arial" w:eastAsia="Arial" w:hAnsi="Arial"/>
                <w:sz w:val="10"/>
                <w:szCs w:val="10"/>
                <w:b w:val="1"/>
                <w:bCs w:val="1"/>
                <w:color w:val="auto"/>
              </w:rPr>
              <w:t>File Number)</w:t>
            </w:r>
          </w:p>
        </w:tc>
        <w:tc>
          <w:tcPr>
            <w:tcW w:w="1720" w:type="dxa"/>
            <w:vAlign w:val="bottom"/>
          </w:tcPr>
          <w:p>
            <w:pPr>
              <w:jc w:val="center"/>
              <w:ind w:left="885"/>
              <w:spacing w:after="0"/>
              <w:rPr>
                <w:sz w:val="20"/>
                <w:szCs w:val="20"/>
                <w:color w:val="auto"/>
              </w:rPr>
            </w:pPr>
            <w:r>
              <w:rPr>
                <w:rFonts w:ascii="Arial" w:cs="Arial" w:eastAsia="Arial" w:hAnsi="Arial"/>
                <w:sz w:val="10"/>
                <w:szCs w:val="10"/>
                <w:b w:val="1"/>
                <w:bCs w:val="1"/>
                <w:color w:val="auto"/>
                <w:w w:val="92"/>
              </w:rPr>
              <w:t>Identification No.)</w:t>
            </w:r>
          </w:p>
        </w:tc>
      </w:tr>
    </w:tbl>
    <w:p>
      <w:pPr>
        <w:spacing w:after="0" w:line="137" w:lineRule="exact"/>
        <w:rPr>
          <w:sz w:val="24"/>
          <w:szCs w:val="24"/>
          <w:color w:val="auto"/>
        </w:rPr>
      </w:pPr>
    </w:p>
    <w:p>
      <w:pPr>
        <w:sectPr>
          <w:pgSz w:w="11900" w:h="16838" w:orient="portrait"/>
          <w:cols w:equalWidth="0" w:num="1">
            <w:col w:w="9019"/>
          </w:cols>
          <w:pgMar w:left="1440" w:top="299" w:right="1440" w:bottom="1440" w:gutter="0" w:footer="0" w:header="0"/>
        </w:sectPr>
      </w:pPr>
    </w:p>
    <w:p>
      <w:pPr>
        <w:jc w:val="center"/>
        <w:ind w:right="440"/>
        <w:spacing w:after="0"/>
        <w:rPr>
          <w:sz w:val="20"/>
          <w:szCs w:val="20"/>
          <w:color w:val="auto"/>
        </w:rPr>
      </w:pPr>
      <w:r>
        <w:rPr>
          <w:rFonts w:ascii="Arial" w:cs="Arial" w:eastAsia="Arial" w:hAnsi="Arial"/>
          <w:sz w:val="11"/>
          <w:szCs w:val="11"/>
          <w:b w:val="1"/>
          <w:bCs w:val="1"/>
          <w:color w:val="auto"/>
        </w:rPr>
        <w:t>Three Bala Plaza East, Suite 506</w:t>
      </w:r>
    </w:p>
    <w:p>
      <w:pPr>
        <w:spacing w:after="0" w:line="38" w:lineRule="exact"/>
        <w:rPr>
          <w:sz w:val="24"/>
          <w:szCs w:val="24"/>
          <w:color w:val="auto"/>
        </w:rPr>
      </w:pPr>
    </w:p>
    <w:p>
      <w:pPr>
        <w:jc w:val="center"/>
        <w:ind w:right="440"/>
        <w:spacing w:after="0"/>
        <w:rPr>
          <w:sz w:val="20"/>
          <w:szCs w:val="20"/>
          <w:color w:val="auto"/>
        </w:rPr>
      </w:pPr>
      <w:r>
        <w:rPr>
          <w:rFonts w:ascii="Arial" w:cs="Arial" w:eastAsia="Arial" w:hAnsi="Arial"/>
          <w:sz w:val="13"/>
          <w:szCs w:val="13"/>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19004</w:t>
      </w:r>
    </w:p>
    <w:p>
      <w:pPr>
        <w:spacing w:after="0" w:line="38" w:lineRule="exact"/>
        <w:rPr>
          <w:sz w:val="24"/>
          <w:szCs w:val="24"/>
          <w:color w:val="auto"/>
        </w:rPr>
      </w:pPr>
    </w:p>
    <w:p>
      <w:pPr>
        <w:sectPr>
          <w:pgSz w:w="11900" w:h="16838" w:orient="portrait"/>
          <w:cols w:equalWidth="0" w:num="2">
            <w:col w:w="5620" w:space="720"/>
            <w:col w:w="2679"/>
          </w:cols>
          <w:pgMar w:left="1440" w:top="299" w:right="1440" w:bottom="1440" w:gutter="0" w:footer="0" w:header="0"/>
          <w:type w:val="continuous"/>
        </w:sectPr>
      </w:pPr>
    </w:p>
    <w:p>
      <w:pPr>
        <w:ind w:left="176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11" w:lineRule="exact"/>
        <w:rPr>
          <w:sz w:val="24"/>
          <w:szCs w:val="24"/>
          <w:color w:val="auto"/>
        </w:rPr>
      </w:pPr>
    </w:p>
    <w:p>
      <w:pPr>
        <w:sectPr>
          <w:pgSz w:w="11900" w:h="16838" w:orient="portrait"/>
          <w:cols w:equalWidth="0" w:num="2">
            <w:col w:w="5540" w:space="720"/>
            <w:col w:w="2759"/>
          </w:cols>
          <w:pgMar w:left="1440" w:top="299" w:right="14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(844) 511-9056</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153035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5"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37"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4"/>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Common Stock, par value $0.001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LRMR</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Nasdaq Global Market</w:t>
            </w:r>
          </w:p>
        </w:tc>
      </w:tr>
    </w:tbl>
    <w:p>
      <w:pPr>
        <w:spacing w:after="0" w:line="111"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ind w:left="684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73" w:lineRule="exact"/>
        <w:rPr>
          <w:sz w:val="24"/>
          <w:szCs w:val="24"/>
          <w:color w:val="auto"/>
        </w:rPr>
      </w:pPr>
    </w:p>
    <w:p>
      <w:pPr>
        <w:ind w:left="640" w:right="859"/>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93980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82" w:lineRule="exact"/>
        <w:rPr>
          <w:sz w:val="20"/>
          <w:szCs w:val="20"/>
          <w:color w:val="auto"/>
        </w:rPr>
      </w:pPr>
    </w:p>
    <w:p>
      <w:pPr>
        <w:ind w:left="640" w:right="659"/>
        <w:spacing w:after="0" w:line="268" w:lineRule="auto"/>
        <w:rPr>
          <w:sz w:val="20"/>
          <w:szCs w:val="20"/>
          <w:color w:val="auto"/>
        </w:rPr>
      </w:pPr>
      <w:r>
        <w:rPr>
          <w:rFonts w:ascii="Arial" w:cs="Arial" w:eastAsia="Arial" w:hAnsi="Arial"/>
          <w:sz w:val="12"/>
          <w:szCs w:val="12"/>
          <w:color w:val="auto"/>
        </w:rPr>
        <w:t>Included within Exhibit 99.1 to this Current Report on Form 8-K, and incorporated into this Item 2.02 by reference, is a preliminary estimate of Larimar Therapeutics, Inc.’s (the “</w:t>
      </w:r>
      <w:r>
        <w:rPr>
          <w:rFonts w:ascii="Arial" w:cs="Arial" w:eastAsia="Arial" w:hAnsi="Arial"/>
          <w:sz w:val="12"/>
          <w:szCs w:val="12"/>
          <w:b w:val="1"/>
          <w:bCs w:val="1"/>
          <w:i w:val="1"/>
          <w:iCs w:val="1"/>
          <w:color w:val="auto"/>
        </w:rPr>
        <w:t>Company’s</w:t>
      </w:r>
      <w:r>
        <w:rPr>
          <w:rFonts w:ascii="Arial" w:cs="Arial" w:eastAsia="Arial" w:hAnsi="Arial"/>
          <w:sz w:val="12"/>
          <w:szCs w:val="12"/>
          <w:color w:val="auto"/>
        </w:rPr>
        <w:t>”) cash balance as of December 31, 2021. This estimate is preliminary, is based only on currently available information and does not present all necessary information for an understanding of the Company’s financial condition as of December 31, 2021 or the Company’s results of operations for the three months or year ended December 31, 2021. This estimate has been prepared by and is the responsibility of the Company’s management. The Company’s independent registered public accounting firm has not audited, reviewed or performed any procedures with respect to this estimate and does not express an opinion or any other form of assurance with respect thereto. Actual results may differ due to the completion of the Company’s closing procedures with respect to the fiscal year ended December 31, 2021, final adjustments and other developments that may arise between now and the time the Company’s financial results for the three months and year ended December 31, 2021 are finalized. As such, this estimate should not be viewed as a substitute for the Company’s full audited financial statements prepared in accordance with U.S. generally accepted accounting principles.</w:t>
      </w:r>
    </w:p>
    <w:p>
      <w:pPr>
        <w:spacing w:after="0" w:line="127" w:lineRule="exact"/>
        <w:rPr>
          <w:sz w:val="20"/>
          <w:szCs w:val="20"/>
          <w:color w:val="auto"/>
        </w:rPr>
      </w:pPr>
    </w:p>
    <w:p>
      <w:pPr>
        <w:ind w:left="640" w:right="659"/>
        <w:spacing w:after="0" w:line="276" w:lineRule="auto"/>
        <w:rPr>
          <w:sz w:val="20"/>
          <w:szCs w:val="20"/>
          <w:color w:val="auto"/>
        </w:rPr>
      </w:pPr>
      <w:r>
        <w:rPr>
          <w:rFonts w:ascii="Arial" w:cs="Arial" w:eastAsia="Arial" w:hAnsi="Arial"/>
          <w:sz w:val="12"/>
          <w:szCs w:val="12"/>
          <w:color w:val="auto"/>
        </w:rPr>
        <w:t>In accordance with General Instruction B.2 of Form 8-K, the information included in Item 2.02 of this Current Report on Form 8-K shall not be deemed “filed” for the purposes of Section 18 of the Securities Exchange Act of 1934, as amended (the “</w:t>
      </w:r>
      <w:r>
        <w:rPr>
          <w:rFonts w:ascii="Arial" w:cs="Arial" w:eastAsia="Arial" w:hAnsi="Arial"/>
          <w:sz w:val="12"/>
          <w:szCs w:val="12"/>
          <w:b w:val="1"/>
          <w:bCs w:val="1"/>
          <w:i w:val="1"/>
          <w:iCs w:val="1"/>
          <w:color w:val="auto"/>
        </w:rPr>
        <w:t>Exchange Act</w:t>
      </w:r>
      <w:r>
        <w:rPr>
          <w:rFonts w:ascii="Arial" w:cs="Arial" w:eastAsia="Arial" w:hAnsi="Arial"/>
          <w:sz w:val="12"/>
          <w:szCs w:val="12"/>
          <w:color w:val="auto"/>
        </w:rPr>
        <w: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224"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ind w:left="640" w:right="659"/>
        <w:spacing w:after="0" w:line="252" w:lineRule="auto"/>
        <w:rPr>
          <w:sz w:val="20"/>
          <w:szCs w:val="20"/>
          <w:color w:val="auto"/>
        </w:rPr>
      </w:pPr>
      <w:r>
        <w:rPr>
          <w:rFonts w:ascii="Arial" w:cs="Arial" w:eastAsia="Arial" w:hAnsi="Arial"/>
          <w:sz w:val="13"/>
          <w:szCs w:val="13"/>
          <w:color w:val="auto"/>
        </w:rPr>
        <w:t>On February 28, 2022, the Company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36"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 Exhibits</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Below is a list of exhibits included with this Current Report on Form 8-K.</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214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260" w:type="dxa"/>
            <w:vAlign w:val="bottom"/>
            <w:vMerge w:val="restart"/>
          </w:tcPr>
          <w:p>
            <w:pPr>
              <w:ind w:left="1820"/>
              <w:spacing w:after="0"/>
              <w:rPr>
                <w:sz w:val="20"/>
                <w:szCs w:val="20"/>
                <w:color w:val="auto"/>
              </w:rPr>
            </w:pPr>
            <w:r>
              <w:rPr>
                <w:rFonts w:ascii="Arial" w:cs="Arial" w:eastAsia="Arial" w:hAnsi="Arial"/>
                <w:sz w:val="10"/>
                <w:szCs w:val="10"/>
                <w:b w:val="1"/>
                <w:bCs w:val="1"/>
                <w:color w:val="auto"/>
                <w:w w:val="85"/>
              </w:rPr>
              <w:t>Document</w:t>
            </w:r>
          </w:p>
        </w:tc>
        <w:tc>
          <w:tcPr>
            <w:tcW w:w="0" w:type="dxa"/>
            <w:vAlign w:val="bottom"/>
          </w:tcPr>
          <w:p>
            <w:pPr>
              <w:spacing w:after="0"/>
              <w:rPr>
                <w:sz w:val="1"/>
                <w:szCs w:val="1"/>
                <w:color w:val="auto"/>
              </w:rPr>
            </w:pPr>
          </w:p>
        </w:tc>
      </w:tr>
      <w:tr>
        <w:trPr>
          <w:trHeight w:val="130"/>
        </w:trPr>
        <w:tc>
          <w:tcPr>
            <w:tcW w:w="2140" w:type="dxa"/>
            <w:vAlign w:val="bottom"/>
          </w:tcPr>
          <w:p>
            <w:pPr>
              <w:spacing w:after="0"/>
              <w:rPr>
                <w:sz w:val="20"/>
                <w:szCs w:val="20"/>
                <w:color w:val="auto"/>
              </w:rPr>
            </w:pPr>
            <w:r>
              <w:rPr>
                <w:rFonts w:ascii="Arial" w:cs="Arial" w:eastAsia="Arial" w:hAnsi="Arial"/>
                <w:sz w:val="10"/>
                <w:szCs w:val="10"/>
                <w:b w:val="1"/>
                <w:bCs w:val="1"/>
                <w:color w:val="auto"/>
              </w:rPr>
              <w:t>No.</w:t>
            </w: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-6350</wp:posOffset>
            </wp:positionV>
            <wp:extent cx="491045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6" w:lineRule="exact"/>
        <w:rPr>
          <w:sz w:val="20"/>
          <w:szCs w:val="20"/>
          <w:color w:val="auto"/>
        </w:rPr>
      </w:pPr>
    </w:p>
    <w:p>
      <w:pPr>
        <w:ind w:left="640"/>
        <w:spacing w:after="0"/>
        <w:tabs>
          <w:tab w:leader="none" w:pos="1240" w:val="left"/>
        </w:tabs>
        <w:rPr>
          <w:rFonts w:ascii="Arial" w:cs="Arial" w:eastAsia="Arial" w:hAnsi="Arial"/>
          <w:sz w:val="11"/>
          <w:szCs w:val="11"/>
          <w:u w:val="single" w:color="auto"/>
          <w:color w:val="0000EE"/>
        </w:rPr>
      </w:pPr>
      <w:r>
        <w:rPr>
          <w:rFonts w:ascii="Arial" w:cs="Arial" w:eastAsia="Arial" w:hAnsi="Arial"/>
          <w:sz w:val="13"/>
          <w:szCs w:val="13"/>
          <w:color w:val="auto"/>
        </w:rPr>
        <w:t>99.1</w:t>
      </w:r>
      <w:r>
        <w:rPr>
          <w:sz w:val="20"/>
          <w:szCs w:val="20"/>
          <w:color w:val="auto"/>
        </w:rPr>
        <w:tab/>
      </w:r>
      <w:hyperlink w:anchor="page4">
        <w:r>
          <w:rPr>
            <w:rFonts w:ascii="Arial" w:cs="Arial" w:eastAsia="Arial" w:hAnsi="Arial"/>
            <w:sz w:val="11"/>
            <w:szCs w:val="11"/>
            <w:u w:val="single" w:color="auto"/>
            <w:color w:val="0000EE"/>
          </w:rPr>
          <w:t>Larimar Therapeutics, Inc. Corporate Presentation, dated February 28, 2022*</w:t>
        </w:r>
      </w:hyperlink>
    </w:p>
    <w:p>
      <w:pPr>
        <w:spacing w:after="0" w:line="78" w:lineRule="exact"/>
        <w:rPr>
          <w:sz w:val="20"/>
          <w:szCs w:val="20"/>
          <w:color w:val="auto"/>
        </w:rPr>
      </w:pPr>
    </w:p>
    <w:p>
      <w:pPr>
        <w:ind w:left="640" w:right="3719" w:hanging="3"/>
        <w:spacing w:after="0" w:line="535" w:lineRule="auto"/>
        <w:tabs>
          <w:tab w:leader="none" w:pos="1256" w:val="left"/>
        </w:tabs>
        <w:numPr>
          <w:ilvl w:val="0"/>
          <w:numId w:val="2"/>
        </w:numPr>
        <w:rPr>
          <w:rFonts w:ascii="Arial" w:cs="Arial" w:eastAsia="Arial" w:hAnsi="Arial"/>
          <w:sz w:val="13"/>
          <w:szCs w:val="13"/>
          <w:color w:val="auto"/>
        </w:rPr>
      </w:pPr>
      <w:r>
        <w:rPr>
          <w:rFonts w:ascii="Arial" w:cs="Arial" w:eastAsia="Arial" w:hAnsi="Arial"/>
          <w:sz w:val="13"/>
          <w:szCs w:val="13"/>
          <w:color w:val="auto"/>
        </w:rPr>
        <w:t>Cover Page Interactive Data File (embedded within the Inline XBRL document) * Filed herewith.</w:t>
      </w:r>
    </w:p>
    <w:p>
      <w:pPr>
        <w:sectPr>
          <w:pgSz w:w="11900" w:h="16838" w:orient="portrait"/>
          <w:cols w:equalWidth="0" w:num="1">
            <w:col w:w="9019"/>
          </w:cols>
          <w:pgMar w:left="1440" w:top="25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Larimar Therapeutics, Inc.</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i w:val="1"/>
          <w:iCs w:val="1"/>
          <w:color w:val="auto"/>
        </w:rPr>
        <w:t>Name:  Carole S. Ben-Maimon, M.D.</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2"/>
          <w:szCs w:val="12"/>
          <w:i w:val="1"/>
          <w:iCs w:val="1"/>
          <w:color w:val="auto"/>
        </w:rPr>
        <w:t>Title:</w:t>
        <w:tab/>
        <w:t>President and Chief Executive Officer</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February 28, 2022</w:t>
      </w:r>
    </w:p>
    <w:p>
      <w:pPr>
        <w:sectPr>
          <w:pgSz w:w="11900" w:h="16838" w:orient="portrait"/>
          <w:cols w:equalWidth="0" w:num="1">
            <w:col w:w="9019"/>
          </w:cols>
          <w:pgMar w:left="1440" w:top="250"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2022-02-28T07:18:45Z</dcterms:created>
  <dcterms:modified xsi:type="dcterms:W3CDTF">2022-02-28T07:18:45Z</dcterms:modified>
</cp:coreProperties>
</file>