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20-3857670</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3 Center Plaza, Suite 610</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5"/>
              </w:rPr>
              <w:t>Boston,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02108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6, 2020, Zafgen, Inc. (“</w:t>
      </w:r>
      <w:r>
        <w:rPr>
          <w:rFonts w:ascii="Arial" w:cs="Arial" w:eastAsia="Arial" w:hAnsi="Arial"/>
          <w:sz w:val="16"/>
          <w:szCs w:val="16"/>
          <w:u w:val="single" w:color="auto"/>
          <w:color w:val="auto"/>
        </w:rPr>
        <w:t>Zafgen</w:t>
      </w:r>
      <w:r>
        <w:rPr>
          <w:rFonts w:ascii="Arial" w:cs="Arial" w:eastAsia="Arial" w:hAnsi="Arial"/>
          <w:sz w:val="16"/>
          <w:szCs w:val="16"/>
          <w:color w:val="auto"/>
        </w:rPr>
        <w:t>”) entered into an amendment (the “</w:t>
      </w:r>
      <w:r>
        <w:rPr>
          <w:rFonts w:ascii="Arial" w:cs="Arial" w:eastAsia="Arial" w:hAnsi="Arial"/>
          <w:sz w:val="16"/>
          <w:szCs w:val="16"/>
          <w:u w:val="single" w:color="auto"/>
          <w:color w:val="auto"/>
        </w:rPr>
        <w:t>Amendment</w:t>
      </w:r>
      <w:r>
        <w:rPr>
          <w:rFonts w:ascii="Arial" w:cs="Arial" w:eastAsia="Arial" w:hAnsi="Arial"/>
          <w:sz w:val="16"/>
          <w:szCs w:val="16"/>
          <w:color w:val="auto"/>
        </w:rPr>
        <w:t>”) by and among Chondrial Therapeutics, Inc., a privately held biotechnology company (“</w:t>
      </w:r>
      <w:r>
        <w:rPr>
          <w:rFonts w:ascii="Arial" w:cs="Arial" w:eastAsia="Arial" w:hAnsi="Arial"/>
          <w:sz w:val="16"/>
          <w:szCs w:val="16"/>
          <w:u w:val="single" w:color="auto"/>
          <w:color w:val="auto"/>
        </w:rPr>
        <w:t>Chondrial</w:t>
      </w:r>
      <w:r>
        <w:rPr>
          <w:rFonts w:ascii="Arial" w:cs="Arial" w:eastAsia="Arial" w:hAnsi="Arial"/>
          <w:sz w:val="16"/>
          <w:szCs w:val="16"/>
          <w:color w:val="auto"/>
        </w:rPr>
        <w:t>”), Chondrial Therapeutics Holdings, LLC, the sole stockholder of Chondrial (“</w:t>
      </w:r>
      <w:r>
        <w:rPr>
          <w:rFonts w:ascii="Arial" w:cs="Arial" w:eastAsia="Arial" w:hAnsi="Arial"/>
          <w:sz w:val="16"/>
          <w:szCs w:val="16"/>
          <w:u w:val="single" w:color="auto"/>
          <w:color w:val="auto"/>
        </w:rPr>
        <w:t>Holdings</w:t>
      </w:r>
      <w:r>
        <w:rPr>
          <w:rFonts w:ascii="Arial" w:cs="Arial" w:eastAsia="Arial" w:hAnsi="Arial"/>
          <w:sz w:val="16"/>
          <w:szCs w:val="16"/>
          <w:color w:val="auto"/>
        </w:rPr>
        <w:t>”), and Zordich Merger Sub, Inc., a wholly owned subsidiary of Zafgen (“</w:t>
      </w:r>
      <w:r>
        <w:rPr>
          <w:rFonts w:ascii="Arial" w:cs="Arial" w:eastAsia="Arial" w:hAnsi="Arial"/>
          <w:sz w:val="16"/>
          <w:szCs w:val="16"/>
          <w:u w:val="single" w:color="auto"/>
          <w:color w:val="auto"/>
        </w:rPr>
        <w:t>Merger Sub</w:t>
      </w:r>
      <w:r>
        <w:rPr>
          <w:rFonts w:ascii="Arial" w:cs="Arial" w:eastAsia="Arial" w:hAnsi="Arial"/>
          <w:sz w:val="16"/>
          <w:szCs w:val="16"/>
          <w:color w:val="auto"/>
        </w:rPr>
        <w:t>”), to the Agreement and Plan of Merger, dated December 17, 2019, by and among Zafgen, Chondrial, Holdings and Merger Sub,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the Merger Agreement, and upon the terms and subject to the satisfaction of the conditions described in the Merger Agreement, Chondrial will be merged with and into Merger Sub (the “</w:t>
      </w:r>
      <w:r>
        <w:rPr>
          <w:rFonts w:ascii="Arial" w:cs="Arial" w:eastAsia="Arial" w:hAnsi="Arial"/>
          <w:sz w:val="16"/>
          <w:szCs w:val="16"/>
          <w:u w:val="single" w:color="auto"/>
          <w:color w:val="auto"/>
        </w:rPr>
        <w:t>Merger</w:t>
      </w:r>
      <w:r>
        <w:rPr>
          <w:rFonts w:ascii="Arial" w:cs="Arial" w:eastAsia="Arial" w:hAnsi="Arial"/>
          <w:sz w:val="16"/>
          <w:szCs w:val="16"/>
          <w:color w:val="auto"/>
        </w:rPr>
        <w:t>”) at the effective time of the Merger, with Chondrial continuing after the Merger as the surviving company and a wholly-owned subsidiary of Zafgen.</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board of directors of Zafgen has unanimously approved the Amendment and the related transactions. Other than as set forth in the Amendment, the terms of Merger Agreement are unchanged. In connection with the Merger, Zafgen has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a preliminary proxy statement and other relevant materials in connection with the proposed transactions.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which is filed as Exhibit 2.1 to this Current Report on Form 8-K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Merger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communication relates to the proposed merger transaction involving Zafgen and Chondrial and may be deemed to be solicitation material in respect of the proposed merger involving Zafgen and Chondrial. In connection with the proposed merger, Zafgen intends to file relevant materials with the SEC, including a proxy statement relating to the approval of the merger agreement. Investors and security holders of Zafgen are urged to read these materials when they become available because they will contain important information about Zafgen, Chondrial and the proposed merger. The proxy statement and other relevant materials (when they become 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are included in the proxy statement referred to above. The information in the preliminary proxy statement is not complete and may be changed. These documents are available free of charge at the SEC web site (www.sec.gov) and from the Secretary of Zafgen at the address above.</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Zafgen Forward-Looking Information is Subject to Risks and Uncertainty</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Annual Report on Form 10-K for the year ended December 31,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4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5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49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3"/>
                <w:szCs w:val="23"/>
                <w:color w:val="auto"/>
              </w:rPr>
            </w:pPr>
          </w:p>
        </w:tc>
        <w:tc>
          <w:tcPr>
            <w:tcW w:w="100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Amendment No. 1 to Agreement and Plan of Merger, dated as of March 6, 2020, by and among Zafgen, Inc., Chondrial Therapeutics, Inc.,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Chondrial Therapeutics Holdings, LLC, and Zordich Merger Sub, Inc.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Arial" w:cs="Arial" w:eastAsia="Arial" w:hAnsi="Arial"/>
                <w:sz w:val="18"/>
                <w:szCs w:val="18"/>
                <w:b w:val="1"/>
                <w:bCs w:val="1"/>
                <w:color w:val="auto"/>
              </w:rPr>
              <w:t>ZAFGEN,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March 6, 2020</w:t>
            </w:r>
          </w:p>
        </w:tc>
        <w:tc>
          <w:tcPr>
            <w:tcW w:w="7460" w:type="dxa"/>
            <w:vAlign w:val="bottom"/>
            <w:gridSpan w:val="2"/>
          </w:tcPr>
          <w:p>
            <w:pPr>
              <w:ind w:left="2060"/>
              <w:spacing w:after="0"/>
              <w:rPr>
                <w:sz w:val="20"/>
                <w:szCs w:val="20"/>
                <w:color w:val="auto"/>
              </w:rPr>
            </w:pPr>
            <w:r>
              <w:rPr>
                <w:rFonts w:ascii="Arial" w:cs="Arial" w:eastAsia="Arial" w:hAnsi="Arial"/>
                <w:sz w:val="18"/>
                <w:szCs w:val="18"/>
                <w:color w:val="auto"/>
              </w:rPr>
              <w:t>By:  /s/ Jeffrey S. Hatfield</w:t>
            </w:r>
          </w:p>
        </w:tc>
      </w:tr>
      <w:tr>
        <w:trPr>
          <w:trHeight w:val="224"/>
        </w:trPr>
        <w:tc>
          <w:tcPr>
            <w:tcW w:w="3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Jeffrey S. Hatfield, 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240030</wp:posOffset>
            </wp:positionV>
            <wp:extent cx="2588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ind w:left="4" w:firstLine="991"/>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2"/>
          <w:szCs w:val="12"/>
          <w:color w:val="auto"/>
        </w:rPr>
        <w:t>HIS</w:t>
      </w:r>
      <w:r>
        <w:rPr>
          <w:rFonts w:ascii="Arial" w:cs="Arial" w:eastAsia="Arial" w:hAnsi="Arial"/>
          <w:sz w:val="16"/>
          <w:szCs w:val="16"/>
          <w:color w:val="auto"/>
        </w:rPr>
        <w:t xml:space="preserve"> A</w:t>
      </w:r>
      <w:r>
        <w:rPr>
          <w:rFonts w:ascii="Arial" w:cs="Arial" w:eastAsia="Arial" w:hAnsi="Arial"/>
          <w:sz w:val="12"/>
          <w:szCs w:val="12"/>
          <w:color w:val="auto"/>
        </w:rPr>
        <w:t>MENDMENT</w:t>
      </w:r>
      <w:r>
        <w:rPr>
          <w:rFonts w:ascii="Arial" w:cs="Arial" w:eastAsia="Arial" w:hAnsi="Arial"/>
          <w:sz w:val="16"/>
          <w:szCs w:val="16"/>
          <w:color w:val="auto"/>
        </w:rPr>
        <w:t xml:space="preserve"> N</w:t>
      </w:r>
      <w:r>
        <w:rPr>
          <w:rFonts w:ascii="Arial" w:cs="Arial" w:eastAsia="Arial" w:hAnsi="Arial"/>
          <w:sz w:val="12"/>
          <w:szCs w:val="12"/>
          <w:color w:val="auto"/>
        </w:rPr>
        <w:t>O</w:t>
      </w:r>
      <w:r>
        <w:rPr>
          <w:rFonts w:ascii="Arial" w:cs="Arial" w:eastAsia="Arial" w:hAnsi="Arial"/>
          <w:sz w:val="16"/>
          <w:szCs w:val="16"/>
          <w:color w:val="auto"/>
        </w:rPr>
        <w:t xml:space="preserve">. 1 </w:t>
      </w:r>
      <w:r>
        <w:rPr>
          <w:rFonts w:ascii="Arial" w:cs="Arial" w:eastAsia="Arial" w:hAnsi="Arial"/>
          <w:sz w:val="12"/>
          <w:szCs w:val="12"/>
          <w:color w:val="auto"/>
        </w:rPr>
        <w:t>TO THE</w:t>
      </w:r>
      <w:r>
        <w:rPr>
          <w:rFonts w:ascii="Arial" w:cs="Arial" w:eastAsia="Arial" w:hAnsi="Arial"/>
          <w:sz w:val="16"/>
          <w:szCs w:val="16"/>
          <w:color w:val="auto"/>
        </w:rPr>
        <w:t xml:space="preserve"> A</w:t>
      </w:r>
      <w:r>
        <w:rPr>
          <w:rFonts w:ascii="Arial" w:cs="Arial" w:eastAsia="Arial" w:hAnsi="Arial"/>
          <w:sz w:val="12"/>
          <w:szCs w:val="12"/>
          <w:color w:val="auto"/>
        </w:rPr>
        <w:t>GREEMENT AND</w:t>
      </w:r>
      <w:r>
        <w:rPr>
          <w:rFonts w:ascii="Arial" w:cs="Arial" w:eastAsia="Arial" w:hAnsi="Arial"/>
          <w:sz w:val="16"/>
          <w:szCs w:val="16"/>
          <w:color w:val="auto"/>
        </w:rPr>
        <w:t xml:space="preserve"> P</w:t>
      </w:r>
      <w:r>
        <w:rPr>
          <w:rFonts w:ascii="Arial" w:cs="Arial" w:eastAsia="Arial" w:hAnsi="Arial"/>
          <w:sz w:val="12"/>
          <w:szCs w:val="12"/>
          <w:color w:val="auto"/>
        </w:rPr>
        <w:t>LAN OF</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dated as of March 6, 2020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by and among Z</w:t>
      </w:r>
      <w:r>
        <w:rPr>
          <w:rFonts w:ascii="Arial" w:cs="Arial" w:eastAsia="Arial" w:hAnsi="Arial"/>
          <w:sz w:val="12"/>
          <w:szCs w:val="12"/>
          <w:color w:val="auto"/>
        </w:rPr>
        <w:t>AFGEN</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Zordich</w:t>
      </w:r>
      <w:r>
        <w:rPr>
          <w:rFonts w:ascii="Arial" w:cs="Arial" w:eastAsia="Arial" w:hAnsi="Arial"/>
          <w:sz w:val="16"/>
          <w:szCs w:val="16"/>
          <w:color w:val="auto"/>
        </w:rPr>
        <w:t>”); Z</w:t>
      </w:r>
      <w:r>
        <w:rPr>
          <w:rFonts w:ascii="Arial" w:cs="Arial" w:eastAsia="Arial" w:hAnsi="Arial"/>
          <w:sz w:val="12"/>
          <w:szCs w:val="12"/>
          <w:color w:val="auto"/>
        </w:rPr>
        <w:t>ORDICH</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xml:space="preserve"> S</w:t>
      </w:r>
      <w:r>
        <w:rPr>
          <w:rFonts w:ascii="Arial" w:cs="Arial" w:eastAsia="Arial" w:hAnsi="Arial"/>
          <w:sz w:val="12"/>
          <w:szCs w:val="12"/>
          <w:color w:val="auto"/>
        </w:rPr>
        <w:t>UB</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and wholly owned subsidiary of Zordich (“</w:t>
      </w:r>
      <w:r>
        <w:rPr>
          <w:rFonts w:ascii="Arial" w:cs="Arial" w:eastAsia="Arial" w:hAnsi="Arial"/>
          <w:sz w:val="16"/>
          <w:szCs w:val="16"/>
          <w:b w:val="1"/>
          <w:bCs w:val="1"/>
          <w:color w:val="auto"/>
        </w:rPr>
        <w:t>Merger Sub</w:t>
      </w:r>
      <w:r>
        <w:rPr>
          <w:rFonts w:ascii="Arial" w:cs="Arial" w:eastAsia="Arial" w:hAnsi="Arial"/>
          <w:sz w:val="16"/>
          <w:szCs w:val="16"/>
          <w:color w:val="auto"/>
        </w:rPr>
        <w:t>”);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xml:space="preserve"> H</w:t>
      </w:r>
      <w:r>
        <w:rPr>
          <w:rFonts w:ascii="Arial" w:cs="Arial" w:eastAsia="Arial" w:hAnsi="Arial"/>
          <w:sz w:val="12"/>
          <w:szCs w:val="12"/>
          <w:color w:val="auto"/>
        </w:rPr>
        <w:t>OLDINGS</w:t>
      </w:r>
      <w:r>
        <w:rPr>
          <w:rFonts w:ascii="Arial" w:cs="Arial" w:eastAsia="Arial" w:hAnsi="Arial"/>
          <w:sz w:val="16"/>
          <w:szCs w:val="16"/>
          <w:color w:val="auto"/>
        </w:rPr>
        <w:t>,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Capitalized terms used but not otherwise defined herein shall have the respective meanings ascribed thereto in the Agreement and Plan of Merger, dated as of December 17, 2019, by and among the parties hereto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WHEREAS, Zordich, Merger Sub, the Company and Holdings desire to amend the Merger Agreement on the terms and conditions set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forth herein;</w:t>
      </w:r>
    </w:p>
    <w:p>
      <w:pPr>
        <w:spacing w:after="0" w:line="211"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WHEREAS, Section 11.2 of the Merger Agreement provides that subject to the provisions of applicable Law, the Merger Agreement may be amended by authorized action of Zordich, Merger Sub, the Company and Holdings; and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WHEREAS, the respective boards of directors of Zordich, Merger Sub, the Company and Holdings have approved this Amendment.</w:t>
      </w:r>
    </w:p>
    <w:p>
      <w:pPr>
        <w:spacing w:after="0" w:line="237"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is hereby acknowledged, the parties hereto hereby agree as follows:</w:t>
      </w:r>
    </w:p>
    <w:p>
      <w:pPr>
        <w:spacing w:after="0" w:line="76" w:lineRule="exact"/>
        <w:rPr>
          <w:sz w:val="20"/>
          <w:szCs w:val="20"/>
          <w:color w:val="auto"/>
        </w:rPr>
      </w:pPr>
    </w:p>
    <w:p>
      <w:pPr>
        <w:ind w:left="964" w:right="4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of Section 6.5</w:t>
      </w:r>
      <w:r>
        <w:rPr>
          <w:rFonts w:ascii="Arial" w:cs="Arial" w:eastAsia="Arial" w:hAnsi="Arial"/>
          <w:sz w:val="18"/>
          <w:szCs w:val="18"/>
          <w:color w:val="auto"/>
        </w:rPr>
        <w:t>. Section 6.5 (Holdings Options) of the Merger Agreement is hereby amended and restated in its entirety to read as follows:</w:t>
      </w:r>
    </w:p>
    <w:p>
      <w:pPr>
        <w:spacing w:after="0" w:line="62"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Holdings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72" w:lineRule="auto"/>
        <w:tabs>
          <w:tab w:leader="none" w:pos="1375"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6.5(d)</w:t>
      </w:r>
      <w:r>
        <w:rPr>
          <w:rFonts w:ascii="Arial" w:cs="Arial" w:eastAsia="Arial" w:hAnsi="Arial"/>
          <w:sz w:val="17"/>
          <w:szCs w:val="17"/>
          <w:color w:val="auto"/>
        </w:rPr>
        <w:t xml:space="preserve">, as of the Effective Time, each Holdings Option that is outstanding and unexercised as of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the terms of the option agreement by which such Holdings Option is evidenced and the terms of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7"/>
          <w:szCs w:val="17"/>
          <w:u w:val="single" w:color="auto"/>
          <w:color w:val="auto"/>
        </w:rPr>
        <w:t>Section 6.5(a)</w:t>
      </w:r>
      <w:r>
        <w:rPr>
          <w:rFonts w:ascii="Arial" w:cs="Arial" w:eastAsia="Arial" w:hAnsi="Arial"/>
          <w:sz w:val="17"/>
          <w:szCs w:val="17"/>
          <w:color w:val="auto"/>
        </w:rPr>
        <w:t>. Accordingly, from and after the Effective Time:</w:t>
      </w:r>
    </w:p>
    <w:p>
      <w:pPr>
        <w:spacing w:after="0" w:line="69" w:lineRule="exact"/>
        <w:rPr>
          <w:sz w:val="20"/>
          <w:szCs w:val="20"/>
          <w:color w:val="auto"/>
        </w:rPr>
      </w:pPr>
    </w:p>
    <w:p>
      <w:pPr>
        <w:ind w:left="1204" w:hanging="213"/>
        <w:spacing w:after="0"/>
        <w:tabs>
          <w:tab w:leader="none" w:pos="1204"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substituted Holdings Option may be exercised solely for shares of Zordich Common Stock;</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number of shares of Zordich Common Stock subject to each such substituted Holdings Option shall be determined by multiplying</w:t>
      </w:r>
    </w:p>
    <w:p>
      <w:pPr>
        <w:spacing w:after="0" w:line="46" w:lineRule="exact"/>
        <w:rPr>
          <w:rFonts w:ascii="Arial" w:cs="Arial" w:eastAsia="Arial" w:hAnsi="Arial"/>
          <w:sz w:val="16"/>
          <w:szCs w:val="16"/>
          <w:color w:val="auto"/>
        </w:rPr>
      </w:pPr>
    </w:p>
    <w:p>
      <w:pPr>
        <w:jc w:val="both"/>
        <w:ind w:left="4" w:right="60" w:hanging="4"/>
        <w:spacing w:after="0" w:line="253" w:lineRule="auto"/>
        <w:tabs>
          <w:tab w:leader="none" w:pos="29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Holdings Units that were subject to such Holdings Option, as in effect immediately prior to the Effective Time, by (B) the number of Company Outstanding Shares as of immediately prior to the Effective Time, by (C) a fraction, the numerator of which is one (1) and the denominator of which is the fully-diluted number of Holdings Units as of such time (assuming conversion of all classes of units of Holdings into Holdings Units, and including Holdings Units underlying all Holdings Options), by (D) the Exchange Ratio, and rounding the resulting number down to the nearest whole number of shares of Zordich Common Stock;</w:t>
      </w:r>
    </w:p>
    <w:p>
      <w:pPr>
        <w:sectPr>
          <w:pgSz w:w="11900" w:h="16838" w:orient="portrait"/>
          <w:cols w:equalWidth="0" w:num="1">
            <w:col w:w="11004"/>
          </w:cols>
          <w:pgMar w:left="436" w:top="270" w:right="459" w:bottom="1440" w:gutter="0" w:footer="0" w:header="0"/>
        </w:sectPr>
      </w:pPr>
    </w:p>
    <w:bookmarkStart w:id="6" w:name="page7"/>
    <w:bookmarkEnd w:id="6"/>
    <w:p>
      <w:pPr>
        <w:ind w:left="-428" w:right="40" w:firstLine="987"/>
        <w:spacing w:after="0" w:line="269" w:lineRule="auto"/>
        <w:tabs>
          <w:tab w:leader="none" w:pos="878"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 share exercise price for the shares of Zordich Common Stock issuable upon exercise of each substituted Holdings Option shall be determined by multiplying (A) the fair market value of a share of Zordich Common Stock at the Effective Time (as determined under the applicable Zordich Stock Plan) by (B) a fraction, the numerator of which is the per share exercise price of the Holdings Option as in effect immediately prior to the Effective Time, and the denominator of which is the fair market value of the Holdings Units subject to such Holdings Option immediately prior to the Effective Time, and rounding the resulting exercise price up to the nearest whole cent, provided, however, that the per share exercise price of each replacement option to purchase shares of Zordich Common Stock shall be increased to the extent necessary so that, with respect to each applicable award of a Holdings Option to purchase Holdings Units, the excess of the aggregate fair market value of the shares of Zordich Common Stock subject to the replacement option immediately after the substitution over the aggregate option price of such shares is not greater than the excess of the aggregate fair market value of all Holdings Units subject to such Holdings Option immediately before the substitution over the aggregate option price of such Holdings Units; and</w:t>
      </w:r>
    </w:p>
    <w:p>
      <w:pPr>
        <w:spacing w:after="0" w:line="77" w:lineRule="exact"/>
        <w:rPr>
          <w:rFonts w:ascii="Arial" w:cs="Arial" w:eastAsia="Arial" w:hAnsi="Arial"/>
          <w:sz w:val="17"/>
          <w:szCs w:val="17"/>
          <w:color w:val="auto"/>
        </w:rPr>
      </w:pPr>
    </w:p>
    <w:p>
      <w:pPr>
        <w:ind w:left="-428" w:right="40" w:firstLine="987"/>
        <w:spacing w:after="0" w:line="254"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w:t>
      </w:r>
    </w:p>
    <w:p>
      <w:pPr>
        <w:spacing w:after="0" w:line="87" w:lineRule="exact"/>
        <w:rPr>
          <w:sz w:val="20"/>
          <w:szCs w:val="20"/>
          <w:color w:val="auto"/>
        </w:rPr>
      </w:pPr>
    </w:p>
    <w:p>
      <w:pPr>
        <w:ind w:left="-428" w:right="220" w:firstLine="987"/>
        <w:spacing w:after="0" w:line="259" w:lineRule="auto"/>
        <w:tabs>
          <w:tab w:leader="none" w:pos="818"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6.5(a)</w:t>
      </w:r>
      <w:r>
        <w:rPr>
          <w:rFonts w:ascii="Arial" w:cs="Arial" w:eastAsia="Arial" w:hAnsi="Arial"/>
          <w:sz w:val="18"/>
          <w:szCs w:val="18"/>
          <w:color w:val="auto"/>
        </w:rPr>
        <w:t>, the substitution of each Holdings Option (regardless of whether such option qualifies as an “incentive stock option” within the meaning of Section 422 of the Code) for an option to purchase shares of Zordich Common Stock shall be made in a manner consistent with Treasury Regulations Section 1.424-1 to the extent necessary for that substitution to not constitute a “modification” of such Holdings Option for purposes of Section 409A of the Code.</w:t>
      </w:r>
    </w:p>
    <w:p>
      <w:pPr>
        <w:spacing w:after="0" w:line="78" w:lineRule="exact"/>
        <w:rPr>
          <w:rFonts w:ascii="Arial" w:cs="Arial" w:eastAsia="Arial" w:hAnsi="Arial"/>
          <w:sz w:val="18"/>
          <w:szCs w:val="18"/>
          <w:color w:val="auto"/>
        </w:rPr>
      </w:pPr>
    </w:p>
    <w:p>
      <w:pPr>
        <w:ind w:left="-428" w:right="660" w:firstLine="987"/>
        <w:spacing w:after="0" w:line="263" w:lineRule="auto"/>
        <w:tabs>
          <w:tab w:leader="none" w:pos="808"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8" w:right="60" w:firstLine="987"/>
        <w:spacing w:after="0" w:line="263" w:lineRule="auto"/>
        <w:tabs>
          <w:tab w:leader="none" w:pos="818"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Prior to the Effective Time, Holdings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32" w:hanging="532"/>
        <w:spacing w:after="0" w:line="279" w:lineRule="auto"/>
        <w:tabs>
          <w:tab w:leader="none" w:pos="53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References to the Merger Agreement</w:t>
      </w:r>
      <w:r>
        <w:rPr>
          <w:rFonts w:ascii="Arial" w:cs="Arial" w:eastAsia="Arial" w:hAnsi="Arial"/>
          <w:sz w:val="17"/>
          <w:szCs w:val="17"/>
          <w:color w:val="auto"/>
        </w:rPr>
        <w:t>. After giving effect to this Amendment, each reference in the Merger Agreement to “this Agreement”, “hereof”, “hereunder” or words of like import referring to the Merger Agreement shall refer to the Merger Agreement as amended by this Amendment and all references in the Zordich Disclosure Schedules and the Company Disclosure Schedules to “the Agreement” and “the Merger Agreement” shall refer to the Merger Agreement as amended by this Amendment.</w:t>
      </w:r>
    </w:p>
    <w:p>
      <w:pPr>
        <w:spacing w:after="0" w:line="76" w:lineRule="exact"/>
        <w:rPr>
          <w:rFonts w:ascii="Arial" w:cs="Arial" w:eastAsia="Arial" w:hAnsi="Arial"/>
          <w:sz w:val="17"/>
          <w:szCs w:val="17"/>
          <w:color w:val="auto"/>
        </w:rPr>
      </w:pPr>
    </w:p>
    <w:p>
      <w:pPr>
        <w:ind w:left="532" w:right="80" w:hanging="532"/>
        <w:spacing w:after="0" w:line="342" w:lineRule="auto"/>
        <w:tabs>
          <w:tab w:leader="none" w:pos="5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Except as expressly provided in this Amendment, all references in the Merger Agreement and the Zordich Disclosure Schedules and the Company Disclosure Schedules to “the date hereof” and “the date of this Agreement” shall refer to December 17, 2019.</w:t>
      </w:r>
    </w:p>
    <w:p>
      <w:pPr>
        <w:sectPr>
          <w:pgSz w:w="11900" w:h="16838" w:orient="portrait"/>
          <w:cols w:equalWidth="0" w:num="1">
            <w:col w:w="10592"/>
          </w:cols>
          <w:pgMar w:left="868" w:top="274" w:right="439" w:bottom="1440" w:gutter="0" w:footer="0" w:header="0"/>
        </w:sectPr>
      </w:pPr>
    </w:p>
    <w:bookmarkStart w:id="7" w:name="page8"/>
    <w:bookmarkEnd w:id="7"/>
    <w:p>
      <w:pPr>
        <w:jc w:val="both"/>
        <w:ind w:left="532" w:hanging="532"/>
        <w:spacing w:after="0" w:line="263" w:lineRule="auto"/>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Miscellaneous Terms</w:t>
      </w:r>
      <w:r>
        <w:rPr>
          <w:rFonts w:ascii="Arial" w:cs="Arial" w:eastAsia="Arial" w:hAnsi="Arial"/>
          <w:sz w:val="18"/>
          <w:szCs w:val="18"/>
          <w:color w:val="auto"/>
        </w:rPr>
        <w:t xml:space="preserve">. The provisions of Section 11 (Miscellaneous Provisions) of the Merger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Merger Agreement as modified by this Amendment, taken together as a single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terms therein as modified hereby.</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amended hereby, the Merger Agreement, shall remain in full force and effect.</w:t>
      </w:r>
    </w:p>
    <w:p>
      <w:pPr>
        <w:spacing w:after="0" w:line="200" w:lineRule="exact"/>
        <w:rPr>
          <w:sz w:val="20"/>
          <w:szCs w:val="20"/>
          <w:color w:val="auto"/>
        </w:rPr>
      </w:pPr>
    </w:p>
    <w:p>
      <w:pPr>
        <w:spacing w:after="0" w:line="24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9972"/>
          </w:cols>
          <w:pgMar w:left="868" w:top="274" w:right="10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caused this Amendment to be executed as of the date first above written.</w:t>
      </w:r>
    </w:p>
    <w:p>
      <w:pPr>
        <w:spacing w:after="0" w:line="37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Jeffrey S. Hatfield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Jeffrey S. Hatfield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Patricia L. Allen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Patricia L. Allen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 Secretary and Treasurer</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Carole S. Ben-Maimon, MD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Carole S. Ben-Maimon, MD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Carole S. Ben-Maimon, MD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Carole S. Ben-Maimon, MD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Amendment No. 1 to Merger Agreement]</w:t>
      </w:r>
    </w:p>
    <w:sectPr>
      <w:pgSz w:w="11900" w:h="16838" w:orient="portrait"/>
      <w:cols w:equalWidth="0" w:num="1">
        <w:col w:w="10580"/>
      </w:cols>
      <w:pgMar w:left="88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upperLetter"/>
      <w:start w:val="1"/>
    </w:lvl>
    <w:lvl w:ilvl="1">
      <w:lvlJc w:val="left"/>
      <w:lvlText w:val="(%2)"/>
      <w:numFmt w:val="lowerRoman"/>
      <w:start w:val="1"/>
    </w:lvl>
  </w:abstractNum>
  <w:abstractNum w:abstractNumId="5">
    <w:nsid w:val="7545E146"/>
    <w:multiLevelType w:val="hybridMultilevel"/>
    <w:lvl w:ilvl="0">
      <w:lvlJc w:val="left"/>
      <w:lvlText w:val="(%1)"/>
      <w:numFmt w:val="upperLetter"/>
      <w:start w:val="1"/>
    </w:lvl>
    <w:lvl w:ilvl="1">
      <w:lvlJc w:val="left"/>
      <w:lvlText w:val="%2"/>
      <w:numFmt w:val="lowerRoman"/>
      <w:start w:val="1"/>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1"/>
      <w:numFmt w:val="decimal"/>
      <w:start w:val="1"/>
    </w:lvl>
    <w:lvl w:ilvl="1">
      <w:lvlJc w:val="left"/>
      <w:lvlText w:val="(%2)"/>
      <w:numFmt w:val="lowerLetter"/>
      <w:start w:val="2"/>
    </w:lvl>
  </w:abstractNum>
  <w:abstractNum w:abstractNumId="8">
    <w:nsid w:val="12200854"/>
    <w:multiLevelType w:val="hybridMultilevel"/>
    <w:lvl w:ilvl="0">
      <w:lvlJc w:val="left"/>
      <w:lvlText w:val="%1."/>
      <w:numFmt w:val="decimal"/>
      <w:start w:val="2"/>
    </w:lvl>
    <w:lvl w:ilvl="1">
      <w:lvlJc w:val="left"/>
      <w:lvlText w:val="%2"/>
      <w:numFmt w:val="lowerLetter"/>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2020-03-09T05:06:24Z</dcterms:created>
  <dcterms:modified xsi:type="dcterms:W3CDTF">2020-03-09T05:06:24Z</dcterms:modified>
</cp:coreProperties>
</file>