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60"/>
        <w:spacing w:after="0"/>
        <w:tabs>
          <w:tab w:leader="none" w:pos="6760" w:val="left"/>
          <w:tab w:leader="none" w:pos="7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ZAFGEN,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3" w:lineRule="exact"/>
        <w:rPr>
          <w:sz w:val="24"/>
          <w:szCs w:val="24"/>
          <w:color w:val="auto"/>
        </w:rPr>
      </w:pPr>
    </w:p>
    <w:p>
      <w:pPr>
        <w:sectPr>
          <w:pgSz w:w="11900" w:h="16838" w:orient="portrait"/>
          <w:cols w:equalWidth="0" w:num="2">
            <w:col w:w="7500" w:space="720"/>
            <w:col w:w="3200"/>
          </w:cols>
          <w:pgMar w:left="240" w:top="226" w:right="239" w:bottom="0" w:gutter="0" w:footer="0" w:header="0"/>
          <w:type w:val="continuous"/>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6" w:right="239" w:bottom="0" w:gutter="0" w:footer="0" w:header="0"/>
          <w:type w:val="continuous"/>
        </w:sectPr>
      </w:pPr>
    </w:p>
    <w:p>
      <w:pPr>
        <w:spacing w:after="0" w:line="2"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175 Portland Street, 4th Floor</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Boston, Massachusetts 02114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420"/>
          </w:cols>
          <w:pgMar w:left="240" w:top="226" w:right="239" w:bottom="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78"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July 31, 2017, there were 27,483,925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93"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cash forecasts and capital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commercialize ZGN-1061 as a treatment for metabolic diseases including type 2 diabetes and obesity;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advance ZGN-1061 into later-stage clinical trials;</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dissociate effects of methionine aminopeptidase 2, or MetAP2, inhibitors from prothrombotic effects or other adverse events observed in clinical development of beloranib;</w:t>
      </w:r>
    </w:p>
    <w:p>
      <w:pPr>
        <w:spacing w:after="0" w:line="67"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 compelling argument for improved safety of ZGN-1061 and other novel MetAP2 inhibitors relative to first generation compounds, including beloranib;</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contract manufacturers and clinical research organizations;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proprietary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when needed;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that are or become available for the indications that we are pursuing;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or management personnel;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II, Item 1A. Risk Factors.</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0" w:type="dxa"/>
            <w:vAlign w:val="bottom"/>
            <w:gridSpan w:val="8"/>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0" w:type="dxa"/>
            <w:vAlign w:val="bottom"/>
            <w:gridSpan w:val="8"/>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18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18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June 30, 2017 and December 31, 2016</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80" w:type="dxa"/>
            <w:vAlign w:val="bottom"/>
            <w:gridSpan w:val="1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and Comprehensive Loss for the three and six months ended June 30, 2017 and 2016</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six months ended June 30, 2017 and 2016</w:t>
              </w:r>
            </w:hyperlink>
          </w:p>
        </w:tc>
        <w:tc>
          <w:tcPr>
            <w:tcW w:w="3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28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180" w:type="dxa"/>
            <w:vAlign w:val="bottom"/>
            <w:gridSpan w:val="12"/>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372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50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Management’s Evaluation of our Disclosure Controls and Procedures</w:t>
              </w:r>
            </w:hyperlink>
          </w:p>
        </w:tc>
        <w:tc>
          <w:tcPr>
            <w:tcW w:w="5180" w:type="dxa"/>
            <w:vAlign w:val="bottom"/>
            <w:gridSpan w:val="5"/>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0" w:type="dxa"/>
            <w:vAlign w:val="bottom"/>
            <w:gridSpan w:val="8"/>
          </w:tcPr>
          <w:p>
            <w:pPr>
              <w:ind w:left="7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180" w:type="dxa"/>
            <w:vAlign w:val="bottom"/>
            <w:gridSpan w:val="12"/>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tcPr>
          <w:p>
            <w:pPr>
              <w:spacing w:after="0"/>
              <w:rPr>
                <w:sz w:val="22"/>
                <w:szCs w:val="22"/>
                <w:color w:val="auto"/>
              </w:rPr>
            </w:pPr>
          </w:p>
        </w:tc>
        <w:tc>
          <w:tcPr>
            <w:tcW w:w="8840" w:type="dxa"/>
            <w:vAlign w:val="bottom"/>
            <w:gridSpan w:val="9"/>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0180" w:type="dxa"/>
            <w:vAlign w:val="bottom"/>
            <w:gridSpan w:val="12"/>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4"/>
        </w:trPr>
        <w:tc>
          <w:tcPr>
            <w:tcW w:w="880" w:type="dxa"/>
            <w:vAlign w:val="bottom"/>
            <w:gridSpan w:val="2"/>
          </w:tcPr>
          <w:p>
            <w:pPr>
              <w:spacing w:after="0"/>
              <w:rPr>
                <w:rFonts w:ascii="Times New Roman" w:cs="Times New Roman" w:eastAsia="Times New Roman" w:hAnsi="Times New Roman"/>
                <w:sz w:val="18"/>
                <w:szCs w:val="18"/>
                <w:b w:val="1"/>
                <w:bCs w:val="1"/>
                <w:color w:val="0000EE"/>
              </w:rPr>
            </w:pPr>
            <w:hyperlink w:anchor="page53">
              <w:r>
                <w:rPr>
                  <w:rFonts w:ascii="Times New Roman" w:cs="Times New Roman" w:eastAsia="Times New Roman" w:hAnsi="Times New Roman"/>
                  <w:sz w:val="18"/>
                  <w:szCs w:val="18"/>
                  <w:b w:val="1"/>
                  <w:bCs w:val="1"/>
                  <w:color w:val="0000EE"/>
                </w:rPr>
                <w:t>Signatures</w:t>
              </w:r>
            </w:hyperlink>
          </w:p>
        </w:tc>
        <w:tc>
          <w:tcPr>
            <w:tcW w:w="60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85"/>
        </w:trPr>
        <w:tc>
          <w:tcPr>
            <w:tcW w:w="8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gridSpan w:val="7"/>
          </w:tcPr>
          <w:p>
            <w:pPr>
              <w:ind w:left="478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31,726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74,266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incentive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Tax incentive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131,621</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payable, current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 as of June 30, 2017 and December 31, 2016;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 shares issued and outstanding as of June 30, 2017 and December 31, 2016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115,000,000 shares authorized as of June 30, 2017 and 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2016; 27,449,465 and 27,332,551 shares issued and outstanding as of June 30, 2017 and December 31, 2016,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(263,907)</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99,626</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32,919</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8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(26,358</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27,407,408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27,272,225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27,379,122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27,267,830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(26,319</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8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Unrealized foreign currency transaction gains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Premium on marketable securities, net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Tax incentive receivable</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(32,279)</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79,994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(57,300)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(1,559)</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exercise of common stock options and employee stock purchase plan</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20,026</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included in 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Zafgen, Inc., or the Company, was incorporated on November 22, 2005 under the laws of the State of Delaware. The Company is a biopharmaceutical company dedicated to significantly improving the health and well-being of patients affected by metabolic diseases including type 2 diabetes and obesity. The Company is focused on developing novel therapeutics that treat the underlying biological mechanisms through the methionine aminopeptidase 2 (“MetAP2”) pathway. The Company has pioneered the study of MetAP2 inhibitors in both common and rare forms of obesity. The Company’s lead product candidate is ZGN-1061, a novel fumagillin-class MetAP2 inhibitor administered by subcutaneous injection, which is currently being profiled for its utility in the treatment of metabolic diseases including type 2 diabetes and obesity. Since its inception, the Company has devoted substantially all of its efforts to research and development, recruiting management, acquiring operating assets and raising capital. Currently, the Company is focusing its personnel and financial resources on ZGN-1061 and the discovery of novel and highly differentiated MetAP2 inhibitors.</w:t>
      </w:r>
    </w:p>
    <w:p>
      <w:pPr>
        <w:spacing w:after="0" w:line="185"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As of June 30, 2017, the Company had an accumulated deficit of $263.9 million. From its inception through June 30, 2017, the Company received net proceeds of $333.3 million from the sales of redeemable convertible preferred stock, the issuance of convertible promissory notes, the proceeds from its initial public offering (“IPO”) in June 2014 and its follow-on offering in January 2015. Until such time, if ever, as the Company can generate substantial product revenue, the Company expects to finance its cash needs through a combination of equity offerings, debt financings, collaborations, strategic alliances, licensing arrangements and other sources of funding. If the Company is unable to raise additional funds through equity, debt financings or licensing arrangements when needed, the Company may be required to delay, limit, reduce or terminate product development or future commercialization efforts or grant rights to develop and market products or product candidates that the Company would otherwise prefer to develop and market itself. Based on its current operating plans, the Company believes its cash, cash equivalents and marketable securities of $106.0 million as of June 30, 2017 will be sufficient to fund its anticipated level of operations and capital expenditures for a period of at least one year from the issuance date of this Quarterly Report.</w:t>
      </w:r>
    </w:p>
    <w:p>
      <w:pPr>
        <w:spacing w:after="0" w:line="186"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2016 was derived from the Company’s audited financial statements, but does not include all disclosures required by accounting principles generally accepted in the United States of America, or GAAP. The accompanying unaudited condensed consolidated financial statements as of June 30, 2017 and for the three and six months ended June 30, 2017 and 2016, have been prepared by the Company, pursuant to the rules and regulations of the Securities and Exchange Commission, or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2016, included in the Company’s Annual Report on Form 10-K, for the year ended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December 31, 2016, on file with the SEC. In the opinion of management, all adjustments, consisting only of normal recurring adjustments necessary for a fair statement of the Company’s condensed consolidated financial position as of June 30, 2017 and condensed consolidated results of operations and cash flows for the three and six months ended June 30, 2017 and 2016 have been made. The results of operations for the three and six months ended June 30, 2017 are not necessarily indicative of the results of operations that may be expected for the year ending December 31, 2017.</w:t>
      </w:r>
    </w:p>
    <w:p>
      <w:pPr>
        <w:spacing w:after="0" w:line="284" w:lineRule="exact"/>
        <w:rPr>
          <w:sz w:val="20"/>
          <w:szCs w:val="20"/>
          <w:color w:val="auto"/>
        </w:rPr>
      </w:pPr>
    </w:p>
    <w:p>
      <w:pPr>
        <w:ind w:right="784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Unrealized gains 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attributable to common stockholders by the weighted average number of common shares outstanding for the period. Diluted net income (loss) per share attributable to common stockholders is computed by dividing the diluted net income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88"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common stock equivalents, outstanding as of June 30, 2017 and 2016, from the computation of diluted net loss per share for the three months ended June 30, 2017 and 2016 because they had an anti-dilutive impact due to the net loss incurred for the periods: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9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4,185,866</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3,976,995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6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4,196,931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3,986,950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8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1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Times New Roman" w:cs="Times New Roman" w:eastAsia="Times New Roman" w:hAnsi="Times New Roman"/>
          <w:sz w:val="18"/>
          <w:szCs w:val="18"/>
          <w:i w:val="1"/>
          <w:iCs w:val="1"/>
          <w:color w:val="auto"/>
        </w:rPr>
        <w:t>, Revenue from Contract with Customers: Principal versus Agent Considerations</w:t>
      </w:r>
      <w:r>
        <w:rPr>
          <w:rFonts w:ascii="Times New Roman" w:cs="Times New Roman" w:eastAsia="Times New Roman" w:hAnsi="Times New Roman"/>
          <w:sz w:val="18"/>
          <w:szCs w:val="18"/>
          <w:color w:val="auto"/>
        </w:rPr>
        <w:t xml:space="preserve">, ASU 2016-10,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 Identifying Performance Obligations and Licensing</w:t>
      </w:r>
      <w:r>
        <w:rPr>
          <w:rFonts w:ascii="Times New Roman" w:cs="Times New Roman" w:eastAsia="Times New Roman" w:hAnsi="Times New Roman"/>
          <w:sz w:val="18"/>
          <w:szCs w:val="18"/>
          <w:color w:val="auto"/>
        </w:rPr>
        <w:t>, and ASU 2016-12,</w:t>
      </w:r>
      <w:r>
        <w:rPr>
          <w:rFonts w:ascii="Times New Roman" w:cs="Times New Roman" w:eastAsia="Times New Roman" w:hAnsi="Times New Roman"/>
          <w:sz w:val="18"/>
          <w:szCs w:val="18"/>
          <w:i w:val="1"/>
          <w:iCs w:val="1"/>
          <w:color w:val="auto"/>
        </w:rPr>
        <w:t xml:space="preserve"> Revenue from Contracts with Customers: Narrow-Scope Improvements and Practical Expedients. </w:t>
      </w:r>
      <w:r>
        <w:rPr>
          <w:rFonts w:ascii="Times New Roman" w:cs="Times New Roman" w:eastAsia="Times New Roman" w:hAnsi="Times New Roman"/>
          <w:sz w:val="18"/>
          <w:szCs w:val="18"/>
          <w:color w:val="auto"/>
        </w:rPr>
        <w:t>These amendments address a number of areas, including the entity’s identification of its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in a contract, collectability, non-cash consideration, presentation of sales tax and an entity’s evaluation of the nature of its promise to grant a license of intellectual property and whether or not that revenue is recognized over time or at a point in time. These new standards will be effective for the Company beginning January 1, 2018. The Company early adopted the standard as of January 1, 2017, however there is no impact of this new guidance on its condensed consolidated financial statements as it does not currently have any revenue generating arrangements.</w:t>
      </w:r>
    </w:p>
    <w:p>
      <w:pPr>
        <w:spacing w:after="0" w:line="193"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guidance will require that lease arrangements longer than 12 months result in an entity recognizing an asset and liability equal to the present value of the lease payments in the statement of financial position. This guidance is effective for annual periods beginning after December 15, 2018, and interim periods therein. This standard requires a modified retrospective transition approach for all leases existing at, or entered into after, the date of initial application, with an option to use certain transition relief. Early adoption is permitted. The Company is evaluating the effect that this guidance will have on its condensed consolidated financial statements.</w:t>
      </w:r>
    </w:p>
    <w:p>
      <w:pPr>
        <w:spacing w:after="0" w:line="180" w:lineRule="exact"/>
        <w:rPr>
          <w:sz w:val="20"/>
          <w:szCs w:val="20"/>
          <w:color w:val="auto"/>
        </w:rPr>
      </w:pPr>
    </w:p>
    <w:p>
      <w:pPr>
        <w:ind w:right="22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This standard was adopted on January 1, 2017 on a modified retrospective basis. As a result the Company has made an accounting policy election to account for forfeitures as they occur. The adoption of this guidance also requires excess tax benefits and tax deficiencies be recorded in the income statement as opposed to additional paid-in capital when the awards vest or are settled. The adoption of this guidance had an immaterial impact on the Company’s condensed consolidated financial statements as of and for the three and six months ended June 30, 2017.</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Classification of Certain Cash Receipts and Cash Payments</w:t>
      </w:r>
      <w:r>
        <w:rPr>
          <w:rFonts w:ascii="Times New Roman" w:cs="Times New Roman" w:eastAsia="Times New Roman" w:hAnsi="Times New Roman"/>
          <w:sz w:val="18"/>
          <w:szCs w:val="18"/>
          <w:color w:val="auto"/>
        </w:rPr>
        <w:t>. This guidance addresses the presentation and classification of certain cash receipts and cash payments in the statement of cash flows. The standard will be effective for annual periods beginning after December 15, 2017, and interim periods therein. Early adoption is permitted. The Company is evaluating the effect that this guidance will have on its condensed consolidated financial statements.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 – Stock Compensation: Scope of Modification Accounting</w:t>
      </w:r>
      <w:r>
        <w:rPr>
          <w:rFonts w:ascii="Times New Roman" w:cs="Times New Roman" w:eastAsia="Times New Roman" w:hAnsi="Times New Roman"/>
          <w:sz w:val="18"/>
          <w:szCs w:val="18"/>
          <w:color w:val="auto"/>
        </w:rPr>
        <w:t>. This guidance addresses which changes to the terms or conditions of a share-based payment award require an entity to apply modification accounting. The standard will be effective for annual periods beginning after December 15, 2017, and interim periods therein. Early adoption is permitted. The Company is evaluating the effect that this guidance will have on its condensed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714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 Fair Value Measurements</w:t>
      </w: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as of June 30, 2017 and December 31, 2016,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June 30, 2017 and December 31, 2016:</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4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10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25,771</w:t>
            </w:r>
          </w:p>
        </w:tc>
        <w:tc>
          <w:tcPr>
            <w:tcW w:w="10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$25,771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1,997</w:t>
            </w:r>
          </w:p>
        </w:tc>
        <w:tc>
          <w:tcPr>
            <w:tcW w:w="1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27,768</w:t>
            </w:r>
          </w:p>
        </w:tc>
        <w:tc>
          <w:tcPr>
            <w:tcW w:w="50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25,771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11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55,077</w:t>
            </w:r>
          </w:p>
        </w:tc>
        <w:tc>
          <w:tcPr>
            <w:tcW w:w="10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55,077</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19,189</w:t>
            </w:r>
          </w:p>
        </w:tc>
        <w:tc>
          <w:tcPr>
            <w:tcW w:w="10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19,189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74,266</w:t>
            </w:r>
          </w:p>
        </w:tc>
        <w:tc>
          <w:tcPr>
            <w:tcW w:w="50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74,266</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102,034</w:t>
            </w:r>
          </w:p>
        </w:tc>
        <w:tc>
          <w:tcPr>
            <w:tcW w:w="5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25,771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76,263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24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10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$22,091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2,997</w:t>
            </w: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69,622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27,220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96,842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123,430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22,091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$ 101,339</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as of June 30, 2017 and December 31,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1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580" w:type="dxa"/>
            <w:vAlign w:val="bottom"/>
            <w:gridSpan w:val="4"/>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60" w:type="dxa"/>
            <w:vAlign w:val="bottom"/>
          </w:tcPr>
          <w:p>
            <w:pPr>
              <w:spacing w:after="0"/>
              <w:rPr>
                <w:sz w:val="12"/>
                <w:szCs w:val="12"/>
                <w:color w:val="auto"/>
              </w:rPr>
            </w:pPr>
          </w:p>
        </w:tc>
        <w:tc>
          <w:tcPr>
            <w:tcW w:w="12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5"/>
          </w:tcPr>
          <w:p>
            <w:pPr>
              <w:jc w:val="center"/>
              <w:ind w:left="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 (due within 1 year)</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$ 55,112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$ 55,077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 (due within 1 year)</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19,193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19,189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$ 74,305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$ 74,266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1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0"/>
                <w:szCs w:val="10"/>
                <w:color w:val="auto"/>
              </w:rPr>
            </w:pPr>
          </w:p>
        </w:tc>
        <w:tc>
          <w:tcPr>
            <w:tcW w:w="580" w:type="dxa"/>
            <w:vAlign w:val="bottom"/>
            <w:gridSpan w:val="4"/>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60" w:type="dxa"/>
            <w:vAlign w:val="bottom"/>
          </w:tcPr>
          <w:p>
            <w:pPr>
              <w:spacing w:after="0"/>
              <w:rPr>
                <w:sz w:val="12"/>
                <w:szCs w:val="12"/>
                <w:color w:val="auto"/>
              </w:rPr>
            </w:pPr>
          </w:p>
        </w:tc>
        <w:tc>
          <w:tcPr>
            <w:tcW w:w="124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1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5"/>
          </w:tcPr>
          <w:p>
            <w:pPr>
              <w:jc w:val="center"/>
              <w:ind w:left="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Corporate bonds (due within 1 year)</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$ 68,777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$ 68,723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 (due after 1 year through 2 years)</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paper (due within 1 year)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27,220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$ 96,922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$ 96,842</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Accrued expenses consisted of the following as of June 30, 2017 and December 31, 2016: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60" w:type="dxa"/>
            <w:vAlign w:val="bottom"/>
          </w:tcPr>
          <w:p>
            <w:pPr>
              <w:spacing w:after="0"/>
              <w:rPr>
                <w:sz w:val="24"/>
                <w:szCs w:val="2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5"/>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4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2,709</w:t>
            </w:r>
          </w:p>
        </w:tc>
        <w:tc>
          <w:tcPr>
            <w:tcW w:w="60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3,733</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has outstanding amounts due under a loan and security agreement with Oxford Finance LLC and Midcap Financial, or the 2014 Credit Facility, entered into in March 2014. All promissory notes issued under the 2014 Credit Facility are collateralized by substantially all of the Company’s personal property, other than its intellectual property. There are no financial covenants associated with the 2014 Credit Facility; however, there are negative covenants restricting the Company’s activities, including limitations on dispositions, mergers or acquisitions; encumbering or granting a security interest in its intellectual property; incurring indebtedness or liens; paying dividends; making certain investments; and certain other business transactions.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and 2016, the Company recognized less than $0.1 million and $0.1 million, respectively, of interest expense related to the 2014 Credit Facility. During the six months ended June 30, 2017 and 2016, the Company recognized $0.1 million and $0.3 million, respectively, of interest expense related to the 2014 Credit Facility. The effective annual interest rate of the outstanding debt under the 2014 Credit Facility is approximately 10.8%.</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Awards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Company grants equity awards under its 2014 Stock Option and Incentive Plan, or the 2014 Stock Option Plan, and is authorized to issue common stock under its 2014 Employee Stock Purchase Plan. The Company also has outstanding stock-based awards under its Amended and Restated 2006 Stock Option Plan but is no longer granting awards under this plan. As of June 30, 2017, 2,014,395 shares are available for grant under the 2014 Stock Option Plan, including 1,093,302 shares automatically added to the 2014 Stock Option Plan on January 1, 2017 as a result of a provision in the 2014 Stock Option Plan.</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common stock in the following expense categories within its condensed consolidated statements of operations: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9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877</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1,733</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3,780</w:t>
            </w:r>
          </w:p>
        </w:tc>
      </w:tr>
      <w:tr>
        <w:trPr>
          <w:trHeight w:val="27"/>
        </w:trPr>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2,102</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4,103</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5,610</w:t>
            </w: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right="8640" w:firstLine="8"/>
        <w:spacing w:after="0" w:line="37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has a lease for office space in Boston, Massachusetts, effective as of July 28, 2014, with a term expiring July 31, 2017 and an option to extend the lease for three additional years. In March 2015, the Company entered into an operating lease for additional office space in Boston, Massachusetts, effective as of April 15, 2015, with a term expiring on July 31, 2017, and two options to extend this lease for three additional years each. In October 2015, the Company entered into an operating lease for office space in San Diego, California, effective as of October 1, 2015, with a term expiring on September 30, 2019, and an option to extend this lease for five additional years. In January 2017, the Company extended the leases for both office spaces in Boston, Massachusetts with new terms expiring on July 31, 2020. As of July 31, 2017, the Company negotiated the financial terms of these extensions with additional minimum lease payments of $0.2 million for the remainder of 2017, $0.4 million for the years 2018 and 2019 and $0.2 million for 2020 not reflected in the table below. The Company also has the option to extend both of these leases in Boston, Massachusetts for an additional three years. With the landlord’s consent, the Company has subleased 2,976 square feet of office space in Boston, Massachusetts to an unrelated third party which began on January 1, 2017 and expires on June 30, 2018. The Company expects to receive approximately $0.2 million in sublease rental income during the sublease period.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minimum lease payments for its operating leases as of June 30, 2017 were as follows:</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9"/>
        </w:trPr>
        <w:tc>
          <w:tcPr>
            <w:tcW w:w="16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(July to December)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5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w:t>
            </w:r>
          </w:p>
        </w:tc>
        <w:tc>
          <w:tcPr>
            <w:tcW w:w="6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5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r>
      <w:tr>
        <w:trPr>
          <w:trHeight w:val="223"/>
        </w:trPr>
        <w:tc>
          <w:tcPr>
            <w:tcW w:w="16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268</w:t>
            </w:r>
          </w:p>
        </w:tc>
        <w:tc>
          <w:tcPr>
            <w:tcW w:w="6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and 2016, the Company recognized $0.1 million of rental expense related to office space. During the six months ended June 30, 2017 and 2016, the Company recognized $0.2 million of rental expense related to office space.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milestones related to the development of beloranib. Under one of the license agreements, the Company is also obligated to pay up to</w:t>
      </w:r>
    </w:p>
    <w:p>
      <w:pPr>
        <w:spacing w:after="0" w:line="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$1.3 million with respect to each subsequent licensed product, if any, that is a new chemical entity. In addition, the Company will owe single-digit royalties on sales of commercial products developed using these licensed technologies, if any.</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There were no milestones achieved during the three or six months ended June 30, 2017 or 2016. The Company is also obligated to pay to the licensors a percentage of fees received if and when the Company sublicenses the technology. As of June 30, 2017, the Company has not yet developed a commercial product using the licensed technologies and it has not entered into any sublicense agreements for the technologies.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management team and the board of directors of the Company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June 30, 2017.</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the Company’s clinical trials for its drug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188"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June 30,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Company has a Savings Incentive Match Plan, or SIMPLE IRA, for employees. Under the terms of the plan, the Company contributes 2% of an employee’s annual base salary, up to a maximum of the annual Internal Revenue Service compensation limits, for all full-time employees.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and 2016, the Company recognized less than $0.1 million of expense related to its contributions to the plan. During the six months ended June 30, 2017 and 2016, the Company recognized $0.1 million of expense related to its contributions to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Company’s wholly owned subsidiary, Zafgen Australia Pty Limited, which conducts core research and development activities on behalf of the Company, is eligible to receive a 45% refundable tax incentive for qualified research and development activities through December 31, 2016 and 43.5% beginning January 1, 2017. For the three months ended June 30, 2017 and 2016, $0.2 million was recorded as a reduction to research and development expenses in the condensed consolidated statements of operations. For the six months ended June 30, 2017 and 2016, $0.2 million and $0.3 million, respectively, were recorded as a reduction to research and development expenses in the condensed consolidated statements of operations. The refund is denominated in Australian dollars and, therefore, the related receivable is re-measured into U.S. dollars as of each reporting date. For the three months ended June 30, 2017 and 2016, the Company recorded in its condensed consolidated statements of operations unrealized foreign currency exchange gains of nil and losses of less than $0.1 million, respectively, related to this tax incentive receivable. For the six months ended June 30, 2017 and 2016, the Company recorded in its condensed consolidated statements of operations unrealized foreign currency exchange gains of less than $0.1 million related to this tax incentive receivable. As of June 30, 2017 and December 31, 2016, the Company’s tax incentive receivable from the Australian government was $0.6 million and $0.3 million,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w:t>
      </w:r>
    </w:p>
    <w:p>
      <w:pPr>
        <w:spacing w:after="0" w:line="12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On July 19, 2016, the Company announced that following a comprehensive review of its assets and clinical programs, as well as feedback from regulatory authorities, the Company refocused its resources on development of a differentiated MetAP2 inhibitor, ZGN-1061. As part of the strategic restructuring, the Company reorganized its operations to align with its new priorities focused on ZGN-1061 development. The Company’s workforce was reduced by approximately 31% as of December 2016. The following table summarizes the restructuring reserve for the periods indicated: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3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2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reserve beginning balance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expenses incurred during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 ending balance</w:t>
            </w:r>
          </w:p>
        </w:tc>
        <w:tc>
          <w:tcPr>
            <w:tcW w:w="1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20" w:type="dxa"/>
            <w:vAlign w:val="bottom"/>
            <w:vMerge w:val="restart"/>
          </w:tcPr>
          <w:p>
            <w:pPr>
              <w:jc w:val="right"/>
              <w:ind w:right="71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5" w:right="1440"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2016 included in our Annual Report on Form 10-K for the year ended December 31, 2016.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these forward-looking statements.</w:t>
      </w:r>
    </w:p>
    <w:p>
      <w:pPr>
        <w:spacing w:after="0" w:line="18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83"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including those risks identified under the Risk Factors section.</w:t>
      </w:r>
    </w:p>
    <w:p>
      <w:pPr>
        <w:spacing w:after="0" w:line="15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dedicated to significantly improving the health and well-being of patients affected by metabolic diseases including type 2 diabetes and obesity.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metabolic diseases including type 2 diabetes and obesity.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ZGN-1061 demonstrated rapid drug absorption and clearance in line with criteria established in advance for the molecule, and has a favorable safety profile, with no evidence of prothrombotic effects. The data show that ZGN-1061 treatment causes improvements across multiple metabolic measures consistent with MetAP2 inhibition, and patients in the clinical trial experienced mean weight loss of up to approximately one pound per week. We plan to advance ZGN-1061 into a Phase 2 clinical trial in patients with type 2 diabetes who are overweight or obese, in Australia and New Zealand in the third quarter of 2017.</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reducing hunger. In animal models that mimic aspects of type 2 diabetes, these processes lead to improvement of glycemic control independent of weight loss.</w:t>
      </w:r>
    </w:p>
    <w:p>
      <w:pPr>
        <w:spacing w:after="0" w:line="18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ZGN-1061 was discovered by our researchers as part of a multi-year campaign to identify novel compounds for development in the treatment of type 2 diabetes, and that avoided limiting pre-clinical safety concerns observed with beloranib, including teratogenicity and effects on testicular function. To date, the compound has similar efficacy, potency, and range of activity in animal models as beloranib, but displays highly differentiated properties and improved safety margins in pre-clinical studies, supporting the value of the compound as a more highly optimized MetAP2 inhibitor. Further, the compound displays improved safety margins in non-clinical safety studies relative to beloranib for effects on coagulation in dogs, an effect that correlates with reduced impact on endothelial cell proliferation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Since our inception in November 2005, we have devoted substantially all of our resources to developing ZGN-1061, beloranib, and ZGN-839, building our intellectual property portfolio, developing our supply chain,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During June 2014, we completed our IPO with net proceeds of $102.7 million after deducting underwriting discounts and commissions paid by us. On January 28, 2015, we completed a follow-on offering of our common stock, with net proceeds of $130.0 million after deducting underwriting discounts and commissions paid by us.</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never generated any revenue and have incurred net losses in each year since our inception. We have an accumulated deficit of $263.9 million as of June 30, 2017. Our net loss was $26.4 million for the six months ended June 30, 2017 and $57.9 million for the year ended December 31, 2016. These losses have resulted principally from costs incurred in connection with in-licensing of beloranib, research and development activities and general and administrative costs associated with our operations. We expect to incur significant expenses and operating losses for the foreseeable future.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continue to incur expenses in connection with our ongoing activities, if and as we:</w:t>
      </w:r>
    </w:p>
    <w:p>
      <w:pPr>
        <w:spacing w:after="0" w:line="131"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ZGN-1061 through Phase 2 and later-stage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 and indications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including personnel to support our product development and future commercialization;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as of June 30, 2017, will enable us to fund our operating expenses and capital expenditure requirements for a period of at least one year from the issuance date of this Quarterly Report. See “– Liquidity and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7" w:lineRule="exact"/>
        <w:rPr>
          <w:sz w:val="20"/>
          <w:szCs w:val="20"/>
          <w:color w:val="auto"/>
        </w:rPr>
      </w:pPr>
    </w:p>
    <w:p>
      <w:pPr>
        <w:ind w:left="900" w:right="6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studies and clinical trial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currently primarily focused on developing ZGN-1061 and other early research activities and typically use our employee, consultant and infrastructure resources across our research and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later stages of clinical development of our product candidates.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86"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or FDA’s or other regulatory authority’s influence on clinical trial design.</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decrease during 2017 as compared to 2016 primarily due to reduced headcount and related costs.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6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our cash equivalents and marketable securities. Our interest income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due to low interest earned on invested balances. We anticipate that our interest income will decrease as we incur operating losses.</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relates to outstanding borrowings under the 2014 Credit Facility, consisting of the stated interest of 8.1% per year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outstanding borrowings, a final payment of 6% of amounts drawn down that is being recorded as interest expense over the term through the maturity date using the effective-interest method, the amortization of deferred financing costs, the accretion of debt discounts relating to the 2014 Credit Facility, and a fee which was paid to the lender upon the completion of our IPO.</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gains (losses), net. </w:t>
      </w:r>
      <w:r>
        <w:rPr>
          <w:rFonts w:ascii="Times New Roman" w:cs="Times New Roman" w:eastAsia="Times New Roman" w:hAnsi="Times New Roman"/>
          <w:sz w:val="18"/>
          <w:szCs w:val="18"/>
          <w:color w:val="auto"/>
        </w:rPr>
        <w:t>Foreign currency transaction gains (losses), net consists of the realized and unrealized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 Quantitative and Qualitative Disclosures about Market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2016, we had net operating loss carryforwards for federal and state income tax purposes of $49.1 million and $35.9 million, respectively, which begin to expire in 2026 and 2030, respectively. As of December 31, 2016, we did not record deferred tax assets of $12.8 million (gross) that were attributable to stock option exercises which will be recorded as an increase in additional paid in capital once they are realized in accordance with accounting for stock-based compensation awards. These deductions are not reflected in the federal and state net operating loss carryforwards and the capitalized research and development expense deferred tax assets in the amounts of $9.4 million, $7.2 million, and $3.4 million, respectively. As of December 31, 2016, we also had available tax credit carryforwards for federal and state income tax purposes of $13.1 million and $1.9 million, respectively, which begin to expire in 2026 and 2021,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2017 and 2016</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2017 and 2016:</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7"/>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60" w:type="dxa"/>
            <w:vAlign w:val="bottom"/>
          </w:tcPr>
          <w:p>
            <w:pPr>
              <w:spacing w:after="0"/>
              <w:rPr>
                <w:sz w:val="10"/>
                <w:szCs w:val="10"/>
                <w:color w:val="auto"/>
              </w:rPr>
            </w:pP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10,163</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4,899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(13,536)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(15,062)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(13,347)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(15,028)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4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17"/>
        </w:trPr>
        <w:tc>
          <w:tcPr>
            <w:tcW w:w="68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ZGN-1061: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Pre-clinical and manufacturing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1,446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Discovery and screening</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Beloranib:</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Pre-clinical and manufacturing</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30"/>
        </w:trPr>
        <w:tc>
          <w:tcPr>
            <w:tcW w:w="6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ZGN-839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6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Consultants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1,291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6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10,528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10,163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2017 increased $0.4 million compared to the three months ended June 30, 2016. The increase was primarily due to increased costs of $3.5 million related to our ZGN-1061 program and an increase of $1.6 million related to work on discovery and screening, partially offset by a $2.9 million decrease in our beloranib program and a decrease of $1.4 million associated with our unallocated expenses.</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Costs associated with our ZGN-1061 program increased period over period by $3.5 million. In the third quarter of 2016 we initiated a Phase 1 clinical trial for ZGN-1061 which completed recruiting and dosing patients in the first quarter of 2017. The overall increase is primarily due to additional pre-clinical studies as well as drug product and drug substance activities as we prepare for the initiation of a Phase 2 clinical trial for which we plan to enroll approximately 120 patients for 12 weeks of dosing which we expect to commence in the third quarter of 2017. The expenses during the 2016 period were for startup costs for the Phase 1 clinical trial of ZGN-1061 in the Netherlands, which was comprised of 39 patients in a single ascending dose, or SAD, portion and 29 patients in a multiple ascending dose, or MAD, portion.</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Clinical trials costs and related expenses for beloranib decreased by $1.9 million period over period and pre-clinical and manufacturing costs decreased $0.9 million period over period, both as a result of the suspension of our beloranib program in July 2016. During the three months ended June 30, 2016, we reported topline clinical data from our Phase 2b clinical trial in patients with severe obesity complicated by type 2 diabetes and our U.S. Phase 3 clinical trial in patients with Prader-Willi Syndrome, or PWS, in the first quarter of 2016 and recorded additional clinical trial and other costs related to the clinical program in the three months ended June 30, 2016.</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Unallocated expenses decreased period over period primarily due to a decrease of $0.7 million in consultants, as well as a decrease in personnel related costs of $0.4 million. Consultant costs decreased primarily related to our beloranib program which we suspended further development in July 2016. Personnel related expenses decreased primarily from a reduction in the number of employees for the second quarter of the 2017 as compared to 2016, as we had a reduction in workforce which took place in July 2016. Other unallocated expenses decreased due to lower travel expenses and facilities expenses.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17"/>
        </w:trPr>
        <w:tc>
          <w:tcPr>
            <w:tcW w:w="6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1,225</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1,852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1,497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3,008</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June 30, 2017 decreased $1.9 million compared to the three months ended June 30, 2016. The decrease was due to a decrease in professional fees of $0.8 million, non-cash stock-based compensation expense of $0.6 million, and personnel related costs of $0.5 million. Professional fees decreased primarily due to lower legal fees as the class action lawsuit plaintiffs had filed a notice of appeal to the First Circuit Court of Appeals and on April 7, 2017, the dismissal with prejudice was affirmed. The decrease was also due to lower commercial readiness costs and investor relations and public relations costs compared to the same period in 2016, primarily as a result of suspending development of beloranib in July 2016. Non-cash stock compensation decreased due mainly to our earliest stock option grants becoming fully expensed, as well as a lower stock option grant price for the 2017 annual grant. Personnel related expenses decreased primarily due to a reduction in the number of employees for the second quarter of 2017 as compared to 2016, as we had a reduction in workforce which took place in July 2016.</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three months ended June 30, 2017 and 2016 of less than $0.1 million and $0.1 million, respectively,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interest expense on our outstanding borrowings under the 2014 Credit Facility. Interest expense consists primarily of the stated interest of 8.1% per year due on outstanding borrowings. It also includes expense related to the final payment of 6% of amounts drawn down that is being recorded over the term through the maturity date using the effective-interest method and the amortization of deferred financing costs and debt discounts relating to the 2014 Credit Facility.</w:t>
      </w:r>
    </w:p>
    <w:p>
      <w:pPr>
        <w:spacing w:after="0" w:line="180" w:lineRule="exact"/>
        <w:rPr>
          <w:sz w:val="20"/>
          <w:szCs w:val="20"/>
          <w:color w:val="auto"/>
        </w:rPr>
      </w:pPr>
    </w:p>
    <w:p>
      <w:pPr>
        <w:ind w:right="2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of $0.2 million for the three months ended June 30, 2017 and 2016 was related to interest earned on our marketable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balances.</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gains (losses), net. </w:t>
      </w:r>
      <w:r>
        <w:rPr>
          <w:rFonts w:ascii="Times New Roman" w:cs="Times New Roman" w:eastAsia="Times New Roman" w:hAnsi="Times New Roman"/>
          <w:sz w:val="18"/>
          <w:szCs w:val="18"/>
          <w:color w:val="auto"/>
        </w:rPr>
        <w:t>We had foreign currency transaction losses of less than $0.1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2017 and 2016.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2017 and 2016</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2017 and 2016:</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60" w:type="dxa"/>
            <w:vAlign w:val="bottom"/>
          </w:tcPr>
          <w:p>
            <w:pPr>
              <w:spacing w:after="0"/>
              <w:rPr>
                <w:sz w:val="10"/>
                <w:szCs w:val="10"/>
                <w:color w:val="auto"/>
              </w:rPr>
            </w:pP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20,205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22,660</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10,259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32,919</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(26,801)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(32,919)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(26,358)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(32,764)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4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5" w:right="11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0"/>
                <w:szCs w:val="10"/>
                <w:color w:val="auto"/>
              </w:rPr>
            </w:pP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ZGN-1061: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Pre-clinical and manufacturing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5,655</w:t>
            </w:r>
          </w:p>
        </w:tc>
        <w:tc>
          <w:tcPr>
            <w:tcW w:w="0" w:type="dxa"/>
            <w:vAlign w:val="bottom"/>
          </w:tcPr>
          <w:p>
            <w:pPr>
              <w:spacing w:after="0"/>
              <w:rPr>
                <w:sz w:val="1"/>
                <w:szCs w:val="1"/>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2,490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7,807</w:t>
            </w: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Discovery and screening</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Beloranib:</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Pre-clinical and manufacturing</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3,665</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(3,075)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Clinical trials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5,704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(5,664)</w:t>
            </w:r>
          </w:p>
        </w:tc>
        <w:tc>
          <w:tcPr>
            <w:tcW w:w="0" w:type="dxa"/>
            <w:vAlign w:val="bottom"/>
          </w:tcPr>
          <w:p>
            <w:pPr>
              <w:spacing w:after="0"/>
              <w:rPr>
                <w:sz w:val="1"/>
                <w:szCs w:val="1"/>
                <w:color w:val="auto"/>
              </w:rPr>
            </w:pPr>
          </w:p>
        </w:tc>
      </w:tr>
      <w:tr>
        <w:trPr>
          <w:trHeight w:val="230"/>
        </w:trPr>
        <w:tc>
          <w:tcPr>
            <w:tcW w:w="68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ZGN-839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0"/>
        </w:trPr>
        <w:tc>
          <w:tcPr>
            <w:tcW w:w="6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12,996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12,850</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4,446</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Consultants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(1,441)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682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20,205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22,660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(2,455)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2017 decreased $2.5 million compared to the six months ended June 30, 2016. The decrease was primarily due to an $8.7 million decrease in our beloranib program and a decrease of $2.6 million associated with our unallocated expenses partially offset by increased costs of $7.8 million related to our ZGN-1061 program, as well as an increase in discovery and screening expenses of $1.8 million.</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Costs associated with our ZGN-1061 program increased period over period by $7.8 million. In the third quarter of 2016 we initiated the Phase 1 clinical trial for ZGN-1061 which completed recruiting and dosing patients in the first quarter of 2017. The overall increase is primarily due to additional pre-clinical studies as well as drug product and drug substance activities as we start to prepare for the Phase 2 clinical trial which plans to enroll 120 patients for a 12 week trial with dosing commencing in the third quarter of 2017. The expenses during the 2016 period were for startup costs for the Phase 1 clinical trial of ZGN-1061 in the Netherlands, which was comprised of 39 patients in a single ascending dose, or SAD, portion and 29 patients in a multiple ascending dose, or MAD, portion.</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Of the decrease in our beloranib program, clinical trials and related expenses for beloranib decreased by $5.7 million period over period and pre-clinical and manufacturing costs decreased $3.1 million period over period, both as a result of the suspension of our beloranib program in July 2016. During the six months ended June 30, 2016, we reported topline clinical data from our Phase 2b clinical trial in patients with severe obesity complicated by type 2 diabetes and our U.S. Phase 3 clinical trial in patients with PWS.</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Unallocated expenses decreased period over period primarily due to a decrease of $1.4 million in consultants, as well as a decrease in personnel related costs of $0.7 million. Consultant costs decreased primarily related to our beloranib program which we suspended in July 2016. Personnel related expenses decreased primarily from a reduction in the number of employees for the first and second quarters of the 2017 as compared to 2016, as we had a reduction in workforce which took place in July 2016. Other unallocated expenses decreased due to lower travel expenses and facilities expenses.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68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50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$1,213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3,780</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3,284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10,259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2017 decreased $3.7 million compared to the six months ended June 30, 2016. The decrease was due to a decrease in non-cash stock-based compensation expense of $1.4 million, professional fees of $1.2 million and personnel related costs of $0.8 million. Non-cash stock compensation decreased due mainly to our earliest stock option grants becoming fully expensed, as well as a lower stock option grant price for the 2017 annual grant. Professional fees decreased primarily due to lower legal fees as the class action lawsuit plaintiffs had filed a notice of appeal to the First Circuit Court of Appeals and on April 7, 2017, the dismissal with prejudice was affirmed. The decrease was also due to lower commercial readiness costs and investor relations and public relations costs compared to the same period in 2016, primarily as a result of suspending development of beloranib in July 2016. Personnel related expenses decreased primarily from a reduction in the number of employees for the first and second quarters of 2017 as compared to 2016, as we had a reduction in workforce which took place in July 2016.</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Interest expense. </w:t>
      </w:r>
      <w:r>
        <w:rPr>
          <w:rFonts w:ascii="Times New Roman" w:cs="Times New Roman" w:eastAsia="Times New Roman" w:hAnsi="Times New Roman"/>
          <w:sz w:val="17"/>
          <w:szCs w:val="17"/>
          <w:color w:val="auto"/>
        </w:rPr>
        <w:t>Interest expense for the six months ended June 30, 2017 and 2016 of $0.1 million and $0.3 million, respectively, was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expense on our outstanding borrowings under the 2014 Credit Facility. Interest expense consists primarily of the stated interest of 8.1% per year due on outstanding borrowings. It also includes expense related to the final payment of 6% of amounts drawn down that is being recorded over the term through the maturity date using the effective-interest method and the amortization of deferred financing costs and debt discounts relating to the 2014 Credit Facility.</w:t>
      </w:r>
    </w:p>
    <w:p>
      <w:pPr>
        <w:spacing w:after="0" w:line="162" w:lineRule="exact"/>
        <w:rPr>
          <w:sz w:val="20"/>
          <w:szCs w:val="20"/>
          <w:color w:val="auto"/>
        </w:rPr>
      </w:pPr>
    </w:p>
    <w:p>
      <w:pPr>
        <w:ind w:right="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of $0.5 million and $0.4 million, respectively, for the six months ended June 30, 2017 and 2016 was related to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on our marketable securities balances.</w:t>
      </w:r>
    </w:p>
    <w:p>
      <w:pPr>
        <w:spacing w:after="0" w:line="15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gains (losses), net. </w:t>
      </w:r>
      <w:r>
        <w:rPr>
          <w:rFonts w:ascii="Times New Roman" w:cs="Times New Roman" w:eastAsia="Times New Roman" w:hAnsi="Times New Roman"/>
          <w:sz w:val="18"/>
          <w:szCs w:val="18"/>
          <w:color w:val="auto"/>
        </w:rPr>
        <w:t>We had foreign currency transaction gains of $0.1 million and less than $0.1 million, respectively,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2017 and 2016.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we had cash, cash equivalents and marketable securities totaling $106.0 million. We invest our cash in money market funds, commercial paper and corporate bonds, with the primary objectives to preserve principal, provide liquidity and maximize income without significantly increasing risk.</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Since our inception in November 2005, we have not generated any revenue and have incurred recurring net losses. As of June 30, 2017, we had an accumulated deficit of $263.9 million. From our inception through our IPO in June 2014, we received gross proceeds of $104.0 million from sales of redeemable convertible preferred stock and, to a lesser extent, through the issuances of convertible promissory notes and a loan security agreement. During June 2014, we completed our IPO with net proceeds of $102.7 million after deducting underwriting discounts and commissions paid by us. On January 28, 2015, we completed a follow-on offering of our common stock, with net proceeds of $130.0 million after deducting underwriting discounts and commissions paid by us.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outstanding amounts under the 2014 Credit Facility, which we entered into in March 2014. All promissory notes issued under the 2014 Credit Facility are collateralized by substantially all of our personal property, other than our intellectual property. There are no financial covenants associated with the 2014 Credit Facility; however, there are negative covenants restricting our activities, including limitations on dispositions, mergers or acquisitions; encumbering or granting a security interest in our intellectual property; incurring indebtedness or liens; paying dividends; making certain investments; and certain other business transactions.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Upon entering into this 2014 Credit Facility, we were obligated to make monthly, interest-only payments on any term loans funded under the 2014 Credit Facility until December 1, 2014 and, thereafter, to pay 36 consecutive, equal monthly installments of principal and interest from January 1, 2015 through December 1, 2017. As per the terms of the agreement, in June 2014, upon the completion of our IPO, the term of monthly, interest-only payments was extended until June 1, 2015. Outstanding term loans under the 2014 Credit Facility bear interest at an annual rate of 8.1%. In addition, a final payment equal to 6.0% of any amounts drawn under the facility is due upon the earlier of the maturity date, acceleration of the term loans or prepayment of all or part of the term loans. We were also obligated to pay a separate fee upon any initial public offering; a sale of substantially all of our assets; or a merger, reorganization or sale of our voting equity securities where existing voting stockholders hold less than 50% of voting equity securities after such a transaction.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4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38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(21,860)</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(15,569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00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2017, operating activities used $21.9 million of cash, resulting from our net loss of $26.4 million, partially offset by changes in our operating assets and liabilities of $0.4 million and non-cash charges of $4.1 million. Our net loss was primarily attributed to research and development activities related to our ZGN-1061 program and our general and administrative expenses. Our net non-cash charges during the six months ended June 30, 2017, consisted primarily of stock-based compensation expense of $4.1 million. Net cash used in changes in our operating assets and liabilities during the six months ended June 30, 2017, consisted primarily of a $0.9 million increase in accounts payable and accrued expenses partially offset by an increase in prepaid expenses and other current assets of $0.2 million as well as an increase in the tax receivable of $0.2 million.</w:t>
      </w:r>
    </w:p>
    <w:p>
      <w:pPr>
        <w:spacing w:after="0" w:line="18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2016, operating activities used $32.3 million of cash, resulting from our net loss of $32.8 million and changes in our operating assets and liabilities of $5.6 million, partially offset by non-cash charges of $6.1 million. Our net loss was primarily attributed to research and development activities related to our beloranib program, our ZGN-1061 program, and our general and administrative expenses. Our net non-cash charges during the six months ended June 30, 2016, consisted primarily of stock-based compensation expense of $5.6 million. Net cash used in changes in our operating assets and liabilities during the six months ended June 30, 2016, consisted primarily of a $5.7 million decrease in accounts payable and accrued expenses and a $0.3 million increase in our tax incentive receivable, partially offset by a $0.4 million decrease in prepaid expenses and other current assets.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investing activities provided $22.7 million of cash resulting from proceeds from sales and maturities of marketable securities of $80.0 million, offset primarily by the use of cash for purchases of marketable securities of $57.3 million.</w:t>
      </w:r>
    </w:p>
    <w:p>
      <w:pPr>
        <w:spacing w:after="0" w:line="162"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2016, investing activities provided $18.1 million of cash resulting from proceeds from sales and maturities of marketable securities of $88.7 million, offset by the use of cash for purchases of marketable securities of $69.9 million and purchases of property and equipment of $0.7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six months ended June 30, 2017, financing activities used $1.6 million for payments related to our notes payable, partially offset by</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$0.1 million received from proceeds relating to the exercise of common stock options and common stock purchased under our 2014 Employee Stock Purchase Plan.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six months ended June 30, 2016, financing activities used $1.4 million for payments related to our notes payable, partially offset by</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$0.1 million received from proceeds relating to the exercise of common stock options and common stock purchased under our 2014 Employee Stock Purchase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ZGN-1061 recently completed Phase 1 clinical development, therefore we expect to continue to incur significant expenses and operating losses for the foreseeable future. We anticipate that we will continue to incur expenses, if and as we:</w:t>
      </w:r>
    </w:p>
    <w:p>
      <w:pPr>
        <w:spacing w:after="0" w:line="67"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ZGN-1061 through Phase 2 clinical development and if successful, later-stage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product candidates and indications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including personnel to support our product development and future commercialization;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as of June 30, 2017,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of ZGN-1061 and our other research and development activities and because the extent to which we may enter into collaborations with third parties for the development of our product candidates is unknown, we are unable to estimate the amounts of increased capital outlays and operating expenses associated with completing the research and development of our product candidates. Our future capital requirements for ZGN-1061 will depend on many factors, including:</w:t>
      </w:r>
    </w:p>
    <w:p>
      <w:pPr>
        <w:spacing w:after="0" w:line="95"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research and development activities, including clinical trials;</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or technologies;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any future collaboration arrangements on favorable terms, if at all.</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ZGN-1061 that we would otherwise prefer to develop and market ourselves.</w:t>
      </w:r>
    </w:p>
    <w:p>
      <w:pPr>
        <w:spacing w:after="0" w:line="18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2016, we had net operating loss carryforwards for federal and state income tax purposes of $49.1 million and $35.9 million, respectively, which begin to expire in 2026 and 2030, respectively. As of December 31, 2016, we did not record deferred tax assets of $12.8 million (gross) that were attributable to stock option exercises which will be recorded as an increase in additional paid in capital once they are realized in accordance with accounting for stock-based compensation awards. These deductions are not reflected in the federal and state net operating loss carryforwards and the capitalized research and development expense deferred tax assets in the amounts of $9.4 million, $7.2 million, and $3.4 million, respectively. As of December 31, 2016, we also had available tax credit carryforwards for federal and state income tax purposes of $13.1 million and $1.9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2017, there have been no material changes to our contractual obligations and commitments outside the ordinary course of business from those described under the heading “Management’s Discussion and Analysis of Financial Condition and Results of Operations – Contractual Obligations and Commitments” in our Annual Report on Form 10-K for the year ended December 31, 2016, and in our Quarterly Report on Form 10-Q for the period ended March 31, 2017, as filed with the SEC on May 9, 2017. As of July 31, 2017, we negotiated the financial terms of the lease extensions for both of our office spaces in Boston, Massachusetts with additional minimum lease payments of $0.2 million for the remainder of 2017, $0.4 million for the years 2018 and 2019 and $0.2 million for 2020.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 – Critical Accounting Policies and Significant Judgments and Estimates” in our Annual Report on Form 10-K for the year ended December 31, 2016, the following accounting policies involve the most judgment and complexity:</w:t>
      </w:r>
    </w:p>
    <w:p>
      <w:pPr>
        <w:spacing w:after="0" w:line="89"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research and development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Item 1, “Financial Statements and Supplementary Data,” of this Quarterly Report for a description of recent accounting pronouncements applicable to our business.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cash, cash equivalents, and marketable securities as of June 30, 2017 consisted of cash, corporate bonds, commercial paper,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June 30, 2017, the net fair value of our interest-sensitive financial instruments would have resulted in a hypothetical decline of $0.1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gains of $0.1 million and less than $0.1 million were recorded for the six months ended June 30, 2017 and 2016, respectively.</w:t>
      </w:r>
    </w:p>
    <w:p>
      <w:pPr>
        <w:spacing w:after="0" w:line="18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Currently, our largest foreign currency exposures are those with respect to the Australian dollar. Relative to foreign currency exposures existing as of June 30, 2017, a 10% unfavorable movement in foreign currency exchange rates would expose us to an increased net loss. For the six months ended June 30, 2017, we estimated that a 10% unfavorable movement in foreign currency exchange rates would have increased our net loss by $0.1 million. This amount is based on a sensitivity analysis performed on our financial position as of June 30, 2017. We have experienced and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3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Management’s Evaluation of our Disclosure Controls and Procedures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or 15d-15(e) under the Securities Exchange Act of 1934, as amended, or the Exchange Act) that are designed to ensure that information required to be disclosed in the reports that we file or submit under the Exchange Act is</w:t>
      </w:r>
    </w:p>
    <w:p>
      <w:pPr>
        <w:ind w:right="120"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8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2017, our disclosure controls and procedures were effective at the reasonable assurance level.</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2017,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right="600" w:firstLine="456"/>
        <w:spacing w:after="0" w:line="266" w:lineRule="auto"/>
        <w:rPr>
          <w:sz w:val="20"/>
          <w:szCs w:val="20"/>
          <w:color w:val="auto"/>
        </w:rPr>
      </w:pPr>
      <w:r>
        <w:rPr>
          <w:rFonts w:ascii="Times New Roman" w:cs="Times New Roman" w:eastAsia="Times New Roman" w:hAnsi="Times New Roman"/>
          <w:sz w:val="18"/>
          <w:szCs w:val="18"/>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almost entirely on the success of one product candidate, ZGN-1061, which recently completed Phase 1 clinical development. We cannot be certain that we will be able to obtain regulatory approval for ZGN-1061, or successfully commercialize ZGN-1061 if approved.</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currently have only one product candidate, ZGN-1061, which recently completed Phase 1 clinical development in the Netherlands, and our business currently depends almost entirely on its successful clinical development, regulatory approval and commercialization. We currently have no drug products for sale and may never be able to develop marketable drug products. In order to conduct clinical trials in the United States we need to file an Investigational New Drug Application, or IND with the U.S. Food and Drug Administration, or FDA. Because our business is almost entirely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pre-clinical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93" w:lineRule="exact"/>
        <w:rPr>
          <w:sz w:val="20"/>
          <w:szCs w:val="20"/>
          <w:color w:val="auto"/>
        </w:rPr>
      </w:pPr>
    </w:p>
    <w:p>
      <w:pPr>
        <w:ind w:right="60" w:firstLine="456"/>
        <w:spacing w:after="0" w:line="271" w:lineRule="auto"/>
        <w:rPr>
          <w:sz w:val="20"/>
          <w:szCs w:val="20"/>
          <w:color w:val="auto"/>
        </w:rPr>
      </w:pPr>
      <w:r>
        <w:rPr>
          <w:rFonts w:ascii="Times New Roman" w:cs="Times New Roman" w:eastAsia="Times New Roman" w:hAnsi="Times New Roman"/>
          <w:sz w:val="17"/>
          <w:szCs w:val="17"/>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approximately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risk with diabetes products be followed which may require testing of 5,000 to 10,000 subjects. Pursuant to the FDA’s draft guidance documents to industry related to the development of weight management drugs, in order to reasonably estimate the safety of a weight-management drug in an NDA, Phase 3 clinical trials must randomize approximately 3,000 subjects to active doses of the product and 1,500 subjects to placebo in clinical trials of one-year duration.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FDA and certain European regulatory authorities may delay, limit or deny approval of ZGN-1061 for many reasons, including, among others:</w:t>
      </w:r>
    </w:p>
    <w:p>
      <w:pPr>
        <w:spacing w:after="0" w:line="131"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our IND for ZGN-1061 or may put it on clinical hold;</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ZGN-1061 is safe and effective to the satisfaction of the FDA and the European Medicines Agency, or EMA;</w:t>
      </w:r>
    </w:p>
    <w:p>
      <w:pPr>
        <w:spacing w:after="0" w:line="67"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and EMA for marketing approval;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disagree with the number, design, size, duration, conduct or implementation of our clinical trials;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require that we conduct additional clinical trials or pre-clinical studies;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not approve the formulation, labeling or specifications of ZGN-1061;</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clinical trials may take actions outside of our control that materially adversely impact our clinical trials;</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find the data from pre-clinical studies and clinical trials insufficient to demonstrate that ZGN-1061’s clinical and other benefits outweigh its safety risks;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disagree with our interpretation of data from our pre-clinical studies and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not accept data generated at our clinical trial sites;</w:t>
      </w:r>
    </w:p>
    <w:p>
      <w:pPr>
        <w:spacing w:after="0" w:line="130" w:lineRule="exact"/>
        <w:rPr>
          <w:rFonts w:ascii="Times New Roman" w:cs="Times New Roman" w:eastAsia="Times New Roman" w:hAnsi="Times New Roman"/>
          <w:sz w:val="18"/>
          <w:szCs w:val="18"/>
          <w:color w:val="auto"/>
        </w:rPr>
      </w:pPr>
    </w:p>
    <w:p>
      <w:pPr>
        <w:ind w:left="900" w:right="160" w:hanging="325"/>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our NDA is submitted and reviewed by an FDA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85"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find deficiencies with or not approve the manufacturing processes or facilities of third-party manufacturers with which we contract;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EMA may change their approval policies or adopt new regulations.</w:t>
      </w:r>
    </w:p>
    <w:p>
      <w:pPr>
        <w:spacing w:after="0" w:line="225"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or any other of our product candidates will be successfully developed or commercialized.</w:t>
      </w:r>
    </w:p>
    <w:p>
      <w:pPr>
        <w:spacing w:after="0" w:line="2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Favorable results from pre-clinical studies and Phase 1 clinical trial of ZGN-1061 to date are not necessarily predictive of the results of longer-term pre-clinical studies or clinical trials of ZGN-1061. Given the thrombosis findings in humans treated with beloranib, development costs for ZGN-1061 may be higher and we may be unable to successfully develop, obtain regulatory approval for and commercialize ZGN-1061.</w:t>
      </w:r>
    </w:p>
    <w:p>
      <w:pPr>
        <w:spacing w:after="0" w:line="67"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Favorable results from our pre-clinical studies of ZGN-1061 may not necessarily be predictive of the results from clinical trials. To date we have shown that ZGN-1061 has similar potency against the MetAP2 target and similar activity in mouse and rat models of obesity compared to beloranib. Toxicology studies in rats and dogs have shown that ZGN-1061 is not exhibiting any testicular safety signals or activation of thrombosis-related biochemical markers, and displays an appreciable margin for embryofetal toxicity, compared to beloranib, which showed testicular toxicity and pro-thrombotic effects with a small therapeutic margin and no margin for embryofetal toxicity. However, we can provide no assurance that the results of this pre-clinical development program will be replicated in future clinical trials of ZGN-1061. Many companies in the pharmaceutical and biotechnology industries have suffered significant setbacks in clinical trials after achieving positive results in pre-clinical and early-stage development. In particular, we have suffered significant setbacks in later-stage clinical trials of our former lead product candidate, beloranib, after achieving positive results in pre-clinical and clinical development, and we cannot be certain that we will not face similar setbacks in our development of ZGN-1061. The setbacks in later-stage clinical development have been caused by, among other things, pre-clinical findings made while clinical trials were underway or safety or efficacy observations made in clinical trials, including previously unreported or ununderstood adverse events. Moreover, pre-clinical and clinical data are often susceptible to varying interpretations and analyses, and many companies that believed their product candidates performed satisfactorily in pre-clinical studies and clinical trials nonetheless failed to obtain FDA and/or EMA approval. If we fail to produce positive results in our clinical trials of ZGN-1061, the development timeline and regulatory approval and commercialization prospects for our lead product candidate, and, correspondingly, our business and financial prospects, would be materially adversely affected.</w:t>
      </w:r>
    </w:p>
    <w:p>
      <w:pPr>
        <w:spacing w:after="0" w:line="30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w:t>
      </w:r>
    </w:p>
    <w:p>
      <w:pPr>
        <w:sectPr>
          <w:pgSz w:w="11900" w:h="16838" w:orient="portrait"/>
          <w:cols w:equalWidth="0" w:num="1">
            <w:col w:w="11400"/>
          </w:cols>
          <w:pgMar w:left="240" w:top="455"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patients treated with beloranib as compared to patients on placebo in our clinical trials was observed. We may see similar adverse events with ZGN-1061 as we saw with beloranib, and therefore, we will study many of these parameters in pre-clinical and clinical development of ZGN-1061. In the first small Phase 1 clinical trial assessment of ZGN-1061’s safety, the most common side effects were mild gastrointestinal issues, (comparable between ZGN-1061 and placebo groups), headache and procedural-related irritation.</w:t>
      </w:r>
    </w:p>
    <w:p>
      <w:pPr>
        <w:spacing w:after="0" w:line="18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Further, if ZGN-1061 receives marketing approval and we or others identify undesirable side effects caused by the product (or any other similar product) after the approval, a number of potentially significant negative consequences could result, including:</w:t>
      </w:r>
    </w:p>
    <w:p>
      <w:pPr>
        <w:spacing w:after="0" w:line="67" w:lineRule="exact"/>
        <w:rPr>
          <w:sz w:val="20"/>
          <w:szCs w:val="20"/>
          <w:color w:val="auto"/>
        </w:rPr>
      </w:pPr>
    </w:p>
    <w:p>
      <w:pPr>
        <w:ind w:left="900" w:right="1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withdraw the product from the market or may limit their approval of the product through labeling or other means;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or a precaution;</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products from the marketplace;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of ZGN-1061 could result in increased costs to us and could delay, prevent or limit our ability to generate revenue and continue our business.</w:t>
      </w:r>
    </w:p>
    <w:p>
      <w:pPr>
        <w:spacing w:after="0" w:line="5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ZGN-1061 recently completed Phase 1 clinical development in the Netherlands and will require substantial further clinical development before we can submit an NDA to the FDA or an MAA to the EMA for its marketing approval.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20"/>
          </w:cols>
          <w:pgMar w:left="24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We do not know whether any clinical trials will begin or be completed on schedule, if at all, as the commencement and completion of clinical trials can be delayed or prevented for a number of reasons, including, among others:</w:t>
      </w:r>
    </w:p>
    <w:p>
      <w:pPr>
        <w:spacing w:after="0" w:line="93" w:lineRule="exact"/>
        <w:rPr>
          <w:sz w:val="20"/>
          <w:szCs w:val="20"/>
          <w:color w:val="auto"/>
        </w:rPr>
      </w:pPr>
    </w:p>
    <w:p>
      <w:pPr>
        <w:ind w:left="900" w:right="74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governing bodies in Europe or Australia and New Zealand may deny permission to pursue clinical trials and/or indications we want to initiate;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filings or receiving regulatory approvals of INDs, or clinical trial authorization applications, or CTAs, that may be required;</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our pre-clinical and /or non-clinical studies, the FDA, the EMA or the applicable regulatory authorities in Australia or New Zealand, may require additional pre-clinical and /or non-clinical studies;</w:t>
      </w:r>
    </w:p>
    <w:p>
      <w:pPr>
        <w:spacing w:after="0" w:line="67"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00" w:right="94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or IRB, and/or ethics committee approval to conduct a clinical trial at a prospective site or sites in the United States, the European Union, Australia or New Zealand;</w:t>
      </w:r>
    </w:p>
    <w:p>
      <w:pPr>
        <w:spacing w:after="0" w:line="67"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81"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 including side effects previously identified in our previous clinical trials for beloranib;</w:t>
      </w:r>
    </w:p>
    <w:p>
      <w:pPr>
        <w:spacing w:after="0" w:line="67"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applicable regulatory authorities in Australia and New Zealand may disagree with our clinical trial design and our interpretation of data from clinical trials, or may change the requirements for approval even after it has reviewed and commented on the design for our clinical trials;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or recruiting clinical investigators and/or patients in our ongoing or future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pre-clinical, non-clinical or clinical testing of other weight loss therapies that raise safety or efficacy concerns; and</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86"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81"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non-clinical or pre-clinical studies, adverse side effects or lack of effectiveness;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or guidance from EMA, Australia or New Zealand or unanticipated events during our clinical trials of ZGN-1061 may occur, which may result in changes to clinical trial protocols or additional clinical trial requirements, which could result in increased costs to us and could delay our development timeline.</w:t>
      </w:r>
    </w:p>
    <w:p>
      <w:pPr>
        <w:spacing w:after="0" w:line="67"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Changes in regulatory requirements, FDA guidance or guidance from EMA or unanticipated events during our clinical trials may force us to adjust our clinical program or the FDA, the EMA, or the applicable regulatory authorities in Australia and New Zealand may impose additional clinical trial and/or pre-clinical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cardiovascular risk of new therapies for the treatment of type 2 diabetes. In March 2012, the FDA’s Endocrinologic and Metabolic Drugs Advisory Committee met to discuss possible changes to how the FDA evaluates the cardiovascular safety of weight-management drugs and although new guidance has not been issued yet it may occur at any time.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pre-clinical studies, the commercial prospects for ZGN-1061 may be harmed and our ability to generate product revenue will be delayed.</w:t>
      </w:r>
    </w:p>
    <w:p>
      <w:pPr>
        <w:spacing w:after="0" w:line="297"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any future clinical trials for ZGN-1061. If these third parties do not successfully carry out their contractual duties or meet expected deadlines, we may not be able to develop and obtain regulatory approval for or commercialize ZGN-1061 and our business could be substantially harmed.</w:t>
      </w:r>
    </w:p>
    <w:p>
      <w:pPr>
        <w:spacing w:after="0" w:line="67"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We enter into agreements with third-party CROs to provide monitors for and to manage data for our ongoing clinical trials. We rely heavily on these parties for execution of clinical trials for ZGN-1061 and control only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9"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9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Although we do design our clinical trials for ZGN-1061,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may be delayed or our development program materially and irreversibly harmed. We cannot control the amount and timing of resources these investigators or CROs devote to our program or ZGN-1061.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As a result, our financial results and the commercial prospects for ZGN-1061 in the subject indication would be harmed, our costs could increase and our ability to generate revenue could be delayed.</w:t>
      </w:r>
    </w:p>
    <w:p>
      <w:pPr>
        <w:spacing w:after="0" w:line="2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third-party suppliers to manufacture our clinical drug supplies for ZGN-1061, and we intend to rely on third parties to produce commercial supplies of ZGN-1061 and pre-clinical, clinical and commercial supplies of any future product candidate.</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do not currently have, nor do we currently plan to acquire, the infrastructure or capability to internally manufacture our clinical drug supply of ZGN-1061, or any future product candidates, for use in the conduct of our pre-clinical studies and clinical trials, and we lack the internal resources and the capability to manufacture any product candidates on a clinical or commercial scale. The facilities used by our CMOs to manufacture the active drug substance and final drug product must be approved by our quality assurance unit and inspected by the FDA and other comparable foreign regulatory agencies.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rely on our CMOs to comply with cGMPs for manufacture of raw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the regulatory clearance of our CMOs’ facilities generally. If the FDA or an applicable foreign regulatory agency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rely completely on third-party suppliers to manufacture our pre-clinical and clinical drug supplies for ZGN-1061. Currently each batch of ZGN-1061 is individually contracted under a work order, which is governed by a quality and service agreement. The current drug substance manufacturing process will support pre-clinical studies and early clinical trials and will be further optimized to support advanced clinical development and commercialization. Current drug substance, including key starting material, in inventory, is expected to support Phase 2 clinical trials. A new formulation with longer shelf life has been developed and manufactured to support Phase 2 clinical development.</w:t>
      </w:r>
    </w:p>
    <w:p>
      <w:pPr>
        <w:spacing w:after="0" w:line="2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ZGN-1061 in the United States, we may never receive regulatory approval to market ZGN-1061 outside of the United States.</w:t>
      </w:r>
    </w:p>
    <w:p>
      <w:pPr>
        <w:spacing w:after="0" w:line="51"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We intend to pursue marketing approval of ZGN-1061 in the United States, the European Union and in other countries worldwide. In order to market any product outside of the United States, we must establish and comply with the numerous and varying safety, efficacy and other regulatory requirements of other countries, including potential additional clinical trials and/or pre-clinical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European Union by April 2019, or Brexit.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ZGN-1061 in such foreign markets. Any such impairment would reduce the size of our potential market, which could have a material adverse impact on our business, results of operations and prospects.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ZGN-1061, it may not achieve broad market acceptance, which would limit the revenue that we generate from its sales.</w:t>
      </w:r>
    </w:p>
    <w:p>
      <w:pPr>
        <w:spacing w:after="0" w:line="5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commercial success of ZGN-1061, if developed and approved for marketing by the FDA or EMA or other applicable regulatory authorities, will depend upon the awareness and acceptance of ZGN-1061 among the medical community, including physicians, patients, advocacy groups and healthcare payors. Market acceptance of ZGN-1061, if approved, will depend on a number of factors, including, among others:</w:t>
      </w:r>
    </w:p>
    <w:p>
      <w:pPr>
        <w:spacing w:after="0" w:line="82"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subcutaneous injections as the necessary method of administration of ZGN-1061;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ZGN-1061;</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ZGN-1061 by the FDA, EMA, or other regulatory authorities, such as a “black box” warning;</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competitive type 2 diabetes or obesity therapies already approved or expected to be commercially launched in the near future;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ZGN-1061 through marketing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and</w:t>
      </w:r>
    </w:p>
    <w:p>
      <w:pPr>
        <w:spacing w:after="0" w:line="130" w:lineRule="exact"/>
        <w:rPr>
          <w:rFonts w:ascii="Times New Roman" w:cs="Times New Roman" w:eastAsia="Times New Roman" w:hAnsi="Times New Roman"/>
          <w:sz w:val="18"/>
          <w:szCs w:val="18"/>
          <w:color w:val="auto"/>
        </w:rPr>
      </w:pPr>
    </w:p>
    <w:p>
      <w:pPr>
        <w:ind w:left="900" w:right="68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ZGN-1061.</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If ZGN-1061 is approved but does not achieve an adequate level of acceptance by patients, advocacy groups, physicians and payors, we may not generate sufficient revenue from ZGN-1061 to become or remain profitable. Before granting reimbursement approval, healthcare payors may require us to demonstrate that, in addition to treating type 2 diabetes or obesity in patients, ZGN-1061 also provides incremental health benefits to patients. Our efforts to educate the medical community and third-party payors about the benefits of ZGN-1061 may require significant resources and may never be successful.</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ZGN-1061, we may not be able to generate any revenue.</w:t>
      </w:r>
    </w:p>
    <w:p>
      <w:pPr>
        <w:spacing w:after="0" w:line="5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do not currently have an established infrastructure for the sales, marketing and distribution of pharmaceutical products. In order to market ZGN-1061,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ZGN-1061, we may still face future development and regulatory difficulties.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Even if we receive marketing approval for ZGN-1061, regulatory authorities may still impose significant restrictions on ZGN-1061’s indicated uses or marketing or impose ongoing requirements for potentially costly post-approval studies. ZGN-1061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ZGN-1061, such as adverse events of unanticipated severity or frequency, or problems with the facility where ZGN-1061 is manufactured, a regulatory agency may impose restrictions on ZGN-1061, the manufacturer or us, including requiring withdrawal of ZGN-1061 from the market or suspension of manufacturing. If we or the manufacturing facilities for ZGN-1061 fail to comply with applicable regulatory requirements, a regulatory agency may, among other things:</w:t>
      </w:r>
    </w:p>
    <w:p>
      <w:pPr>
        <w:spacing w:after="0" w:line="89"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request that we initiate a product recall.</w:t>
      </w:r>
    </w:p>
    <w:p>
      <w:pPr>
        <w:spacing w:after="0" w:line="3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Competing technologies could emerge, including devices and surgical procedures, adversely affecting our opportunity to generate revenue from the sale of ZGN-1061.</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If we are not able to compete effectively against our current and future competitors, our business will not grow and our financial condition and operations will suffer.</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5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ZGN-1061 in foreign markets for which we may rely on collaborations with third parties. If we commercialize ZGN-1061 in foreign markets, we would be subject to additional risks and uncertainties, including:</w:t>
      </w:r>
    </w:p>
    <w:p>
      <w:pPr>
        <w:spacing w:after="0" w:line="67"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ZGN-1061 in foreign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Foreign sales of ZGN-1061 could also be adversely affected by the imposition of governmental controls, political and economic instability, trade restrictions and changes in tariffs.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5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ZGN-1061,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if we obtain marketing approval. Restrictions under applicable federal and state healthcare laws and regulations include the following:</w:t>
      </w:r>
    </w:p>
    <w:p>
      <w:pPr>
        <w:spacing w:after="0" w:line="86" w:lineRule="exact"/>
        <w:rPr>
          <w:sz w:val="20"/>
          <w:szCs w:val="20"/>
          <w:color w:val="auto"/>
        </w:rPr>
      </w:pPr>
    </w:p>
    <w:p>
      <w:pPr>
        <w:ind w:left="900" w:right="140" w:hanging="325"/>
        <w:spacing w:after="0" w:line="289"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63" w:lineRule="exact"/>
        <w:rPr>
          <w:rFonts w:ascii="Times New Roman" w:cs="Times New Roman" w:eastAsia="Times New Roman" w:hAnsi="Times New Roman"/>
          <w:sz w:val="17"/>
          <w:szCs w:val="17"/>
          <w:color w:val="auto"/>
        </w:rPr>
      </w:pPr>
    </w:p>
    <w:p>
      <w:pPr>
        <w:ind w:left="900" w:right="160" w:hanging="325"/>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900" w:right="180" w:hanging="325"/>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85"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81"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such as ZGN-1061, if approved. In particular, a product may not be promoted for uses that are not approved by the FDA or such other regulatory agencies as reflected in the product’s approved labeling. If we receive marketing approval for ZGN-1061, physicians may nevertheless prescribe ZGN-1061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if approved, we could become subject to significant liability, which would materially adversely affect our business and financial condition.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ZGN-1061.</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approved by regulatory authorities, market acceptance and sales of ZGN-1061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ZGN-1061 and, if reimbursement is available, the level of such reimbursement. Reimbursement may impact the demand for, or the price of, ZGN-1061. If reimbursement is not available or is available only at limited levels, we may not be able to successfully commercialize ZGN-1061.</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ZGN-1061 with other available therapies. If reimbursement for ZGN-1061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programs for our product candidates, which are primarily related to ZGN-1061, may require substantial financial resources and may ultimately be unsuccessful.</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lead product candidate ZGN-1061 recently completed Phase 1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We believe that our cash, cash equivalents and marketable securities will be sufficient to fund operations for a period of at least one year from the issuance date of this Quarterly Report, but we may need to raise more funds to continue development and commercialization of ZGN-1061 and our other product candidates, which may not be easily available. Furthermore, any time, effort and financial resources we expend on our other early-stage development programs may adversely affect our ability to continue development and commercialization of ZGN-1061,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 Rights</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ZGN-1061 or future product candidates,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 Our owned patent application relates to compositions of matter and methods of use of ZGN-1061.</w:t>
      </w:r>
    </w:p>
    <w:p>
      <w:pPr>
        <w:spacing w:after="0" w:line="18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As of July 31, 2017, we own one issued U.S. patent, one pending U.S. patent application, one pending Patent Cooperation Treaty, or PCT, patent application, and two pending U.S. provisional patent applications that relate to ZGN-1061.</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of July 31, 2017, we own 15 issued U.S. patents, and 9 pending U.S. patent applications with pending foreign counterpart applications, all of which relate to our internal efforts to discover novel MetAP2 inhibitors.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cannot provide any assurances that any of our pending patent applications that mature into issued patents will include claims with a scope sufficient to protect ZGN-1061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supplemental examination and challenges in district court. Patents may be subjected to opposition, post-grant review, or comparable proceedings lodged in various foreign, both national and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and our other product candidates.</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8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are invalidated or found unenforceable, our financial position and results of operations would be materially and adversely impacted. In addition, if a court found that valid, enforceable patents held by third parties covered ZGN-1061, our financial position and results of operations would also be materially and adversely impacted.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31" w:lineRule="exact"/>
        <w:rPr>
          <w:sz w:val="20"/>
          <w:szCs w:val="20"/>
          <w:color w:val="auto"/>
        </w:rPr>
      </w:pPr>
    </w:p>
    <w:p>
      <w:pPr>
        <w:ind w:left="900" w:right="12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ZGN-1061 or any other products or product candidates;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and commercialize ZGN-1061, if approved, before our relevant patents expire;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will not infringe upon the patents of others.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if approved.</w:t>
      </w:r>
    </w:p>
    <w:p>
      <w:pPr>
        <w:spacing w:after="0" w:line="5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62"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ZGN-1061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w:t>
      </w:r>
    </w:p>
    <w:p>
      <w:pPr>
        <w:spacing w:after="0" w:line="18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89"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ZGN-1061;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8"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4"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8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9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an exclusive license with Children’s Medical Center Corporation, pursuant to which we exclusively licensed certain patent rights relating to decreasing the growth of fat tissue on a worldwide basis. We may enter into additional licenses to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ZGN-1061 and failure to secure such registrations could adversely affect our business.</w:t>
      </w:r>
    </w:p>
    <w:p>
      <w:pPr>
        <w:spacing w:after="0" w:line="5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have not yet registered trademarks for a commercial trade name for ZGN-1061.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development and FDA marketing approval of ZGN-1061,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United States has recently enacted and is currently implementing the America Invents Act of 2011, which is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29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51" w:lineRule="exact"/>
        <w:rPr>
          <w:sz w:val="20"/>
          <w:szCs w:val="20"/>
          <w:color w:val="auto"/>
        </w:rPr>
      </w:pPr>
    </w:p>
    <w:p>
      <w:pPr>
        <w:ind w:right="380" w:firstLine="456"/>
        <w:spacing w:after="0" w:line="255"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and other product candidates, which would materially adversely affect our business, financial condition and results of operations.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reduced the size of our organization, and we may encounter difficulties in managing this development and restructuring, which could disrupt our operations. In addition, we may not achieve anticipated benefits and savings from the reduction.</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July 2016, our board of directors approved the suspension of further development of beloranib and a restructuring plan, pursuant to which our workforce was reduced by approximately 31% as of December 2016. The workforce reduction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 This will be made more challenging given the workforce reduction described above. As a result, our management may need to divert a disproportionate amount of its attention away from our day-to-day activities, and devote a substantial amount of time to managing these activities. Further, the restructuring and possible additional cost containment measures may yield unintended consequences, such as attrition beyond our intended workforce reduction and reduced employee morale. In addition, we may not achieve anticipated benefits from the workforce reduction.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and regulatory functions, which would have a negative impact on our ability to successfully develop, and ultimately, commercialize ZGN-1061. If our management is unable to effectively manage this transition and workforce reduction and additional cost containment measures, our expenses may be more than expected and we may not be able to implement our business strategy. As a result, our future financial performance and our ability to commercialize ZGN-1061 successfully would be negatively affected.</w:t>
      </w:r>
    </w:p>
    <w:p>
      <w:pPr>
        <w:spacing w:after="0" w:line="3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particularly our current President and Chief Executive Officer, and to attract, retain and motivate qualified personnel.</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are highly dependent on Dr. Thomas E. Hughes, our President and Chief Executive Officer. We have entered into a severance and change in control agreement with Dr. Hughes, but he may terminate his employment with us at any time. Although we do not have any reason to believe that we will lose the services of Dr. Hughes in the foreseeable future, the loss of his services might impede the achievement of our research, development and commercialization objectives. We also do not have any key-man life insurance on Dr. Hughes.</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success also depends upon the principal members of our executive, medical and development teams. We have entered into a severance and change in control agreement with our executive officers and department vice president level employees, but they may terminate their employment with us at any time. The loss of the services of any of these persons might impede the achievement of our development and commercialization objectives.</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With any change in leadership, there is also a risk to retention of employees, as well as the potential for disruption to business operations, initiatives, plans and strategies.</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51"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use of beloranib and ZGN-1061 in clinical trials and the sale of ZGN-1061, if developed and approved, exposes us to the risk of product liability claims. Product liability claims might be brought against us by patients, healthcare providers or others selling or otherwise coming into contact with ZGN-1061.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91"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ZGN-1061 or any future product candidates following marketing approval, if obtained;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FDA warnings on product labels;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ZGN-1061 or any future product candidates, if approved.</w:t>
      </w:r>
    </w:p>
    <w:p>
      <w:pPr>
        <w:spacing w:after="0" w:line="2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w:t>
      </w:r>
    </w:p>
    <w:p>
      <w:pPr>
        <w:sectPr>
          <w:pgSz w:w="11900" w:h="16838" w:orient="portrait"/>
          <w:cols w:equalWidth="0" w:num="1">
            <w:col w:w="11400"/>
          </w:cols>
          <w:pgMar w:left="240" w:top="455"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procedures that adequately respond to the increased regulatory compliance and reporting requirements that are applicable to us as a public company. If we fail to staff our accounting and finance function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tax credit carryforwards may be subject to limitation.</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2016, we had net operating loss carryforwards for federal and state income tax purposes of $49.1 million and $35.9 million, respectively, which begin to expire in 2026 and 2030, respectively. As of December 31, 2016, we did not record deferred tax assets of $12.8 million (gross) that were attributable to stock option exercises which will be recorded as an increase in additional paid in capital once they are realized in accordance with accounting for stock-based compensation awards. These deductions are not reflected in the federal and state net operating loss carryforwards and the capitalized research and development expense deferred tax assets in the amounts of $9.4 million, $7.2 million, and $3.4 million, respectively. As of December 31, 2016, we also had available tax credit carryforwards for federal and state income tax purposes of $13.1 million and $1.9 million, respectively, which begin to expire in 2026 and 2021, respectively.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recent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ZGN-1061 or other product candidate development programs.</w:t>
      </w:r>
    </w:p>
    <w:p>
      <w:pPr>
        <w:spacing w:after="0" w:line="5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could be delayed.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121"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based on our MetAP2 platform. Although ZGN-1061 is currently in 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4"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51"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in some or all markets.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9"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or unwilling to do so, we may have to curtail the development of the product candidate for which we are seeking to collaborate, reduce or delay its development program or one or more of our other development programs, delay its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5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beloranib, ZGN-1061 and ZGN-839 and early research activities. We have never generated any revenue from product sales. We have not obtained regulatory approvals for any of our product candidates.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Since our inception and until recently, we focused substantially all of our efforts and financial resources on developing beloranib, which was in Phase 3 clinical development for our lead indication of the treatment of hyperphagia and obesity in patients with Prader-Willi Syndrome, or PWS, and Phase 2 clinical development for the treatment of obesity in patients with hypothalamic injury-associated obesity, or HIAO. In December 2015, the FDA put the beloranib IND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of novel and highly differentiated MetAP2 inhibitors.</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funded our operations to date through proceeds from sales of redeemable convertible preferred stock, convertible debt and proceeds from our IPO and follow-on public offering, and have incurred losses in each year since our inception. Our net losses were $26.4 million for the six months ended June 30, 2017 and $57.9 million for the year ended December 31, 2016. As of June 30, 2017, we had an accumulated deficit of $263.9 million. Substantially all of our operating losses resulted from costs incurred in connection with our development programs for beloranib, ZGN-1061 and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clinical trials of ZGN-1061, and of any other product candidates we may choose to pursue. In addition, if and when we obtain marketing approval for ZGN-1061,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ZGN-1061. Our ability to generate revenue depends on a number of factors, including, but not limited to, our ability to:</w:t>
      </w:r>
    </w:p>
    <w:p>
      <w:pPr>
        <w:spacing w:after="0" w:line="86"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ZGN-1061 in the indications we are pursuing;</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ZGN-1061, if developed and approved, by developing a sales force or entering into collaborations with third parties;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ZGN-1061 in the medical community and with third-party payors.</w:t>
      </w:r>
    </w:p>
    <w:p>
      <w:pPr>
        <w:spacing w:after="0" w:line="225"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Absent our entering into a collaboration or partnership agreement, we expect to incur significant sales and marketing costs when we prepare to commercialize ZGN-1061. Even if we initiate and successfully complete our clinical trials of ZGN-1061, and ZGN-1061 is approved for commercial sale, and despite expending these costs, ZGN-1061 may not be a commercially successful drug. We may not achieve profitability soon after generating product sales, if ever. If we are unable to generate sufficient product revenue, we will not become profitable and may be unable to continue operations without continued funding.</w:t>
      </w:r>
    </w:p>
    <w:p>
      <w:pPr>
        <w:spacing w:after="0" w:line="2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Developing small molecule products is expensive, and we expect our research and development expenses to increase substantially in connection with our ongoing activities, particularly as we advance ZGN-1061 into later stage clinical trials. Depending on the status of regulatory approval or, if approved, commercialization of ZGN-1061 or any of our other product candidates, as well as the progress we make in selling ZGN-1061 or any of our other product candidates, we may require additional capital to fund operating needs thereafter. We may also need to raise additional funds sooner if we choose to pursue additional indications and/or geographies for ZGN-1061 or our other product candidates or otherwise expand more rapidly than we presently anticipate.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of June 30, 2017, our cash, cash equivalents and marketable securities were $106.0 million. 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86"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or other product candidates, our intellectual property, future revenue streams or grant licenses on terms that are not favorable to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stock price may fluctuate significantly.</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market price of shares of our common stock, similar to the market price of shares of common stock of other biopharmaceutical companies, is subject to wide fluctuations. From January 1, 2017 to June 30, 2017 the daily closing price of our common stock on the NASDAQ Global Market ranged from a high of $5.08 to a low of $3.24 and will continue to be subject to wide fluctuations in response to many risk factors listed in this section, and others beyond our control, including:</w:t>
      </w:r>
    </w:p>
    <w:p>
      <w:pPr>
        <w:spacing w:after="0" w:line="86"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pre-clinical studies and clinical trials of ZGN-1061 and/or other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to accept our IND for ZGN-1061;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the EMA to approve ZGN-1061;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adequate safety margin and profile for ZGN-1061, including risk of serious thromboembolic events;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type 2 diabetes or weight loss therapies;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ZGN-1061, if successfully developed and approved, to achieve commercial success;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18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exercise significant control over our company.</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As of July 31, 2017, the existing holdings of our executive officers, directors, principal stockholders and their affiliates, including investment funds affiliated with Atlas Ventures, or Atlas, and entities affiliated with Fidelity Investment (FMR LLC), or Fidelity, represent beneficial ownership, in the aggregate, of approximately 36.8%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93"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proceeds of our follow-on public offering. We may not use these proceeds effectively, which could affect our results of operations and cause our stock price to decline.</w:t>
      </w:r>
    </w:p>
    <w:p>
      <w:pPr>
        <w:spacing w:after="0" w:line="5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We have considerable discretion in the application of the net proceeds of our follow-on public offering. We intend to use the net proceeds to advance the clinical development of ZGN-1061 and to fund new and ongoing research and development activities,</w:t>
      </w:r>
    </w:p>
    <w:p>
      <w:pPr>
        <w:sectPr>
          <w:pgSz w:w="11900" w:h="16838" w:orient="portrait"/>
          <w:cols w:equalWidth="0" w:num="1">
            <w:col w:w="11400"/>
          </w:cols>
          <w:pgMar w:left="240" w:top="455" w:right="259" w:bottom="1440"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working capital and other general corporate purposes, which may include funding for the hiring of personnel, capital expenditures, early commercialization activities, the costs of operating as a public company and potential business development activities. As a result, investors will be relying upon management’s judgment with only limited information about our specific intentions for the use of the balance of the net proceeds. We may use the net proceeds for purposes that do not yield a significant return or any return at all for our stockholders. In addition, pending their use, we may invest the net proceeds in a manner that does not produce income or that loses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6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have availed ourselves of reduced disclosure requirements applicable to emerging growth companies, which could make our common stock less attractive to investors.</w:t>
      </w:r>
    </w:p>
    <w:p>
      <w:pPr>
        <w:spacing w:after="0" w:line="5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 billion or more;</w:t>
      </w:r>
    </w:p>
    <w:p>
      <w:pPr>
        <w:spacing w:after="0" w:line="1" w:lineRule="exact"/>
        <w:rPr>
          <w:sz w:val="20"/>
          <w:szCs w:val="20"/>
          <w:color w:val="auto"/>
        </w:rPr>
      </w:pPr>
    </w:p>
    <w:p>
      <w:pPr>
        <w:ind w:right="60" w:firstLine="8"/>
        <w:spacing w:after="0" w:line="261"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2019; (iii) the date on which we have issued more than $1.0 billion in nonconvertible debt during the previous three years; and (iv) the date on which we are deemed to be a large accelerated filer under the rules of the SEC.</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51" w:lineRule="exact"/>
        <w:rPr>
          <w:sz w:val="20"/>
          <w:szCs w:val="20"/>
          <w:color w:val="auto"/>
        </w:rPr>
      </w:pPr>
    </w:p>
    <w:p>
      <w:pPr>
        <w:ind w:right="520" w:firstLine="456"/>
        <w:spacing w:after="0" w:line="261" w:lineRule="auto"/>
        <w:rPr>
          <w:sz w:val="20"/>
          <w:szCs w:val="20"/>
          <w:color w:val="auto"/>
        </w:rPr>
      </w:pPr>
      <w:r>
        <w:rPr>
          <w:rFonts w:ascii="Times New Roman" w:cs="Times New Roman" w:eastAsia="Times New Roman" w:hAnsi="Times New Roman"/>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5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5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82"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board of directors with the express power to postpone previously scheduled annual meetings and to cancel previously scheduled special meetings.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ZAFGEN, INC.</w:t>
      </w:r>
    </w:p>
    <w:p>
      <w:pPr>
        <w:spacing w:after="0" w:line="22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 /s/ Thomas E. Hughes,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Thomas E. Hughes, Ph.D.</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August 9, 2017</w:t>
      </w:r>
      <w:r>
        <w:rPr>
          <w:sz w:val="20"/>
          <w:szCs w:val="20"/>
          <w:color w:val="auto"/>
        </w:rPr>
        <w:tab/>
      </w:r>
      <w:r>
        <w:rPr>
          <w:rFonts w:ascii="Times New Roman" w:cs="Times New Roman" w:eastAsia="Times New Roman" w:hAnsi="Times New Roman"/>
          <w:sz w:val="18"/>
          <w:szCs w:val="18"/>
          <w:color w:val="auto"/>
        </w:rPr>
        <w:t>By: /s/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Patricia L. Allen</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380"/>
          </w:cols>
          <w:pgMar w:left="240" w:top="455" w:right="279" w:bottom="1440" w:gutter="0" w:footer="0" w:header="0"/>
        </w:sectPr>
      </w:pPr>
    </w:p>
    <w:p>
      <w:pPr>
        <w:spacing w:after="0" w:line="25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5080</wp:posOffset>
            </wp:positionV>
            <wp:extent cx="2832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Certification of Principal Executive Officer pursuant to Rule 13a-14(a) or Rule 15d-14(a) of the Securities Exchange Act of 1934, as adopted pursuant to Section 302 of the Sarbanes-Oxley Act of 2002.</w:t>
      </w:r>
    </w:p>
    <w:p>
      <w:pPr>
        <w:spacing w:after="0" w:line="54" w:lineRule="exact"/>
        <w:rPr>
          <w:sz w:val="20"/>
          <w:szCs w:val="20"/>
          <w:color w:val="auto"/>
        </w:rPr>
      </w:pPr>
    </w:p>
    <w:p>
      <w:pPr>
        <w:sectPr>
          <w:pgSz w:w="11900" w:h="16838" w:orient="portrait"/>
          <w:cols w:equalWidth="0" w:num="2">
            <w:col w:w="620" w:space="600"/>
            <w:col w:w="10160"/>
          </w:cols>
          <w:pgMar w:left="240" w:top="455" w:right="279" w:bottom="1440" w:gutter="0" w:footer="0" w:header="0"/>
          <w:type w:val="continuous"/>
        </w:sectPr>
      </w:pPr>
    </w:p>
    <w:p>
      <w:pPr>
        <w:ind w:left="100"/>
        <w:spacing w:after="0"/>
        <w:tabs>
          <w:tab w:leader="none" w:pos="12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Principal Financial Officer pursuant to Rule 13a-14(a) or Rule 15d-14(a) of the Securities Exchange Act of 1934, as adopted</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99" w:lineRule="exact"/>
        <w:rPr>
          <w:sz w:val="20"/>
          <w:szCs w:val="20"/>
          <w:color w:val="auto"/>
        </w:rPr>
      </w:pPr>
    </w:p>
    <w:p>
      <w:pPr>
        <w:ind w:left="100"/>
        <w:spacing w:after="0"/>
        <w:tabs>
          <w:tab w:leader="none" w:pos="12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Principal Executive Officer and Principal Financial Officer pursuant to 18 U.S.C. Section 1350, as adopted pursuant to</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Document.</w:t>
      </w:r>
    </w:p>
    <w:p>
      <w:pPr>
        <w:spacing w:after="0" w:line="1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1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Labels Linkbase Document.</w:t>
      </w:r>
    </w:p>
    <w:p>
      <w:pPr>
        <w:spacing w:after="0" w:line="11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 Document.</w:t>
      </w:r>
    </w:p>
    <w:p>
      <w:pPr>
        <w:spacing w:after="0" w:line="252"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 Hughes,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2017 of Zafgen,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20" w:firstLine="464"/>
        <w:spacing w:after="0" w:line="266" w:lineRule="auto"/>
        <w:tabs>
          <w:tab w:leader="none" w:pos="70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464"/>
        <w:spacing w:after="0" w:line="266" w:lineRule="auto"/>
        <w:tabs>
          <w:tab w:leader="none" w:pos="7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60" w:firstLine="464"/>
        <w:spacing w:after="0" w:line="282" w:lineRule="auto"/>
        <w:tabs>
          <w:tab w:leader="none" w:pos="70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464"/>
        <w:spacing w:after="0" w:line="266" w:lineRule="auto"/>
        <w:tabs>
          <w:tab w:leader="none" w:pos="71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60" w:firstLine="8"/>
        <w:spacing w:after="0" w:line="282" w:lineRule="auto"/>
        <w:tabs>
          <w:tab w:leader="none" w:pos="2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E.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Allen, certify that:</w:t>
      </w:r>
    </w:p>
    <w:p>
      <w:pPr>
        <w:spacing w:after="0" w:line="117"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2017 of Zafgen,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20" w:firstLine="464"/>
        <w:spacing w:after="0" w:line="266" w:lineRule="auto"/>
        <w:tabs>
          <w:tab w:leader="none" w:pos="7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464"/>
        <w:spacing w:after="0" w:line="266" w:lineRule="auto"/>
        <w:tabs>
          <w:tab w:leader="none" w:pos="7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60" w:firstLine="464"/>
        <w:spacing w:after="0" w:line="282" w:lineRule="auto"/>
        <w:tabs>
          <w:tab w:leader="none" w:pos="7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464"/>
        <w:spacing w:after="0" w:line="266" w:lineRule="auto"/>
        <w:tabs>
          <w:tab w:leader="none" w:pos="7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60" w:firstLine="8"/>
        <w:spacing w:after="0" w:line="282"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Allen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Zafgen, Inc. (the “Company”) for the period ended June 30, 2017, as filed with the Securities and Exchange Commission on the date hereof (the “Report”), each of the undersigned officers hereby certify, pursuant to Section 906 of the Sarbanes-Oxley Act of 2002, 18 U.S.C. Section 1350, that to his or her knowledge:</w:t>
      </w:r>
    </w:p>
    <w:p>
      <w:pPr>
        <w:spacing w:after="0" w:line="82" w:lineRule="exact"/>
        <w:rPr>
          <w:sz w:val="20"/>
          <w:szCs w:val="20"/>
          <w:color w:val="auto"/>
        </w:rPr>
      </w:pPr>
    </w:p>
    <w:p>
      <w:pPr>
        <w:ind w:left="460" w:right="6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Dated: August 9, 2017</w:t>
      </w:r>
      <w:r>
        <w:rPr>
          <w:sz w:val="20"/>
          <w:szCs w:val="20"/>
          <w:color w:val="auto"/>
        </w:rPr>
        <w:tab/>
      </w:r>
      <w:r>
        <w:rPr>
          <w:rFonts w:ascii="Times New Roman" w:cs="Times New Roman" w:eastAsia="Times New Roman" w:hAnsi="Times New Roman"/>
          <w:sz w:val="17"/>
          <w:szCs w:val="17"/>
          <w:color w:val="auto"/>
        </w:rPr>
        <w:t>/s/ Thomas E.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E. Hughes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Dated: August 9, 2017</w:t>
      </w:r>
      <w:r>
        <w:rPr>
          <w:sz w:val="20"/>
          <w:szCs w:val="20"/>
          <w:color w:val="auto"/>
        </w:rPr>
        <w:tab/>
      </w:r>
      <w:r>
        <w:rPr>
          <w:rFonts w:ascii="Times New Roman" w:cs="Times New Roman" w:eastAsia="Times New Roman" w:hAnsi="Times New Roman"/>
          <w:sz w:val="17"/>
          <w:szCs w:val="17"/>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Patricia Allen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7"/>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lowerRoman"/>
      <w:start w:val="2"/>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2019-12-29T06:07:29Z</dcterms:created>
  <dcterms:modified xsi:type="dcterms:W3CDTF">2019-12-29T06:07:29Z</dcterms:modified>
</cp:coreProperties>
</file>