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3 Center Plaza, Suite 610</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02108</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4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18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August 8, 2019, Zafgen, Inc. (the “Company”) announced its financial results for the second quarter of 2019. A copy of the press release is being furnished as Exhibit 99.1 to this Report on Form 8-K and is incorporated by reference herein.</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Zafgen, Inc. on August 8, 2019, furnished herewith.</w:t>
        </w:r>
      </w:hyperlink>
    </w:p>
    <w:p>
      <w:pPr>
        <w:spacing w:after="0" w:line="225" w:lineRule="exact"/>
        <w:rPr>
          <w:sz w:val="20"/>
          <w:szCs w:val="20"/>
          <w:color w:val="auto"/>
        </w:rPr>
      </w:pPr>
    </w:p>
    <w:p>
      <w:pPr>
        <w:jc w:val="center"/>
        <w:ind w:right="-19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240"/>
          </w:cols>
          <w:pgMar w:left="240" w:top="270" w:right="4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172085</wp:posOffset>
            </wp:positionV>
            <wp:extent cx="184404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Second Quarter 2019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Agreement reached with U.S. FDA on </w:t>
      </w:r>
      <w:r>
        <w:rPr>
          <w:rFonts w:ascii="Arial" w:cs="Arial" w:eastAsia="Arial" w:hAnsi="Arial"/>
          <w:sz w:val="18"/>
          <w:szCs w:val="18"/>
          <w:color w:val="auto"/>
        </w:rPr>
        <w:t>in vivo</w:t>
      </w:r>
      <w:r>
        <w:rPr>
          <w:rFonts w:ascii="Arial" w:cs="Arial" w:eastAsia="Arial" w:hAnsi="Arial"/>
          <w:sz w:val="18"/>
          <w:szCs w:val="18"/>
          <w:i w:val="1"/>
          <w:iCs w:val="1"/>
          <w:color w:val="auto"/>
        </w:rPr>
        <w:t xml:space="preserve"> animal study design and protocol to translate work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from novel </w:t>
      </w:r>
      <w:r>
        <w:rPr>
          <w:rFonts w:ascii="Arial" w:cs="Arial" w:eastAsia="Arial" w:hAnsi="Arial"/>
          <w:sz w:val="18"/>
          <w:szCs w:val="18"/>
          <w:color w:val="auto"/>
        </w:rPr>
        <w:t>in vitro</w:t>
      </w:r>
      <w:r>
        <w:rPr>
          <w:rFonts w:ascii="Arial" w:cs="Arial" w:eastAsia="Arial" w:hAnsi="Arial"/>
          <w:sz w:val="18"/>
          <w:szCs w:val="18"/>
          <w:i w:val="1"/>
          <w:iCs w:val="1"/>
          <w:color w:val="auto"/>
        </w:rPr>
        <w:t xml:space="preserve"> assays and establish relevant safety margins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Topline data from the </w:t>
      </w:r>
      <w:r>
        <w:rPr>
          <w:rFonts w:ascii="Arial" w:cs="Arial" w:eastAsia="Arial" w:hAnsi="Arial"/>
          <w:sz w:val="18"/>
          <w:szCs w:val="18"/>
          <w:color w:val="auto"/>
        </w:rPr>
        <w:t>in vivo</w:t>
      </w:r>
      <w:r>
        <w:rPr>
          <w:rFonts w:ascii="Arial" w:cs="Arial" w:eastAsia="Arial" w:hAnsi="Arial"/>
          <w:sz w:val="18"/>
          <w:szCs w:val="18"/>
          <w:i w:val="1"/>
          <w:iCs w:val="1"/>
          <w:color w:val="auto"/>
        </w:rPr>
        <w:t xml:space="preserve"> study expected by the end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PATH for PWS study over-enrolled with continued strong support from Prader-Willi syndrome (PWS) community</w:t>
      </w:r>
    </w:p>
    <w:p>
      <w:pPr>
        <w:spacing w:after="0" w:line="221" w:lineRule="exact"/>
        <w:rPr>
          <w:sz w:val="20"/>
          <w:szCs w:val="20"/>
          <w:color w:val="auto"/>
        </w:rPr>
      </w:pPr>
    </w:p>
    <w:p>
      <w:pPr>
        <w:jc w:val="both"/>
        <w:ind w:right="560"/>
        <w:spacing w:after="0" w:line="266" w:lineRule="auto"/>
        <w:rPr>
          <w:sz w:val="20"/>
          <w:szCs w:val="20"/>
          <w:color w:val="auto"/>
        </w:rPr>
      </w:pPr>
      <w:r>
        <w:rPr>
          <w:rFonts w:ascii="Arial" w:cs="Arial" w:eastAsia="Arial" w:hAnsi="Arial"/>
          <w:sz w:val="18"/>
          <w:szCs w:val="18"/>
          <w:b w:val="1"/>
          <w:bCs w:val="1"/>
          <w:color w:val="auto"/>
        </w:rPr>
        <w:t xml:space="preserve">Boston, August 8, 2019 </w:t>
      </w:r>
      <w:r>
        <w:rPr>
          <w:rFonts w:ascii="Arial" w:cs="Arial" w:eastAsia="Arial" w:hAnsi="Arial"/>
          <w:sz w:val="18"/>
          <w:szCs w:val="18"/>
          <w:color w:val="auto"/>
        </w:rPr>
        <w:t>– Zafgen, Inc. (Nasdaq:ZFGN), a clinical-stage biopharmaceutical company leveraging its proprietary knowledge of MetAP2</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biology to develop novel therapies for patients affected by a range of metabolic diseases, today reported its second quarter 2019 operating and financial results.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“Since the beginning of 2019, we have remained focused on gaining clarity on the path forward for ZGN-1061. With the recent alignment with the FDA on the design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we are now preparing for the rapid initiation and strong execution of this study,” said Jeffrey Hatfield, Chief Executive Officer. “We expect to provide topline data by the end of 2019, which will be the driving factor that informs our future plans. In addition, we have strong financial resources, which we expect to last greater than two years, given our current operating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35" w:lineRule="exact"/>
        <w:rPr>
          <w:sz w:val="20"/>
          <w:szCs w:val="20"/>
          <w:color w:val="auto"/>
        </w:rPr>
      </w:pPr>
    </w:p>
    <w:p>
      <w:pPr>
        <w:ind w:left="1020" w:right="180" w:hanging="445"/>
        <w:spacing w:after="0" w:line="25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July 2019, Zafgen announced that it had reached agreement with the U.S. Food and Drug Administration (FDA) 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design and protocol to establish relevant safety margins for ZGN-1061, its investigational MetAP2 inhibitor in development. The study is designed to translate the data from Zafgen’s newly developed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of human endothelial cells and assessment of tissue factor expression with endothelial cells, along with other supportive assays, as it works toward resolving the previously announced clinical hold. Topline data from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study are expected by the end of 2019.</w:t>
      </w:r>
    </w:p>
    <w:p>
      <w:pPr>
        <w:spacing w:after="0" w:line="93" w:lineRule="exact"/>
        <w:rPr>
          <w:rFonts w:ascii="Arial" w:cs="Arial" w:eastAsia="Arial" w:hAnsi="Arial"/>
          <w:sz w:val="18"/>
          <w:szCs w:val="18"/>
          <w:color w:val="auto"/>
        </w:rPr>
      </w:pPr>
    </w:p>
    <w:p>
      <w:pPr>
        <w:ind w:left="1020" w:right="280" w:hanging="445"/>
        <w:spacing w:after="0" w:line="30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June 2019, Zafgen completed its enrollment for PATH for PWS, Zafgen’s natural history study conducted in collaboration with the Foundation for Prader-Willi Research (FPWR). The study over-enrolled in less than one year from its initiation, with approximately 700 participants across multiple age groups and other important segments of the PWS community, versus the initial goal of 500 participants. The data from this study are intended to inform the development and clinical trial design of potential new treatments for PWS.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left="1020" w:right="80" w:hanging="44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June 2019, Zafgen presented the positive full results of its Phase 2 clinical trial for ZGN-1061 in an oral presentation at the American Diabetes Association’s 79th Scientific Sessions. Zafgen also presented a poster on data demonstrating that treatment with ZGN-1061 improved measures of glycemic control, including insulin sensitivity and beta-cell function.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2019, the Company had cash, cash equivalents, and marketable securities totaling $91.7 million. Based on recently implemented plans to reduce its operating expenses and prioritize key resources, Zafgen expects its projected cash runway to last greater than two years, given its current operating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reported a net loss for the second quarter of 2019 of $12.1 million, or $0.32 per share, compared to a net loss of $15.8 million, or $0.57 per share, for the second quarter of 2018.</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37.3 million for the second quarter of 2019 compared to 27.6 million for the same quarter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Research and development expenses for the second quarter of 2019 were $8.6 million compared to $12.2 million for the second quarter of 2018. The decrease in research and development expenses compared to the prior year period was primarily due to completion of the second cohort of the Phase 2 clinical trial in type 2 diabetes for ZGN-1061, decreased spending and non-cash stock-based compensation expense related to our other clinical and nonclinical programs and activities, partially offset by an increase in costs related to ZGN-1345 as the program advances as a development stage candidate.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for the second quarter of 2019 were $3.6 million, compared to $3.4 million for the second quarter of 2018. The increase in general and administrative expenses as compared to the prior year period was primarily due to an increase in personnel related costs and non-cash stock-based compensation expense.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Zafgen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Learn more at www.zafgen.com.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Various statements in this release concerning Zafgen’s future expectations, plans and prospects, including without limitation, Zafgen’s expectations regarding the development and use of ZGN-1061, ZGN-1258, ZGN-1345 and other second-generation MetAP2 inhibitors as treatments for metabolic diseases including Prader-Willi syndrome, type 2 diabetes, liver diseases and obesity, the collection of medical history and medical events from PATH for PWS participants to inform development for potential treatments for Prader-Willi syndrome and Zafgen’s expectations with respect to the timing and success of its ability to collect and analyze PATH for PWS data for development and clinical trial design and with respect to its nonclinical studies and clinical trials of ZGN-1061, ZGN-1258, ZGN-1345 and its other product candidates, Zafgen’s expected cash, cash equivalents and marketable securities balance as of June 30, 2019, and Zafgen’s expectations regarding the length of its cash runway, may constitute forward-looking statements for the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ZGN-1061, ZGN-1258, ZGN-1345 and its other product candidates and to differentiate them from first generation MetAP2 inhibitors, such as beloranib, the nonclinical and clinical results for ZGN-1061, ZGN-1258, ZGN-1345 and its other product candidates, which may not support further development and marketing approval, actions of regulatory agencies, which may affect the initiation, timing and progress of nonclinical studies and clinical trials of its product candidates, Zafgen’s ability to execute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designed in alignment with the FDA, establish acceptable safety margins on ZGN-1061 based on the results of such study and resolve the clinical hold on ZGN-1061 based on the results of such study, Zafgen’s ability to overcome the full clinical hold place on ZGN-1061 by the FDA and obtain regulatory approval, Zafgen’s ability to continue to evaluate ZGN-1258 and to advance the program in nonclinical and clinical development,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ability to attract and retain personnel, Zafgen’s dependence on third parties for development, manufacture,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234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3,618</w:t>
            </w:r>
          </w:p>
        </w:tc>
        <w:tc>
          <w:tcPr>
            <w:tcW w:w="2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12,190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37,326,853</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27,565,064</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37,320,436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27,553,394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37,240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54,418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68,735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94,001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121,330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Tax incentive receivable, net of current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121,762</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2,056</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long-term</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15,185</w:t>
            </w:r>
          </w:p>
        </w:tc>
        <w:tc>
          <w:tcPr>
            <w:tcW w:w="0" w:type="dxa"/>
            <w:vAlign w:val="bottom"/>
          </w:tcPr>
          <w:p>
            <w:pPr>
              <w:spacing w:after="0"/>
              <w:rPr>
                <w:sz w:val="1"/>
                <w:szCs w:val="1"/>
                <w:color w:val="auto"/>
              </w:rPr>
            </w:pPr>
          </w:p>
        </w:tc>
      </w:tr>
      <w:tr>
        <w:trPr>
          <w:trHeight w:val="223"/>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Preferred stock; $0.001 par value per share; 5,000,000 shares authorized as of June 30, 2019 and December 31, 2018;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 shares issued and outstanding as of June 30, 2019 and December 31, 2018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$0.001 par value per share; 115,000,000 shares authorized as of June 30, 2019 and 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5"/>
              </w:rPr>
              <w:t>2018; 37,326,895 and 37,287,221 shares issued and outstanding as of June 30, 2019 and December 31, 2018,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448,258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444,212</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(376,186)</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(350,945)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906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72,139</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121,762</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6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2019-12-28T07:43:29Z</dcterms:created>
  <dcterms:modified xsi:type="dcterms:W3CDTF">2019-12-28T07:43:29Z</dcterms:modified>
</cp:coreProperties>
</file>