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40"/>
        <w:spacing w:after="0"/>
        <w:rPr>
          <w:sz w:val="20"/>
          <w:szCs w:val="20"/>
          <w:color w:val="auto"/>
        </w:rPr>
      </w:pPr>
      <w:r>
        <w:rPr>
          <w:rFonts w:ascii="Times New Roman" w:cs="Times New Roman" w:eastAsia="Times New Roman" w:hAnsi="Times New Roman"/>
          <w:sz w:val="18"/>
          <w:szCs w:val="18"/>
          <w:b w:val="1"/>
          <w:bCs w:val="1"/>
          <w:color w:val="auto"/>
        </w:rPr>
        <w:t>As filed with the United States Securities and Exchange Commission on October 2, 2020</w:t>
      </w:r>
    </w:p>
    <w:p>
      <w:pPr>
        <w:spacing w:after="0" w:line="31" w:lineRule="exact"/>
        <w:rPr>
          <w:sz w:val="24"/>
          <w:szCs w:val="24"/>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20"/>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20-3857670</w:t>
      </w:r>
    </w:p>
    <w:p>
      <w:pPr>
        <w:spacing w:after="0" w:line="12" w:lineRule="exact"/>
        <w:rPr>
          <w:sz w:val="24"/>
          <w:szCs w:val="24"/>
          <w:color w:val="auto"/>
        </w:rPr>
      </w:pPr>
    </w:p>
    <w:p>
      <w:pPr>
        <w:sectPr>
          <w:pgSz w:w="11900" w:h="16838" w:orient="portrait"/>
          <w:cols w:equalWidth="0" w:num="2">
            <w:col w:w="7180" w:space="720"/>
            <w:col w:w="3120"/>
          </w:cols>
          <w:pgMar w:left="440" w:top="225" w:right="439" w:bottom="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2">
            <w:col w:w="7060" w:space="720"/>
            <w:col w:w="3240"/>
          </w:cols>
          <w:pgMar w:left="440" w:top="225" w:right="439" w:bottom="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Three Bala Plaza East, Suite 506</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Bala Cynwyd, Pennsylvania 19004</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(844) 511-9056</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of principal executive offices)</w:t>
      </w:r>
    </w:p>
    <w:p>
      <w:pPr>
        <w:sectPr>
          <w:pgSz w:w="11900" w:h="16838" w:orient="portrait"/>
          <w:cols w:equalWidth="0" w:num="1">
            <w:col w:w="11020"/>
          </w:cols>
          <w:pgMar w:left="440" w:top="225" w:right="439" w:bottom="0" w:gutter="0" w:footer="0" w:header="0"/>
          <w:type w:val="continuous"/>
        </w:sectPr>
      </w:pP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 2020 Equity Incentive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Carole Ben-Maimon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Bala Plaza East, Suite 506, Bala Cynwyd, Pennsylvania 19004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(844) 511-9056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Rachael M. Bushey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Jennifer Porter</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Troutman Pepper Hamilton Sanders LLP</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3000 Two Logan Square</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Philadelphia, Pennsylvania 19103</w:t>
      </w:r>
    </w:p>
    <w:p>
      <w:pPr>
        <w:jc w:val="center"/>
        <w:spacing w:after="0"/>
        <w:rPr>
          <w:sz w:val="20"/>
          <w:szCs w:val="20"/>
          <w:color w:val="auto"/>
        </w:rPr>
      </w:pPr>
      <w:r>
        <w:rPr>
          <w:rFonts w:ascii="Times New Roman" w:cs="Times New Roman" w:eastAsia="Times New Roman" w:hAnsi="Times New Roman"/>
          <w:sz w:val="14"/>
          <w:szCs w:val="14"/>
          <w:b w:val="1"/>
          <w:bCs w:val="1"/>
          <w:color w:val="auto"/>
        </w:rPr>
        <w:t>(215) 981-4331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48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Proposed</w:t>
            </w:r>
          </w:p>
        </w:tc>
        <w:tc>
          <w:tcPr>
            <w:tcW w:w="1540" w:type="dxa"/>
            <w:vAlign w:val="bottom"/>
            <w:tcBorders>
              <w:right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Proposed</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right"/>
              <w:ind w:right="1715"/>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jc w:val="right"/>
              <w:ind w:right="1555"/>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jc w:val="right"/>
              <w:ind w:right="1715"/>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2,297,800(2)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$14.90(3)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$34,237,220.00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$3,735.29</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jc w:val="right"/>
              <w:ind w:right="1715"/>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752,200(4)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$12.0021(5)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$9,027,979.62</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$984.96</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jc w:val="right"/>
              <w:ind w:right="1715"/>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763,163(6)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$14.90(3)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$11,371,128.70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$1,240.60</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jc w:val="right"/>
              <w:ind w:right="1715"/>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12,788(7)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$14.90(3)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$190,541.20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jc w:val="right"/>
              <w:ind w:right="4435"/>
              <w:spacing w:after="0"/>
              <w:rPr>
                <w:sz w:val="20"/>
                <w:szCs w:val="20"/>
                <w:color w:val="auto"/>
              </w:rPr>
            </w:pPr>
            <w:r>
              <w:rPr>
                <w:rFonts w:ascii="Times New Roman" w:cs="Times New Roman" w:eastAsia="Times New Roman" w:hAnsi="Times New Roman"/>
                <w:sz w:val="18"/>
                <w:szCs w:val="18"/>
                <w:color w:val="auto"/>
                <w:w w:val="89"/>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3,825,951</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$54,826,869.52</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$5,981.64</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25" w:right="439" w:bottom="0" w:gutter="0" w:footer="0" w:header="0"/>
          <w:type w:val="continuous"/>
        </w:sectPr>
      </w:pPr>
    </w:p>
    <w:bookmarkStart w:id="1" w:name="page2"/>
    <w:bookmarkEnd w:id="1"/>
    <w:p>
      <w:pPr>
        <w:ind w:left="424" w:hanging="424"/>
        <w:spacing w:after="0" w:line="258"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this Registration Statement shall also cover any additional shares of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Larimar Therapeutics,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become issuable by reason of any future stock dividend, stock split, recapitalization or other similar transaction or to cover such additional shares as may hereinafter be offered or issued to prevent dilution resulting from stock splits, stock dividends, recapitalizations or certain other capital adjustments, effected without the receipt of consideration by the Company, which results in an increase in the number of the outstanding shares of Common Stock.</w:t>
      </w:r>
    </w:p>
    <w:p>
      <w:pPr>
        <w:sectPr>
          <w:pgSz w:w="11900" w:h="16838" w:orient="portrait"/>
          <w:cols w:equalWidth="0" w:num="1">
            <w:col w:w="11004"/>
          </w:cols>
          <w:pgMar w:left="436" w:top="135" w:right="459" w:bottom="1440" w:gutter="0" w:footer="0" w:header="0"/>
        </w:sectPr>
      </w:pPr>
    </w:p>
    <w:bookmarkStart w:id="2" w:name="page3"/>
    <w:bookmarkEnd w:id="2"/>
    <w:p>
      <w:pPr>
        <w:ind w:left="424" w:right="200" w:hanging="424"/>
        <w:spacing w:after="0" w:line="254"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Represents (a) 947,800 shares of Common Stock authorized for issuance under the Larimar Therapeutics, Inc. 2020 Equity Incentive Plan (the “</w:t>
      </w:r>
      <w:r>
        <w:rPr>
          <w:rFonts w:ascii="Times New Roman" w:cs="Times New Roman" w:eastAsia="Times New Roman" w:hAnsi="Times New Roman"/>
          <w:sz w:val="18"/>
          <w:szCs w:val="18"/>
          <w:u w:val="single" w:color="auto"/>
          <w:color w:val="auto"/>
        </w:rPr>
        <w:t>2020 Plan</w:t>
      </w:r>
      <w:r>
        <w:rPr>
          <w:rFonts w:ascii="Times New Roman" w:cs="Times New Roman" w:eastAsia="Times New Roman" w:hAnsi="Times New Roman"/>
          <w:sz w:val="18"/>
          <w:szCs w:val="18"/>
          <w:color w:val="auto"/>
        </w:rPr>
        <w:t>”) as of the date hereof, which number consists of (i) 1,700,000 shares of Common Stock initially available for grant under the 2020 Plan minus (ii) 752,200 shares of Common Stock reserved for issuance upon the exercise of previously granted stock options that remain outstanding under the 2020 Plan, plus (b) up to an additional 1,350,000 shares of Common Stock that may become issuable under the 2020 Plan pursuant to its terms.</w:t>
      </w:r>
    </w:p>
    <w:p>
      <w:pPr>
        <w:spacing w:after="0" w:line="3" w:lineRule="exact"/>
        <w:rPr>
          <w:rFonts w:ascii="Times New Roman" w:cs="Times New Roman" w:eastAsia="Times New Roman" w:hAnsi="Times New Roman"/>
          <w:sz w:val="18"/>
          <w:szCs w:val="18"/>
          <w:color w:val="auto"/>
        </w:rPr>
      </w:pPr>
    </w:p>
    <w:p>
      <w:pPr>
        <w:jc w:val="both"/>
        <w:ind w:left="424" w:right="12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computing the registration fee only. This estimate is made pursuant to Rule 457(h) and Rule 457(c) of the Securities Act. The Proposed Maximum Offering Price Per Share with respect to the 2020 Plan is based upon the average of the high and low prices of the Common Stock on September 29, 2020, as quoted on the Nasdaq Global Market.</w:t>
      </w:r>
    </w:p>
    <w:p>
      <w:pPr>
        <w:spacing w:after="0" w:line="1"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752,200 shares of Common Stock reserved for issuance upon the exercise of previously granted stock options that remain outstanding under the 2020 Plan as of the date hereof.</w:t>
      </w:r>
    </w:p>
    <w:p>
      <w:pPr>
        <w:ind w:left="424" w:right="54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computing the registration fee only, and based on the $12.0021weighted average exercise price of the outstanding stock options under the 2020 Plan as of the date hereof.</w:t>
      </w:r>
    </w:p>
    <w:p>
      <w:pPr>
        <w:ind w:left="424" w:right="140" w:hanging="424"/>
        <w:spacing w:after="0" w:line="250"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763,163 shares of Common Stock subject to outstanding equity awards under the Zafgen, Inc. 2014 Stock Option and Incentive Plan, as amended (the “</w:t>
      </w:r>
      <w:r>
        <w:rPr>
          <w:rFonts w:ascii="Times New Roman" w:cs="Times New Roman" w:eastAsia="Times New Roman" w:hAnsi="Times New Roman"/>
          <w:sz w:val="18"/>
          <w:szCs w:val="18"/>
          <w:u w:val="single" w:color="auto"/>
          <w:color w:val="auto"/>
        </w:rPr>
        <w:t>2014 Plan</w:t>
      </w:r>
      <w:r>
        <w:rPr>
          <w:rFonts w:ascii="Times New Roman" w:cs="Times New Roman" w:eastAsia="Times New Roman" w:hAnsi="Times New Roman"/>
          <w:sz w:val="18"/>
          <w:szCs w:val="18"/>
          <w:color w:val="auto"/>
        </w:rPr>
        <w:t>”). To the extent equity awards outstanding under the 2014 Plan expire, terminate, are cancelled or forfeited for any reason or shares are withheld under the equity award for the payment of taxes or in satisfaction of the exercise price for an option award, those shares will be available for future issuance under the 2020 Plan.</w:t>
      </w:r>
    </w:p>
    <w:p>
      <w:pPr>
        <w:spacing w:after="0" w:line="1"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12,788 shares of Common Stock subject to outstanding stock options under the Zafgen, Inc. 2006 Stock Option Plan (the “</w:t>
      </w:r>
      <w:r>
        <w:rPr>
          <w:rFonts w:ascii="Times New Roman" w:cs="Times New Roman" w:eastAsia="Times New Roman" w:hAnsi="Times New Roman"/>
          <w:sz w:val="18"/>
          <w:szCs w:val="18"/>
          <w:u w:val="single" w:color="auto"/>
          <w:color w:val="auto"/>
        </w:rPr>
        <w:t>2006 Plan</w:t>
      </w:r>
      <w:r>
        <w:rPr>
          <w:rFonts w:ascii="Times New Roman" w:cs="Times New Roman" w:eastAsia="Times New Roman" w:hAnsi="Times New Roman"/>
          <w:sz w:val="18"/>
          <w:szCs w:val="18"/>
          <w:color w:val="auto"/>
        </w:rPr>
        <w:t>”). To the extent stock options outstanding under the 2006 Plan expire, terminate, are cancelled or forfeited for any reason, or shares are withheld under the stock option for the payment of taxes or in satisfaction of the exercise price for an option award, those shares will be available for future issuance under the 2020 Plan.</w:t>
      </w:r>
    </w:p>
    <w:p>
      <w:pPr>
        <w:sectPr>
          <w:pgSz w:w="11900" w:h="16838" w:orient="portrait"/>
          <w:cols w:equalWidth="0" w:num="1">
            <w:col w:w="11004"/>
          </w:cols>
          <w:pgMar w:left="436" w:top="270" w:right="45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0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information specified in Part I of Form S-8 is omitted from this filing in accordance with the provisions of Rule 428 under the Securities Act and the introductory note to Part I of the Form S-8 instructions. The documents containing the information specified in Part I will be delivered to participants in the 2020 Plan as required by Rule 428(b)(1) under the Securities Act.</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3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The following documents, which have been filed by the Company with the United States Securities and Exchange Commission (the</w:t>
      </w:r>
    </w:p>
    <w:p>
      <w:pPr>
        <w:spacing w:after="0" w:line="27"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pursuant to the Exchange Act, are incorporated by reference in, and shall be deemed to be a part of, this Registration Statement:</w:t>
      </w:r>
    </w:p>
    <w:p>
      <w:pPr>
        <w:spacing w:after="0" w:line="110" w:lineRule="exact"/>
        <w:rPr>
          <w:sz w:val="20"/>
          <w:szCs w:val="20"/>
          <w:color w:val="auto"/>
        </w:rPr>
      </w:pPr>
    </w:p>
    <w:p>
      <w:pPr>
        <w:ind w:left="1100" w:hanging="241"/>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2019, filed with the Commission on March 5, 2020;</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Reports on Form 10-Q for the quarter ended </w:t>
      </w:r>
      <w:hyperlink r:id="rId18">
        <w:r>
          <w:rPr>
            <w:rFonts w:ascii="Times New Roman" w:cs="Times New Roman" w:eastAsia="Times New Roman" w:hAnsi="Times New Roman"/>
            <w:sz w:val="18"/>
            <w:szCs w:val="18"/>
            <w:u w:val="single" w:color="auto"/>
            <w:color w:val="0000EE"/>
          </w:rPr>
          <w:t>March 31, 2020</w:t>
        </w:r>
      </w:hyperlink>
      <w:r>
        <w:rPr>
          <w:rFonts w:ascii="Times New Roman" w:cs="Times New Roman" w:eastAsia="Times New Roman" w:hAnsi="Times New Roman"/>
          <w:sz w:val="18"/>
          <w:szCs w:val="18"/>
          <w:color w:val="auto"/>
        </w:rPr>
        <w:t xml:space="preserve">, filed with the Commission on May 7, 2020 and for the quarter ended </w:t>
      </w:r>
      <w:hyperlink r:id="rId19">
        <w:r>
          <w:rPr>
            <w:rFonts w:ascii="Times New Roman" w:cs="Times New Roman" w:eastAsia="Times New Roman" w:hAnsi="Times New Roman"/>
            <w:sz w:val="18"/>
            <w:szCs w:val="18"/>
            <w:u w:val="single" w:color="auto"/>
            <w:color w:val="0000EE"/>
          </w:rPr>
          <w:t>June 30, 2020</w:t>
        </w:r>
      </w:hyperlink>
      <w:r>
        <w:rPr>
          <w:rFonts w:ascii="Times New Roman" w:cs="Times New Roman" w:eastAsia="Times New Roman" w:hAnsi="Times New Roman"/>
          <w:sz w:val="18"/>
          <w:szCs w:val="18"/>
          <w:color w:val="auto"/>
        </w:rPr>
        <w:t>, filed with the Commission on August 14, 2020;</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specifically incorporated by reference into the Company’s Annual Report on Form 10-K for the year ended</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December 31, 2019 from the Company’s Definitive Proxy Statement on </w:t>
      </w:r>
      <w:hyperlink r:id="rId20">
        <w:r>
          <w:rPr>
            <w:rFonts w:ascii="Times New Roman" w:cs="Times New Roman" w:eastAsia="Times New Roman" w:hAnsi="Times New Roman"/>
            <w:sz w:val="18"/>
            <w:szCs w:val="18"/>
            <w:u w:val="single" w:color="auto"/>
            <w:color w:val="0000EE"/>
          </w:rPr>
          <w:t>Form DEFM 14-A</w:t>
        </w:r>
      </w:hyperlink>
      <w:r>
        <w:rPr>
          <w:rFonts w:ascii="Times New Roman" w:cs="Times New Roman" w:eastAsia="Times New Roman" w:hAnsi="Times New Roman"/>
          <w:sz w:val="18"/>
          <w:szCs w:val="18"/>
          <w:color w:val="auto"/>
        </w:rPr>
        <w:t>, filed on April 29, 2020;</w:t>
      </w:r>
    </w:p>
    <w:p>
      <w:pPr>
        <w:spacing w:after="0" w:line="99"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18" w:val="left"/>
        </w:tabs>
        <w:numPr>
          <w:ilvl w:val="0"/>
          <w:numId w:val="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Company’s Current Reports on Form 8-K (in each case other than portions thereof furnished under Item 2.02 or Item 7.01 of Form </w:t>
      </w:r>
      <w:hyperlink r:id="rId21">
        <w:r>
          <w:rPr>
            <w:rFonts w:ascii="Times New Roman" w:cs="Times New Roman" w:eastAsia="Times New Roman" w:hAnsi="Times New Roman"/>
            <w:sz w:val="18"/>
            <w:szCs w:val="18"/>
            <w:color w:val="auto"/>
          </w:rPr>
          <w:t xml:space="preserve">8-K and exhibits accompanying such reports related to such items) filed with the Commission on </w:t>
        </w:r>
        <w:r>
          <w:rPr>
            <w:rFonts w:ascii="Times New Roman" w:cs="Times New Roman" w:eastAsia="Times New Roman" w:hAnsi="Times New Roman"/>
            <w:sz w:val="18"/>
            <w:szCs w:val="18"/>
            <w:u w:val="single" w:color="auto"/>
            <w:color w:val="0000EE"/>
          </w:rPr>
          <w:t>January 13,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9,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24,</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2">
        <w:r>
          <w:rPr>
            <w:rFonts w:ascii="Times New Roman" w:cs="Times New Roman" w:eastAsia="Times New Roman" w:hAnsi="Times New Roman"/>
            <w:sz w:val="18"/>
            <w:szCs w:val="18"/>
            <w:u w:val="single" w:color="auto"/>
            <w:color w:val="0000EE"/>
          </w:rPr>
          <w:t>June 2, 2020</w:t>
        </w:r>
      </w:hyperlink>
      <w:hyperlink r:id="rId2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3">
        <w:r>
          <w:rPr>
            <w:rFonts w:ascii="Times New Roman" w:cs="Times New Roman" w:eastAsia="Times New Roman" w:hAnsi="Times New Roman"/>
            <w:sz w:val="18"/>
            <w:szCs w:val="18"/>
            <w:u w:val="single" w:color="auto"/>
            <w:color w:val="0000EE"/>
          </w:rPr>
          <w:t xml:space="preserve">August 6, 2020 </w:t>
        </w:r>
      </w:hyperlink>
      <w:hyperlink r:id="rId2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4">
        <w:r>
          <w:rPr>
            <w:rFonts w:ascii="Times New Roman" w:cs="Times New Roman" w:eastAsia="Times New Roman" w:hAnsi="Times New Roman"/>
            <w:sz w:val="18"/>
            <w:szCs w:val="18"/>
            <w:u w:val="single" w:color="auto"/>
            <w:color w:val="0000EE"/>
          </w:rPr>
          <w:t xml:space="preserve">September 29, 2020 </w:t>
        </w:r>
      </w:hyperlink>
      <w:hyperlink r:id="rId21">
        <w:r>
          <w:rPr>
            <w:rFonts w:ascii="Times New Roman" w:cs="Times New Roman" w:eastAsia="Times New Roman" w:hAnsi="Times New Roman"/>
            <w:sz w:val="18"/>
            <w:szCs w:val="18"/>
            <w:color w:val="000000"/>
          </w:rPr>
          <w:t xml:space="preserve">and the Company’s Current Reports on Form 8-K/A filed with the Commission </w:t>
        </w:r>
      </w:hyperlink>
      <w:r>
        <w:rPr>
          <w:rFonts w:ascii="Times New Roman" w:cs="Times New Roman" w:eastAsia="Times New Roman" w:hAnsi="Times New Roman"/>
          <w:sz w:val="18"/>
          <w:szCs w:val="18"/>
          <w:color w:val="0000EE"/>
        </w:rPr>
        <w:t xml:space="preserve">on </w:t>
      </w:r>
      <w:hyperlink r:id="rId25">
        <w:r>
          <w:rPr>
            <w:rFonts w:ascii="Times New Roman" w:cs="Times New Roman" w:eastAsia="Times New Roman" w:hAnsi="Times New Roman"/>
            <w:sz w:val="18"/>
            <w:szCs w:val="18"/>
            <w:u w:val="single" w:color="auto"/>
            <w:color w:val="0000EE"/>
          </w:rPr>
          <w:t>June 26,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 xml:space="preserve">August 14, 2020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September 29,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71" w:lineRule="exact"/>
        <w:rPr>
          <w:rFonts w:ascii="Times New Roman" w:cs="Times New Roman" w:eastAsia="Times New Roman" w:hAnsi="Times New Roman"/>
          <w:sz w:val="18"/>
          <w:szCs w:val="18"/>
          <w:color w:val="0000EE"/>
        </w:rPr>
      </w:pPr>
    </w:p>
    <w:p>
      <w:pPr>
        <w:ind w:left="440" w:right="260" w:firstLine="419"/>
        <w:spacing w:after="0" w:line="266" w:lineRule="auto"/>
        <w:tabs>
          <w:tab w:leader="none" w:pos="1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contained in the Company’s Registration Statement on </w:t>
      </w:r>
      <w:hyperlink r:id="rId2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June 18, 2014 (File No. 001-36510), together with any amendment thereto filed with the Commission for the purpose of updating such description.</w:t>
      </w:r>
    </w:p>
    <w:p>
      <w:pPr>
        <w:spacing w:after="0" w:line="176" w:lineRule="exact"/>
        <w:rPr>
          <w:rFonts w:ascii="Times New Roman" w:cs="Times New Roman" w:eastAsia="Times New Roman" w:hAnsi="Times New Roman"/>
          <w:sz w:val="18"/>
          <w:szCs w:val="18"/>
          <w:color w:val="0000EE"/>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All reports and other documents filed by the Company with the Commission pursuant to Sections 13(a), 13(c), 14 and 15(d) of the Exchange Act (other than information furnished under Item 2.02 or 7.01 of Form 8-K and exhibits furnished on such form that relate to such items unless such form expressly provides to the contrary) after the date hereof and prior to the filing of a 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 or reports.</w:t>
      </w:r>
    </w:p>
    <w:p>
      <w:pPr>
        <w:spacing w:after="0" w:line="183" w:lineRule="exact"/>
        <w:rPr>
          <w:rFonts w:ascii="Times New Roman" w:cs="Times New Roman" w:eastAsia="Times New Roman" w:hAnsi="Times New Roman"/>
          <w:sz w:val="18"/>
          <w:szCs w:val="18"/>
          <w:color w:val="0000EE"/>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additionally incorporates by reference to the Company’s Definitive Proxy Statement on Form DEFM 14-A, filed on April 29, 2020, the description of the business of Chondrial Therapeutics, Inc. contained under the heading “Chondrial’s Business.”</w:t>
      </w:r>
    </w:p>
    <w:p>
      <w:pPr>
        <w:spacing w:after="0" w:line="162" w:lineRule="exact"/>
        <w:rPr>
          <w:rFonts w:ascii="Times New Roman" w:cs="Times New Roman" w:eastAsia="Times New Roman" w:hAnsi="Times New Roman"/>
          <w:sz w:val="18"/>
          <w:szCs w:val="18"/>
          <w:color w:val="0000EE"/>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Registration Statement, any document or any statement contained in a document incorporated or deemed to be incorporated herein by reference shall be deemed to be modified or superseded to the extent that a subsequently filed document or a statement contained therein, or in any other subsequently filed document which also is or is deemed to be incorporated by reference, modifies or supersedes such document or such statement in such document. Any statement so modified or superseded shall not be deemed, except as so modified or superseded, to constitute a part of this Registration Statement.</w:t>
      </w:r>
    </w:p>
    <w:p>
      <w:pPr>
        <w:spacing w:after="0" w:line="328" w:lineRule="exact"/>
        <w:rPr>
          <w:rFonts w:ascii="Times New Roman" w:cs="Times New Roman" w:eastAsia="Times New Roman" w:hAnsi="Times New Roman"/>
          <w:sz w:val="18"/>
          <w:szCs w:val="18"/>
          <w:color w:val="0000EE"/>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21" w:lineRule="exact"/>
        <w:rPr>
          <w:rFonts w:ascii="Times New Roman" w:cs="Times New Roman" w:eastAsia="Times New Roman" w:hAnsi="Times New Roman"/>
          <w:sz w:val="18"/>
          <w:szCs w:val="18"/>
          <w:color w:val="0000EE"/>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80"/>
          </w:cols>
          <w:pgMar w:left="440" w:top="266" w:right="479" w:bottom="1440" w:gutter="0" w:footer="0" w:header="0"/>
        </w:sectPr>
      </w:pPr>
    </w:p>
    <w:bookmarkStart w:id="4" w:name="page5"/>
    <w:bookmarkEnd w:id="4"/>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Company is governed by the Delaware General Corporation Law, or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9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Company’s Ninth Amended and Restated Certificate of Incorporation, as amended, or the Charter, provides for the indemnification of directors to the fullest extent permissible under Delaware law. Accordingly, the Company’s directors will not be personally liable for monetary damages for breach of their fiduciary duty as directors, except for liabilities:</w:t>
      </w:r>
    </w:p>
    <w:p>
      <w:pPr>
        <w:spacing w:after="0" w:line="81" w:lineRule="exact"/>
        <w:rPr>
          <w:sz w:val="20"/>
          <w:szCs w:val="20"/>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the Company or its stockholders;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unlawful payments of dividends or unlawful stock repurchases or redemptions, as provided under Section 174 of the DGCL; or</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Company’s amended and restated bylaws, or the Bylaws, provide for the indemnification of officers and directors acting on the Company’s behalf if such persons act in good faith and in a manner reasonably believed to be in and not opposed to the Company’s best interest, and, with respect to any criminal action or proceeding, such indemnified party had no reason to believe his or her conduct was unlawful.</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the Company’s directors and certain of its executive officers. These agreements provide that the Company will indemnify each of its directors and certain of its executive officers to the fullest extent permitted by law. The Company intends to enter into indemnification agreements with any new directors and executive officers in the future.</w:t>
      </w:r>
    </w:p>
    <w:p>
      <w:pPr>
        <w:spacing w:after="0" w:line="176" w:lineRule="exact"/>
        <w:rPr>
          <w:sz w:val="20"/>
          <w:szCs w:val="20"/>
          <w:color w:val="auto"/>
        </w:rPr>
      </w:pPr>
    </w:p>
    <w:p>
      <w:pPr>
        <w:jc w:val="both"/>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also maintains a general liability insurance policy which covers certain liabilities of directors and officers of the Company arising out of claims based on acts or omissions in their capacities as directors or officers.</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believes that the limitation of liability provision in the Charter and the indemnification agreements facilitate its ability to continue to attract and retain qualified individuals to serve as directors and officers. The limitation of liability and indemnification provisions in the Charter and Bylaws may discourage</w:t>
      </w:r>
    </w:p>
    <w:p>
      <w:pPr>
        <w:sectPr>
          <w:pgSz w:w="11900" w:h="16838" w:orient="portrait"/>
          <w:cols w:equalWidth="0" w:num="1">
            <w:col w:w="11000"/>
          </w:cols>
          <w:pgMar w:left="440" w:top="266" w:right="459" w:bottom="1440" w:gutter="0" w:footer="0" w:header="0"/>
        </w:sectPr>
      </w:pPr>
    </w:p>
    <w:bookmarkStart w:id="5" w:name="page6"/>
    <w:bookmarkEnd w:id="5"/>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stockholders from bringing a lawsuit against directors for breach of their fiduciary duties. They may also reduce the likelihood of derivative litigation against directors and officers, even though an action, if successful, might benefit the Company and its stockholders. A stockholder’s investment may be harmed to the extent the Company pays the costs of settlement and damage awards against directors and officers pursuant to these indemnification provisions.</w:t>
      </w:r>
    </w:p>
    <w:p>
      <w:pPr>
        <w:spacing w:after="0" w:line="324"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20" w:type="dxa"/>
            <w:vAlign w:val="bottom"/>
            <w:gridSpan w:val="12"/>
            <w:vMerge w:val="restart"/>
          </w:tcPr>
          <w:p>
            <w:pPr>
              <w:ind w:left="27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420" w:type="dxa"/>
            <w:vAlign w:val="bottom"/>
            <w:tcBorders>
              <w:bottom w:val="single" w:sz="8" w:color="auto"/>
            </w:tcBorders>
            <w:gridSpan w:val="1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2"/>
                <w:szCs w:val="22"/>
                <w:color w:val="auto"/>
              </w:rPr>
            </w:pPr>
          </w:p>
        </w:tc>
        <w:tc>
          <w:tcPr>
            <w:tcW w:w="9980" w:type="dxa"/>
            <w:vAlign w:val="bottom"/>
            <w:gridSpan w:val="14"/>
          </w:tcPr>
          <w:p>
            <w:pPr>
              <w:spacing w:after="0"/>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Ninth Amended and Restated Certificate of Incorporation of Larimar Therapeutics, Inc. (incorporated herein by reference to Exhibit 3.1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the Company’s Current Report on Form 8-K (File No. 001-36510) filed on June 24, 2014)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8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Certificate of Amendment of Ninth Amended and Restated Certificate of Incorporation of Zafgen, Inc. related to the Reverse Stock Split,</w:t>
              </w:r>
            </w:hyperlink>
          </w:p>
        </w:tc>
        <w:tc>
          <w:tcPr>
            <w:tcW w:w="1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dated May 28, 2020 (incorporated herein by reference to Exhibit 3.1 to the Company’s Current Report on Form 8-K (File No. 001-36510)</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4"/>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filed on June 2,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24"/>
                <w:szCs w:val="24"/>
                <w:color w:val="auto"/>
              </w:rPr>
            </w:pPr>
          </w:p>
        </w:tc>
        <w:tc>
          <w:tcPr>
            <w:tcW w:w="99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Certificate of Amendment of Ninth Amended and Restated Certificate of Incorporation of Zafgen, Inc. related to the Name Change, dated</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4"/>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May 28, 2020 (incorporated herein by reference to Exhibit 3.2 to the Company’s Current Report on Form 8-K (File No. 001-36510) filed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33">
              <w:r>
                <w:rPr>
                  <w:rFonts w:ascii="Times New Roman" w:cs="Times New Roman" w:eastAsia="Times New Roman" w:hAnsi="Times New Roman"/>
                  <w:sz w:val="18"/>
                  <w:szCs w:val="18"/>
                  <w:color w:val="0000EE"/>
                  <w:w w:val="98"/>
                </w:rPr>
                <w:t>on June 2, 2020)</w:t>
              </w:r>
            </w:hyperlink>
          </w:p>
        </w:tc>
        <w:tc>
          <w:tcPr>
            <w:tcW w:w="8700" w:type="dxa"/>
            <w:vAlign w:val="bottom"/>
            <w:tcBorders>
              <w:top w:val="single" w:sz="8" w:color="0000EE"/>
            </w:tcBorders>
            <w:gridSpan w:val="9"/>
          </w:tcPr>
          <w:p>
            <w:pPr>
              <w:spacing w:after="0"/>
              <w:rPr>
                <w:sz w:val="17"/>
                <w:szCs w:val="17"/>
                <w:color w:val="auto"/>
              </w:rPr>
            </w:pPr>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540" w:type="dxa"/>
            <w:vAlign w:val="bottom"/>
          </w:tcPr>
          <w:p>
            <w:pPr>
              <w:spacing w:after="0"/>
              <w:rPr>
                <w:sz w:val="24"/>
                <w:szCs w:val="24"/>
                <w:color w:val="auto"/>
              </w:rPr>
            </w:pPr>
          </w:p>
        </w:tc>
        <w:tc>
          <w:tcPr>
            <w:tcW w:w="98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Amended and Restated Bylaws of Larimar Therapeutics, Inc. (incorporated herein by reference to Exhibit 3.2 to the Company’s Current</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34">
              <w:r>
                <w:rPr>
                  <w:rFonts w:ascii="Times New Roman" w:cs="Times New Roman" w:eastAsia="Times New Roman" w:hAnsi="Times New Roman"/>
                  <w:sz w:val="18"/>
                  <w:szCs w:val="18"/>
                  <w:color w:val="0000EE"/>
                  <w:w w:val="99"/>
                </w:rPr>
                <w:t>Report on Form 8-K (File No. 001-36510) filed on June 24, 2014)</w:t>
              </w:r>
            </w:hyperlink>
          </w:p>
        </w:tc>
        <w:tc>
          <w:tcPr>
            <w:tcW w:w="52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540" w:type="dxa"/>
            <w:vAlign w:val="bottom"/>
          </w:tcPr>
          <w:p>
            <w:pPr>
              <w:spacing w:after="0"/>
              <w:rPr>
                <w:sz w:val="24"/>
                <w:szCs w:val="24"/>
                <w:color w:val="auto"/>
              </w:rPr>
            </w:pPr>
          </w:p>
        </w:tc>
        <w:tc>
          <w:tcPr>
            <w:tcW w:w="99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Larimar Therapeutics, Inc. 2020 Equity Incentive Plan (incorporated herein by reference to Exhibit 10.1 to the Company’s Current Report</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4"/>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on Form 8-K/A (File No. 001-36510) filed on September 29,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40" w:type="dxa"/>
            <w:vAlign w:val="bottom"/>
            <w:gridSpan w:val="4"/>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of Stock Option Grant Notice and Award Agreement (incorporated herein by reference to Exhibit 10.2 to the Company’s Current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Report on Form 8-K/A (File No. 001-36510) filed on September 29, 2020)</w:t>
              </w:r>
            </w:hyperlink>
          </w:p>
        </w:tc>
        <w:tc>
          <w:tcPr>
            <w:tcW w:w="4320" w:type="dxa"/>
            <w:vAlign w:val="bottom"/>
            <w:tcBorders>
              <w:top w:val="single" w:sz="8" w:color="0000EE"/>
            </w:tcBorders>
            <w:gridSpan w:val="2"/>
          </w:tcPr>
          <w:p>
            <w:pPr>
              <w:spacing w:after="0"/>
              <w:rPr>
                <w:sz w:val="17"/>
                <w:szCs w:val="17"/>
                <w:color w:val="auto"/>
              </w:rPr>
            </w:pPr>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Opinion of Troutman Pepper Hamilton Sanders LLP as to the legality of the securities being registered</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u w:val="single" w:color="auto"/>
                <w:color w:val="0000EE"/>
              </w:rPr>
            </w:pPr>
            <w:hyperlink w:anchor="page11">
              <w:r>
                <w:rPr>
                  <w:rFonts w:ascii="Times New Roman" w:cs="Times New Roman" w:eastAsia="Times New Roman" w:hAnsi="Times New Roman"/>
                  <w:sz w:val="18"/>
                  <w:szCs w:val="18"/>
                  <w:u w:val="single" w:color="auto"/>
                  <w:color w:val="0000EE"/>
                </w:rPr>
                <w:t>Consent of PricewaterhouseCoopers LLP, independent registered public accounting firm for Larimar Therapeutics, Inc.</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Consent of PricewaterhouseCoopers LLP, independent registered public accounting firm for Larimar Therapeutics, Inc.</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54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Consent of Troutman Pepper Hamilton Sanders LLP (contained in Exhibit 5.1)</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9980" w:type="dxa"/>
            <w:vAlign w:val="bottom"/>
            <w:gridSpan w:val="14"/>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Powers of Attorney (included on the signature page of the Registration Statement)</w:t>
              </w:r>
            </w:hyperlink>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1104" w:hanging="241"/>
        <w:spacing w:after="0"/>
        <w:tabs>
          <w:tab w:leader="none" w:pos="11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Company hereby undertakes:</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2024" w:hanging="209"/>
        <w:spacing w:after="0"/>
        <w:tabs>
          <w:tab w:leader="none" w:pos="202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1424" w:right="300" w:firstLine="391"/>
        <w:spacing w:after="0" w:line="282" w:lineRule="auto"/>
        <w:tabs>
          <w:tab w:leader="none" w:pos="207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w:t>
      </w:r>
    </w:p>
    <w:p>
      <w:pPr>
        <w:sectPr>
          <w:pgSz w:w="11900" w:h="16838" w:orient="portrait"/>
          <w:cols w:equalWidth="0" w:num="1">
            <w:col w:w="11024"/>
          </w:cols>
          <w:pgMar w:left="436" w:top="270" w:right="439" w:bottom="1440" w:gutter="0" w:footer="0" w:header="0"/>
        </w:sectPr>
      </w:pPr>
    </w:p>
    <w:bookmarkStart w:id="6" w:name="page7"/>
    <w:bookmarkEnd w:id="6"/>
    <w:p>
      <w:pPr>
        <w:ind w:left="9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75" w:lineRule="exact"/>
        <w:rPr>
          <w:sz w:val="20"/>
          <w:szCs w:val="20"/>
          <w:color w:val="auto"/>
        </w:rPr>
      </w:pPr>
    </w:p>
    <w:p>
      <w:pPr>
        <w:ind w:left="980" w:right="280" w:firstLine="391"/>
        <w:spacing w:after="0" w:line="282" w:lineRule="auto"/>
        <w:tabs>
          <w:tab w:leader="none" w:pos="1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shall not apply if the information required to be included on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periodic reports filed by or furnished to the Commission by the Company pursuant to Section 13 or Section 15(d) of the Exchange Act that are incorporated by reference in this Registration Statement.</w:t>
      </w:r>
    </w:p>
    <w:p>
      <w:pPr>
        <w:spacing w:after="0" w:line="67" w:lineRule="exact"/>
        <w:rPr>
          <w:sz w:val="20"/>
          <w:szCs w:val="20"/>
          <w:color w:val="auto"/>
        </w:rPr>
      </w:pPr>
    </w:p>
    <w:p>
      <w:pPr>
        <w:jc w:val="both"/>
        <w:ind w:left="540" w:right="120" w:firstLine="408"/>
        <w:spacing w:after="0" w:line="266" w:lineRule="auto"/>
        <w:tabs>
          <w:tab w:leader="none" w:pos="11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67" w:lineRule="exact"/>
        <w:rPr>
          <w:rFonts w:ascii="Times New Roman" w:cs="Times New Roman" w:eastAsia="Times New Roman" w:hAnsi="Times New Roman"/>
          <w:sz w:val="18"/>
          <w:szCs w:val="18"/>
          <w:color w:val="auto"/>
        </w:rPr>
      </w:pPr>
    </w:p>
    <w:p>
      <w:pPr>
        <w:ind w:left="540" w:right="120" w:firstLine="408"/>
        <w:spacing w:after="0" w:line="282" w:lineRule="auto"/>
        <w:tabs>
          <w:tab w:leader="none" w:pos="11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75" w:lineRule="exact"/>
        <w:rPr>
          <w:rFonts w:ascii="Times New Roman" w:cs="Times New Roman" w:eastAsia="Times New Roman" w:hAnsi="Times New Roman"/>
          <w:sz w:val="18"/>
          <w:szCs w:val="18"/>
          <w:color w:val="auto"/>
        </w:rPr>
      </w:pPr>
    </w:p>
    <w:p>
      <w:pPr>
        <w:ind w:firstLine="419"/>
        <w:spacing w:after="0" w:line="254" w:lineRule="auto"/>
        <w:tabs>
          <w:tab w:leader="none" w:pos="6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560"/>
          </w:cols>
          <w:pgMar w:left="880" w:top="270" w:right="4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Bala Cynwyd, Commonwealth of Pennsylvania, on this 2nd day of October, 2020.</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Carole Ben-Maimon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Carole Ben-Maimon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KNOW ALL PERSONS BY THESE PRESENTS</w:t>
      </w:r>
      <w:r>
        <w:rPr>
          <w:rFonts w:ascii="Times New Roman" w:cs="Times New Roman" w:eastAsia="Times New Roman" w:hAnsi="Times New Roman"/>
          <w:sz w:val="18"/>
          <w:szCs w:val="18"/>
          <w:color w:val="auto"/>
        </w:rPr>
        <w:t>, that each person whose signature appears below hereby constitutes and appoints Carole Ben-Maimon and Michael Celano, and each of them, as his or her true and lawful attorney-in-fact and agent with full power of substitution, for him or her in any and all capacities, to sign any and all amendments to this Registration Statement (including post-effective amendments thereto), and to file the same, with all exhibits thereto and other documents in connection therewith, with the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substitute, may lawfully do or cause to be done by virtue hereof.</w:t>
      </w:r>
    </w:p>
    <w:p>
      <w:pPr>
        <w:spacing w:after="0" w:line="18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20" w:type="dxa"/>
            <w:vAlign w:val="bottom"/>
          </w:tcPr>
          <w:p>
            <w:pPr>
              <w:spacing w:after="0"/>
              <w:rPr>
                <w:sz w:val="16"/>
                <w:szCs w:val="16"/>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12"/>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Carole Ben-Maimon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Carole Ben-Maimon</w:t>
            </w:r>
          </w:p>
        </w:tc>
        <w:tc>
          <w:tcPr>
            <w:tcW w:w="120" w:type="dxa"/>
            <w:vAlign w:val="bottom"/>
          </w:tcPr>
          <w:p>
            <w:pPr>
              <w:spacing w:after="0"/>
              <w:rPr>
                <w:sz w:val="19"/>
                <w:szCs w:val="19"/>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Celano</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Celano</w:t>
            </w:r>
          </w:p>
        </w:tc>
        <w:tc>
          <w:tcPr>
            <w:tcW w:w="120" w:type="dxa"/>
            <w:vAlign w:val="bottom"/>
          </w:tcPr>
          <w:p>
            <w:pPr>
              <w:spacing w:after="0"/>
              <w:rPr>
                <w:sz w:val="19"/>
                <w:szCs w:val="19"/>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Joseph Truitt</w:t>
            </w:r>
          </w:p>
        </w:tc>
        <w:tc>
          <w:tcPr>
            <w:tcW w:w="120" w:type="dxa"/>
            <w:vAlign w:val="bottom"/>
          </w:tcPr>
          <w:p>
            <w:pPr>
              <w:spacing w:after="0"/>
              <w:rPr>
                <w:sz w:val="24"/>
                <w:szCs w:val="24"/>
                <w:color w:val="auto"/>
              </w:rPr>
            </w:pPr>
          </w:p>
        </w:tc>
        <w:tc>
          <w:tcPr>
            <w:tcW w:w="4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Board of Directors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Joseph Truitt</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Peter Barrett</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Peter Barrett</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O. Daniel</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Thomas O. Daniel</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Thomas Edward Hamilton</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Thomas Edward Hamilton</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Jonathan Leff</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Jonathan Leff</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Frank E. Thomas</w:t>
            </w:r>
          </w:p>
        </w:tc>
        <w:tc>
          <w:tcPr>
            <w:tcW w:w="120" w:type="dxa"/>
            <w:vAlign w:val="bottom"/>
          </w:tcPr>
          <w:p>
            <w:pPr>
              <w:spacing w:after="0"/>
              <w:rPr>
                <w:sz w:val="24"/>
                <w:szCs w:val="24"/>
                <w:color w:val="auto"/>
              </w:rPr>
            </w:pPr>
          </w:p>
        </w:tc>
        <w:tc>
          <w:tcPr>
            <w:tcW w:w="4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2, 2020</w:t>
            </w:r>
          </w:p>
        </w:tc>
      </w:tr>
      <w:tr>
        <w:trPr>
          <w:trHeight w:val="228"/>
        </w:trPr>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Frank E. Thomas</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 Pepper Hamilton Sanders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5646420</wp:posOffset>
            </wp:positionH>
            <wp:positionV relativeFrom="paragraph">
              <wp:posOffset>-76200</wp:posOffset>
            </wp:positionV>
            <wp:extent cx="1346200"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1346200" cy="61722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 Two Logan Square, Eighteenth and Arch Streets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19103-2799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troutman.com</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35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Reference is made to the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of Larimar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filed on the date hereof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Registration Statement covers an aggregate of 3,825,951 shares of the Company’s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which may be issued pursuant to the Company’s 2020 Equity Incentive Plan (the “</w:t>
      </w:r>
      <w:r>
        <w:rPr>
          <w:rFonts w:ascii="Times New Roman" w:cs="Times New Roman" w:eastAsia="Times New Roman" w:hAnsi="Times New Roman"/>
          <w:sz w:val="18"/>
          <w:szCs w:val="18"/>
          <w:b w:val="1"/>
          <w:bCs w:val="1"/>
          <w:color w:val="auto"/>
        </w:rPr>
        <w:t>2020 Plan</w:t>
      </w:r>
      <w:r>
        <w:rPr>
          <w:rFonts w:ascii="Times New Roman" w:cs="Times New Roman" w:eastAsia="Times New Roman" w:hAnsi="Times New Roman"/>
          <w:sz w:val="18"/>
          <w:szCs w:val="18"/>
          <w:color w:val="auto"/>
        </w:rPr>
        <w:t>”). This opinion letter is furnished to you at your request to enable you to fulfill the requirements of Item 601(b)(5) of Regulation S-K, 17 C.F.R. § 229.601(b)(5), in connection with the Registration Statement, and no opinion is expressed herein as to any matter pertaining to the contents of the Registration Statement or related prospectus, other than as expressly stated herein with respect to the issuance of the Shares.</w:t>
      </w:r>
    </w:p>
    <w:p>
      <w:pPr>
        <w:spacing w:after="0" w:line="187"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telecopies).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p>
    <w:p>
      <w:pPr>
        <w:spacing w:after="0" w:line="187"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This opinion letter is based as to matters of law solely on the Delaware General Corporation Law, as amended. We express no opinion herein as to any other statutes, rules or regulations.</w:t>
      </w:r>
    </w:p>
    <w:p>
      <w:pPr>
        <w:sectPr>
          <w:pgSz w:w="11900" w:h="16838" w:orient="portrait"/>
          <w:cols w:equalWidth="0" w:num="1">
            <w:col w:w="11020"/>
          </w:cols>
          <w:pgMar w:left="440" w:top="117" w:right="439" w:bottom="1440" w:gutter="0" w:footer="0" w:header="0"/>
        </w:sectPr>
      </w:pPr>
    </w:p>
    <w:bookmarkStart w:id="9" w:name="page10"/>
    <w:bookmarkEnd w:id="9"/>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5925820</wp:posOffset>
            </wp:positionH>
            <wp:positionV relativeFrom="page">
              <wp:posOffset>182880</wp:posOffset>
            </wp:positionV>
            <wp:extent cx="1346200"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346200" cy="6172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 2020</w:t>
      </w:r>
    </w:p>
    <w:p>
      <w:pPr>
        <w:spacing w:after="0" w:line="207"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Based upon, subject to and limited by the foregoing, we are of the opinion as of the date hereof, when the Shares shall have been duly registered on the books of the transfer agent and registrar therefor in the name or on behalf of the recipients, and have been issued by the Company for legal consideration in excess of par value in the circumstances contemplated by the 2020 Plan, assuming in each case that the individual issuances, grants or awards under the 2020 Plan are duly authorized by all necessary corporate action and duly issued, granted or awarded and exercised in accordance with the requirements of law and the 2020 Plan (and the agreements duly adopted thereunder and in accordance therewith), the issue and sale of the Shares will have been duly authorized by all necessary corporate action of the Company, and the Shares will be validly issued, fully paid, and nonassessable.</w:t>
      </w:r>
    </w:p>
    <w:p>
      <w:pPr>
        <w:spacing w:after="0" w:line="173"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This opinion letter has been prepared for use in connection with the Registration Statement. We assume no obligation to advise you of any changes in the foregoing subsequent to the effective date of the Registration Statement.</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In giving this consent, we do not thereby admit that we are an “expert” within the meaning of the Securities Act or the rules and regulations of the Commission thereunder.</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Troutman Pepper Hamilton Sanders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Troutman Pepper Hamilton Sanders LLP</w:t>
      </w:r>
    </w:p>
    <w:p>
      <w:pPr>
        <w:sectPr>
          <w:pgSz w:w="11900" w:h="16838" w:orient="portrait"/>
          <w:cols w:equalWidth="0" w:num="1">
            <w:col w:w="10900"/>
          </w:cols>
          <w:pgMar w:left="440" w:top="1440" w:right="5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Larimar Therapeutics, Inc. of our report dated March 6, 2020 relating to the financial statements of Chondrial Therapeutics, Inc., which appears in Larimar Therapeutics, Inc.’s Current Report on Form 8-K/A filed on June 26, 2020.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 2020</w:t>
      </w:r>
    </w:p>
    <w:p>
      <w:pPr>
        <w:sectPr>
          <w:pgSz w:w="11900" w:h="16838" w:orient="portrait"/>
          <w:cols w:equalWidth="0" w:num="1">
            <w:col w:w="11020"/>
          </w:cols>
          <w:pgMar w:left="440" w:top="117" w:right="4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Larimar Therapeutics, Inc. of our report dated March 5, 2020, relating to the financial statements of Zafgen, Inc., which appears in Zafgen, Inc’s Annual Report on Form 10-K for the year ended December 31,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4"/>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5BD062C2"/>
    <w:multiLevelType w:val="hybridMultilevel"/>
    <w:lvl w:ilvl="0">
      <w:lvlJc w:val="left"/>
      <w:lvlText w:val="(%1)"/>
      <w:numFmt w:val="lowerRoman"/>
      <w:start w:val="3"/>
    </w:lvl>
  </w:abstractNum>
  <w:abstractNum w:abstractNumId="8">
    <w:nsid w:val="12200854"/>
    <w:multiLevelType w:val="hybridMultilevel"/>
    <w:lvl w:ilvl="0">
      <w:lvlJc w:val="left"/>
      <w:lvlText w:val="%1"/>
      <w:numFmt w:val="lowerLetter"/>
      <w:start w:val="1"/>
    </w:lvl>
    <w:lvl w:ilvl="1">
      <w:lvlJc w:val="left"/>
      <w:lvlText w:val="(%2)"/>
      <w:numFmt w:val="decimal"/>
      <w:start w:val="2"/>
    </w:lvl>
  </w:abstractNum>
  <w:abstractNum w:abstractNumId="9">
    <w:nsid w:val="4DB127F8"/>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jpeg"/><Relationship Id="rId41" Type="http://schemas.openxmlformats.org/officeDocument/2006/relationships/image" Target="media/image16.png"/><Relationship Id="rId42" Type="http://schemas.openxmlformats.org/officeDocument/2006/relationships/image" Target="media/image17.jpeg"/><Relationship Id="rId43" Type="http://schemas.openxmlformats.org/officeDocument/2006/relationships/image" Target="media/image18.png"/><Relationship Id="rId17" Type="http://schemas.openxmlformats.org/officeDocument/2006/relationships/hyperlink" Target="http://www.sec.gov/Archives/edgar/data/1374690/000156459020008984/zfgn-10k_20191231.htm" TargetMode="External"/><Relationship Id="rId18" Type="http://schemas.openxmlformats.org/officeDocument/2006/relationships/hyperlink" Target="http://www.sec.gov/Archives/edgar/data/1374690/000156459020022942/zfgn-10q_20200331.htm" TargetMode="External"/><Relationship Id="rId19" Type="http://schemas.openxmlformats.org/officeDocument/2006/relationships/hyperlink" Target="http://www.sec.gov/Archives/edgar/data/1374690/000156459020040314/lrmr-10q_20200630.htm" TargetMode="External"/><Relationship Id="rId20" Type="http://schemas.openxmlformats.org/officeDocument/2006/relationships/hyperlink" Target="http://www.sec.gov/Archives/edgar/data/1374690/000119312520125890/d853876ddefm14a.htm" TargetMode="External"/><Relationship Id="rId21" Type="http://schemas.openxmlformats.org/officeDocument/2006/relationships/hyperlink" Target="http://www.sec.gov/Archives/edgar/data/1374690/000119312520119225/d895301d8k.htm" TargetMode="External"/><Relationship Id="rId22" Type="http://schemas.openxmlformats.org/officeDocument/2006/relationships/hyperlink" Target="http://www.sec.gov/Archives/edgar/data/1374690/000119312520157924/d936040d8k.htm" TargetMode="External"/><Relationship Id="rId23" Type="http://schemas.openxmlformats.org/officeDocument/2006/relationships/hyperlink" Target="http://www.sec.gov/Archives/edgar/data/1374690/000119312520211426/d82303d8k.htm" TargetMode="External"/><Relationship Id="rId24" Type="http://schemas.openxmlformats.org/officeDocument/2006/relationships/hyperlink" Target="http://www.sec.gov/Archives/edgar/data/1374690/000119312520257168/d887315d8k.htm" TargetMode="External"/><Relationship Id="rId25" Type="http://schemas.openxmlformats.org/officeDocument/2006/relationships/hyperlink" Target="http://www.sec.gov/Archives/edgar/data/1374690/000119312520181113/d947173d8ka.htm" TargetMode="External"/><Relationship Id="rId26" Type="http://schemas.openxmlformats.org/officeDocument/2006/relationships/hyperlink" Target="http://www.sec.gov/Archives/edgar/data/1374690/000119312520220561/d29226d8ka.htm" TargetMode="External"/><Relationship Id="rId27" Type="http://schemas.openxmlformats.org/officeDocument/2006/relationships/hyperlink" Target="http://www.sec.gov/Archives/edgar/data/1374690/000119312520257868/d887315d8ka.htm" TargetMode="External"/><Relationship Id="rId28" Type="http://schemas.openxmlformats.org/officeDocument/2006/relationships/hyperlink" Target="http://www.sec.gov/Archives/edgar/data/1374690/000119312514240257/d745277d8a12b.htm" TargetMode="External"/><Relationship Id="rId31" Type="http://schemas.openxmlformats.org/officeDocument/2006/relationships/hyperlink" Target="http://www.sec.gov/Archives/edgar/data/1374690/000119312514247362/d747935dex31.htm" TargetMode="External"/><Relationship Id="rId32" Type="http://schemas.openxmlformats.org/officeDocument/2006/relationships/hyperlink" Target="http://www.sec.gov/Archives/edgar/data/1374690/000119312520157924/d936040dex31.htm" TargetMode="External"/><Relationship Id="rId33" Type="http://schemas.openxmlformats.org/officeDocument/2006/relationships/hyperlink" Target="http://www.sec.gov/Archives/edgar/data/1374690/000119312520157924/d936040dex32.htm" TargetMode="External"/><Relationship Id="rId34" Type="http://schemas.openxmlformats.org/officeDocument/2006/relationships/hyperlink" Target="http://www.sec.gov/Archives/edgar/data/1374690/000119312514247362/d747935dex32.htm" TargetMode="External"/><Relationship Id="rId35" Type="http://schemas.openxmlformats.org/officeDocument/2006/relationships/hyperlink" Target="http://www.sec.gov/Archives/edgar/data/1374690/000119312520257868/d887315dex101.htm" TargetMode="External"/><Relationship Id="rId36" Type="http://schemas.openxmlformats.org/officeDocument/2006/relationships/hyperlink" Target="http://www.sec.gov/Archives/edgar/data/1374690/000119312520257868/d88731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2020-10-02T16:22:32Z</dcterms:created>
  <dcterms:modified xsi:type="dcterms:W3CDTF">2020-10-02T16:22:32Z</dcterms:modified>
</cp:coreProperties>
</file>