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872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87299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Truitt Joseph</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160"/>
        <w:spacing w:after="0" w:line="336" w:lineRule="auto"/>
        <w:rPr>
          <w:sz w:val="20"/>
          <w:szCs w:val="20"/>
          <w:color w:val="auto"/>
        </w:rPr>
      </w:pPr>
      <w:r>
        <w:rPr>
          <w:rFonts w:ascii="Times New Roman" w:cs="Times New Roman" w:eastAsia="Times New Roman" w:hAnsi="Times New Roman"/>
          <w:sz w:val="16"/>
          <w:szCs w:val="16"/>
          <w:color w:val="0000FF"/>
        </w:rPr>
        <w:t>C/O LARIMAR THERAPEUTICS, INC. THREE BALA PLAZA EAST, SUITE 506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jc w:val="center"/>
        <w:ind w:right="140"/>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Larimar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LRMR</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05/13/2025</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25"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09"/>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80" w:type="dxa"/>
            <w:vAlign w:val="bottom"/>
            <w:gridSpan w:val="8"/>
          </w:tcPr>
          <w:p>
            <w:pPr>
              <w:jc w:val="center"/>
              <w:ind w:right="41"/>
              <w:spacing w:after="0" w:line="110" w:lineRule="exact"/>
              <w:rPr>
                <w:sz w:val="20"/>
                <w:szCs w:val="20"/>
                <w:color w:val="auto"/>
              </w:rPr>
            </w:pPr>
            <w:r>
              <w:rPr>
                <w:rFonts w:ascii="Arial" w:cs="Arial" w:eastAsia="Arial" w:hAnsi="Arial"/>
                <w:sz w:val="12"/>
                <w:szCs w:val="12"/>
                <w:color w:val="auto"/>
              </w:rPr>
              <w:t>4. If Amendment, Date of Original Filed (Month/Day/Year)</w:t>
            </w:r>
          </w:p>
        </w:tc>
        <w:tc>
          <w:tcPr>
            <w:tcW w:w="3640" w:type="dxa"/>
            <w:vAlign w:val="bottom"/>
            <w:gridSpan w:val="10"/>
          </w:tcPr>
          <w:p>
            <w:pPr>
              <w:ind w:left="300"/>
              <w:spacing w:after="0" w:line="110"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BALA</w:t>
            </w:r>
          </w:p>
        </w:tc>
        <w:tc>
          <w:tcPr>
            <w:tcW w:w="640" w:type="dxa"/>
            <w:vAlign w:val="bottom"/>
          </w:tcPr>
          <w:p>
            <w:pPr>
              <w:spacing w:after="0"/>
              <w:rPr>
                <w:sz w:val="11"/>
                <w:szCs w:val="11"/>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82"/>
              </w:rPr>
              <w:t>PA</w:t>
            </w:r>
          </w:p>
        </w:tc>
        <w:tc>
          <w:tcPr>
            <w:tcW w:w="980" w:type="dxa"/>
            <w:vAlign w:val="bottom"/>
          </w:tcPr>
          <w:p>
            <w:pPr>
              <w:spacing w:after="0"/>
              <w:rPr>
                <w:sz w:val="11"/>
                <w:szCs w:val="11"/>
                <w:color w:val="auto"/>
              </w:rPr>
            </w:pP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19004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CYNWYD</w:t>
            </w:r>
          </w:p>
        </w:tc>
        <w:tc>
          <w:tcPr>
            <w:tcW w:w="2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gridSpan w:val="2"/>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5"/>
          </w:tcPr>
          <w:p>
            <w:pPr>
              <w:ind w:left="76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1.875</w:t>
            </w:r>
          </w:p>
        </w:tc>
        <w:tc>
          <w:tcPr>
            <w:tcW w:w="200" w:type="dxa"/>
            <w:vAlign w:val="bottom"/>
          </w:tcPr>
          <w:p>
            <w:pPr>
              <w:spacing w:after="0"/>
              <w:rPr>
                <w:sz w:val="16"/>
                <w:szCs w:val="16"/>
                <w:color w:val="auto"/>
              </w:rPr>
            </w:pPr>
          </w:p>
        </w:tc>
        <w:tc>
          <w:tcPr>
            <w:tcW w:w="98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05/13/2025</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19,000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05/13/2035</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19,000</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19,000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50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vest on the earlier of (a) May 13, 2026 or (b) the date of the Company's next annual meeting of stockholders, in each case subject to the Reporting Person's continued service on the Board of Directors of the Company.</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Jennifer Johansson,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05/14/2025</w:t>
            </w:r>
          </w:p>
        </w:tc>
        <w:tc>
          <w:tcPr>
            <w:tcW w:w="0" w:type="dxa"/>
            <w:vAlign w:val="bottom"/>
          </w:tcPr>
          <w:p>
            <w:pPr>
              <w:spacing w:after="0"/>
              <w:rPr>
                <w:sz w:val="1"/>
                <w:szCs w:val="1"/>
                <w:color w:val="auto"/>
              </w:rPr>
            </w:pPr>
          </w:p>
        </w:tc>
      </w:tr>
      <w:tr>
        <w:trPr>
          <w:trHeight w:val="88"/>
        </w:trPr>
        <w:tc>
          <w:tcPr>
            <w:tcW w:w="150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Attorney-in-fact</w:t>
            </w:r>
          </w:p>
        </w:tc>
        <w:tc>
          <w:tcPr>
            <w:tcW w:w="70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50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452429" TargetMode="External"/><Relationship Id="rId14" Type="http://schemas.openxmlformats.org/officeDocument/2006/relationships/hyperlink" Target="http://www.sec.gov/cgi-bin/browse-edgar?action=getcompany&amp;CIK=00013746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2025-05-14T15:41:15Z</dcterms:created>
  <dcterms:modified xsi:type="dcterms:W3CDTF">2025-05-14T15:41:15Z</dcterms:modified>
</cp:coreProperties>
</file>