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181" w:lineRule="exact"/>
        <w:rPr>
          <w:sz w:val="24"/>
          <w:szCs w:val="24"/>
          <w:color w:val="auto"/>
        </w:rPr>
      </w:pPr>
    </w:p>
    <w:p>
      <w:pPr>
        <w:jc w:val="center"/>
        <w:ind w:right="-99"/>
        <w:spacing w:after="0"/>
        <w:rPr>
          <w:sz w:val="20"/>
          <w:szCs w:val="20"/>
          <w:color w:val="auto"/>
        </w:rPr>
      </w:pPr>
      <w:r>
        <w:rPr>
          <w:rFonts w:ascii="Arial" w:cs="Arial" w:eastAsia="Arial" w:hAnsi="Arial"/>
          <w:sz w:val="30"/>
          <w:szCs w:val="30"/>
          <w:b w:val="1"/>
          <w:bCs w:val="1"/>
          <w:color w:val="auto"/>
        </w:rPr>
        <w:t>SCHEDULE 13G</w:t>
      </w:r>
    </w:p>
    <w:p>
      <w:pPr>
        <w:spacing w:after="0" w:line="31" w:lineRule="exact"/>
        <w:rPr>
          <w:sz w:val="24"/>
          <w:szCs w:val="24"/>
          <w:color w:val="auto"/>
        </w:rPr>
      </w:pPr>
    </w:p>
    <w:p>
      <w:pPr>
        <w:ind w:left="5040"/>
        <w:spacing w:after="0"/>
        <w:rPr>
          <w:sz w:val="20"/>
          <w:szCs w:val="20"/>
          <w:color w:val="auto"/>
        </w:rPr>
      </w:pPr>
      <w:r>
        <w:rPr>
          <w:rFonts w:ascii="Arial" w:cs="Arial" w:eastAsia="Arial" w:hAnsi="Arial"/>
          <w:sz w:val="22"/>
          <w:szCs w:val="22"/>
          <w:b w:val="1"/>
          <w:bCs w:val="1"/>
          <w:color w:val="auto"/>
        </w:rPr>
        <w:t>(Rule 13d-102)</w:t>
      </w:r>
    </w:p>
    <w:p>
      <w:pPr>
        <w:spacing w:after="0" w:line="182" w:lineRule="exact"/>
        <w:rPr>
          <w:sz w:val="24"/>
          <w:szCs w:val="24"/>
          <w:color w:val="auto"/>
        </w:rPr>
      </w:pPr>
    </w:p>
    <w:p>
      <w:pPr>
        <w:ind w:left="3020"/>
        <w:spacing w:after="0"/>
        <w:rPr>
          <w:sz w:val="20"/>
          <w:szCs w:val="20"/>
          <w:color w:val="auto"/>
        </w:rPr>
      </w:pPr>
      <w:r>
        <w:rPr>
          <w:rFonts w:ascii="Arial" w:cs="Arial" w:eastAsia="Arial" w:hAnsi="Arial"/>
          <w:sz w:val="22"/>
          <w:szCs w:val="22"/>
          <w:b w:val="1"/>
          <w:bCs w:val="1"/>
          <w:color w:val="auto"/>
        </w:rPr>
        <w:t>Information Statement Pursuant to Rules 13d-1 and 13d-2</w:t>
      </w:r>
    </w:p>
    <w:p>
      <w:pPr>
        <w:spacing w:after="0" w:line="4"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Under the Securities Exchange Act of 1934</w:t>
      </w:r>
    </w:p>
    <w:p>
      <w:pPr>
        <w:jc w:val="center"/>
        <w:ind w:right="-99"/>
        <w:spacing w:after="0"/>
        <w:rPr>
          <w:sz w:val="20"/>
          <w:szCs w:val="20"/>
          <w:color w:val="auto"/>
        </w:rPr>
      </w:pPr>
      <w:r>
        <w:rPr>
          <w:rFonts w:ascii="Arial" w:cs="Arial" w:eastAsia="Arial" w:hAnsi="Arial"/>
          <w:sz w:val="22"/>
          <w:szCs w:val="22"/>
          <w:b w:val="1"/>
          <w:bCs w:val="1"/>
          <w:color w:val="auto"/>
        </w:rPr>
        <w:t>(Amendment No. 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2174875</wp:posOffset>
            </wp:positionH>
            <wp:positionV relativeFrom="paragraph">
              <wp:posOffset>201930</wp:posOffset>
            </wp:positionV>
            <wp:extent cx="29159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pacing w:after="0" w:line="392"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ZAFGEN, INC.</w:t>
      </w:r>
    </w:p>
    <w:p>
      <w:pPr>
        <w:spacing w:after="0" w:line="4" w:lineRule="exact"/>
        <w:rPr>
          <w:sz w:val="24"/>
          <w:szCs w:val="24"/>
          <w:color w:val="auto"/>
        </w:rPr>
      </w:pPr>
    </w:p>
    <w:p>
      <w:pPr>
        <w:ind w:left="1660"/>
        <w:spacing w:after="0"/>
        <w:rPr>
          <w:sz w:val="20"/>
          <w:szCs w:val="20"/>
          <w:color w:val="auto"/>
        </w:rPr>
      </w:pPr>
      <w:r>
        <w:rPr>
          <w:rFonts w:ascii="Arial" w:cs="Arial" w:eastAsia="Arial" w:hAnsi="Arial"/>
          <w:sz w:val="22"/>
          <w:szCs w:val="22"/>
          <w:b w:val="1"/>
          <w:bCs w:val="1"/>
          <w:color w:val="auto"/>
        </w:rPr>
        <w:t>___________________________________________________________________________</w:t>
      </w:r>
    </w:p>
    <w:p>
      <w:pPr>
        <w:ind w:left="4980"/>
        <w:spacing w:after="0"/>
        <w:rPr>
          <w:sz w:val="20"/>
          <w:szCs w:val="20"/>
          <w:color w:val="auto"/>
        </w:rPr>
      </w:pPr>
      <w:r>
        <w:rPr>
          <w:rFonts w:ascii="Arial" w:cs="Arial" w:eastAsia="Arial" w:hAnsi="Arial"/>
          <w:sz w:val="22"/>
          <w:szCs w:val="22"/>
          <w:color w:val="auto"/>
        </w:rPr>
        <w:t>(Name of Issuer)</w:t>
      </w:r>
    </w:p>
    <w:p>
      <w:pPr>
        <w:spacing w:after="0" w:line="182"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Common stock, $0.001</w:t>
      </w:r>
    </w:p>
    <w:p>
      <w:pPr>
        <w:spacing w:after="0" w:line="4" w:lineRule="exact"/>
        <w:rPr>
          <w:sz w:val="24"/>
          <w:szCs w:val="24"/>
          <w:color w:val="auto"/>
        </w:rPr>
      </w:pPr>
    </w:p>
    <w:p>
      <w:pPr>
        <w:ind w:left="1660"/>
        <w:spacing w:after="0"/>
        <w:rPr>
          <w:sz w:val="20"/>
          <w:szCs w:val="20"/>
          <w:color w:val="auto"/>
        </w:rPr>
      </w:pPr>
      <w:r>
        <w:rPr>
          <w:rFonts w:ascii="Arial" w:cs="Arial" w:eastAsia="Arial" w:hAnsi="Arial"/>
          <w:sz w:val="22"/>
          <w:szCs w:val="22"/>
          <w:b w:val="1"/>
          <w:bCs w:val="1"/>
          <w:color w:val="auto"/>
        </w:rPr>
        <w:t>___________________________________________________________________________</w:t>
      </w:r>
    </w:p>
    <w:p>
      <w:pPr>
        <w:jc w:val="center"/>
        <w:ind w:right="-99"/>
        <w:spacing w:after="0"/>
        <w:rPr>
          <w:sz w:val="20"/>
          <w:szCs w:val="20"/>
          <w:color w:val="auto"/>
        </w:rPr>
      </w:pPr>
      <w:r>
        <w:rPr>
          <w:rFonts w:ascii="Arial" w:cs="Arial" w:eastAsia="Arial" w:hAnsi="Arial"/>
          <w:sz w:val="22"/>
          <w:szCs w:val="22"/>
          <w:color w:val="auto"/>
        </w:rPr>
        <w:t>(Title of Class of Securities)</w:t>
      </w:r>
    </w:p>
    <w:p>
      <w:pPr>
        <w:spacing w:after="0" w:line="200" w:lineRule="exact"/>
        <w:rPr>
          <w:sz w:val="24"/>
          <w:szCs w:val="24"/>
          <w:color w:val="auto"/>
        </w:rPr>
      </w:pPr>
    </w:p>
    <w:p>
      <w:pPr>
        <w:spacing w:after="0" w:line="230" w:lineRule="exact"/>
        <w:rPr>
          <w:sz w:val="24"/>
          <w:szCs w:val="24"/>
          <w:color w:val="auto"/>
        </w:rPr>
      </w:pPr>
    </w:p>
    <w:p>
      <w:pPr>
        <w:jc w:val="center"/>
        <w:ind w:right="-99"/>
        <w:spacing w:after="0"/>
        <w:rPr>
          <w:sz w:val="20"/>
          <w:szCs w:val="20"/>
          <w:color w:val="auto"/>
        </w:rPr>
      </w:pPr>
      <w:r>
        <w:rPr>
          <w:rFonts w:ascii="Arial" w:cs="Arial" w:eastAsia="Arial" w:hAnsi="Arial"/>
          <w:sz w:val="20"/>
          <w:szCs w:val="20"/>
          <w:b w:val="1"/>
          <w:bCs w:val="1"/>
          <w:color w:val="auto"/>
        </w:rPr>
        <w:t>98885E103</w:t>
      </w:r>
    </w:p>
    <w:p>
      <w:pPr>
        <w:spacing w:after="0" w:line="21" w:lineRule="exact"/>
        <w:rPr>
          <w:sz w:val="24"/>
          <w:szCs w:val="24"/>
          <w:color w:val="auto"/>
        </w:rPr>
      </w:pPr>
    </w:p>
    <w:p>
      <w:pPr>
        <w:ind w:left="2000"/>
        <w:spacing w:after="0"/>
        <w:rPr>
          <w:sz w:val="20"/>
          <w:szCs w:val="20"/>
          <w:color w:val="auto"/>
        </w:rPr>
      </w:pPr>
      <w:r>
        <w:rPr>
          <w:rFonts w:ascii="Arial" w:cs="Arial" w:eastAsia="Arial" w:hAnsi="Arial"/>
          <w:sz w:val="20"/>
          <w:szCs w:val="20"/>
          <w:color w:val="auto"/>
        </w:rPr>
        <w:t>___________________________________________________________________________</w:t>
      </w:r>
    </w:p>
    <w:p>
      <w:pPr>
        <w:jc w:val="center"/>
        <w:ind w:right="-99"/>
        <w:spacing w:after="0"/>
        <w:rPr>
          <w:sz w:val="20"/>
          <w:szCs w:val="20"/>
          <w:color w:val="auto"/>
        </w:rPr>
      </w:pPr>
      <w:r>
        <w:rPr>
          <w:rFonts w:ascii="Arial" w:cs="Arial" w:eastAsia="Arial" w:hAnsi="Arial"/>
          <w:sz w:val="20"/>
          <w:szCs w:val="20"/>
          <w:color w:val="auto"/>
        </w:rPr>
        <w:t>(CUSIP Number)</w:t>
      </w:r>
    </w:p>
    <w:p>
      <w:pPr>
        <w:spacing w:after="0" w:line="207" w:lineRule="exact"/>
        <w:rPr>
          <w:sz w:val="24"/>
          <w:szCs w:val="24"/>
          <w:color w:val="auto"/>
        </w:rPr>
      </w:pPr>
    </w:p>
    <w:p>
      <w:pPr>
        <w:jc w:val="center"/>
        <w:ind w:right="-99"/>
        <w:spacing w:after="0"/>
        <w:rPr>
          <w:sz w:val="20"/>
          <w:szCs w:val="20"/>
          <w:color w:val="auto"/>
        </w:rPr>
      </w:pPr>
      <w:r>
        <w:rPr>
          <w:rFonts w:ascii="Arial" w:cs="Arial" w:eastAsia="Arial" w:hAnsi="Arial"/>
          <w:sz w:val="20"/>
          <w:szCs w:val="20"/>
          <w:b w:val="1"/>
          <w:bCs w:val="1"/>
          <w:color w:val="auto"/>
        </w:rPr>
        <w:t>December 31, 2018</w:t>
      </w:r>
    </w:p>
    <w:p>
      <w:pPr>
        <w:spacing w:after="0" w:line="21" w:lineRule="exact"/>
        <w:rPr>
          <w:sz w:val="24"/>
          <w:szCs w:val="24"/>
          <w:color w:val="auto"/>
        </w:rPr>
      </w:pPr>
    </w:p>
    <w:p>
      <w:pPr>
        <w:ind w:left="2000"/>
        <w:spacing w:after="0"/>
        <w:rPr>
          <w:sz w:val="20"/>
          <w:szCs w:val="20"/>
          <w:color w:val="auto"/>
        </w:rPr>
      </w:pPr>
      <w:r>
        <w:rPr>
          <w:rFonts w:ascii="Arial" w:cs="Arial" w:eastAsia="Arial" w:hAnsi="Arial"/>
          <w:sz w:val="20"/>
          <w:szCs w:val="20"/>
          <w:color w:val="auto"/>
        </w:rPr>
        <w:t>___________________________________________________________________________</w:t>
      </w:r>
    </w:p>
    <w:p>
      <w:pPr>
        <w:ind w:left="3480"/>
        <w:spacing w:after="0"/>
        <w:rPr>
          <w:sz w:val="20"/>
          <w:szCs w:val="20"/>
          <w:color w:val="auto"/>
        </w:rPr>
      </w:pPr>
      <w:r>
        <w:rPr>
          <w:rFonts w:ascii="Arial" w:cs="Arial" w:eastAsia="Arial" w:hAnsi="Arial"/>
          <w:sz w:val="20"/>
          <w:szCs w:val="20"/>
          <w:color w:val="auto"/>
        </w:rPr>
        <w:t>(Date of Event Which Requires Filing of this Statement)</w:t>
      </w:r>
    </w:p>
    <w:p>
      <w:pPr>
        <w:spacing w:after="0" w:line="213" w:lineRule="exact"/>
        <w:rPr>
          <w:sz w:val="24"/>
          <w:szCs w:val="24"/>
          <w:color w:val="auto"/>
        </w:rPr>
      </w:pPr>
    </w:p>
    <w:p>
      <w:pPr>
        <w:spacing w:after="0"/>
        <w:rPr>
          <w:sz w:val="20"/>
          <w:szCs w:val="20"/>
          <w:color w:val="auto"/>
        </w:rPr>
      </w:pPr>
      <w:r>
        <w:rPr>
          <w:rFonts w:ascii="Arial" w:cs="Arial" w:eastAsia="Arial" w:hAnsi="Arial"/>
          <w:sz w:val="20"/>
          <w:szCs w:val="20"/>
          <w:color w:val="auto"/>
        </w:rPr>
        <w:t>Check the appropriate box to designate the rule pursuant to which this schedule is filed:</w:t>
      </w:r>
    </w:p>
    <w:p>
      <w:pPr>
        <w:spacing w:after="0" w:line="229" w:lineRule="exact"/>
        <w:rPr>
          <w:sz w:val="24"/>
          <w:szCs w:val="24"/>
          <w:color w:val="auto"/>
        </w:rPr>
      </w:pPr>
    </w:p>
    <w:p>
      <w:pPr>
        <w:ind w:left="180" w:hanging="172"/>
        <w:spacing w:after="0"/>
        <w:tabs>
          <w:tab w:leader="none" w:pos="180" w:val="left"/>
        </w:tabs>
        <w:numPr>
          <w:ilvl w:val="0"/>
          <w:numId w:val="1"/>
        </w:numPr>
        <w:rPr>
          <w:rFonts w:ascii="Arial" w:cs="Arial" w:eastAsia="Arial" w:hAnsi="Arial"/>
          <w:sz w:val="20"/>
          <w:szCs w:val="20"/>
          <w:color w:val="auto"/>
        </w:rPr>
      </w:pPr>
      <w:r>
        <w:rPr>
          <w:rFonts w:ascii="Arial" w:cs="Arial" w:eastAsia="Arial" w:hAnsi="Arial"/>
          <w:sz w:val="20"/>
          <w:szCs w:val="20"/>
          <w:color w:val="auto"/>
        </w:rPr>
        <w:t>] Rule 13d-1(b)</w:t>
      </w:r>
    </w:p>
    <w:p>
      <w:pPr>
        <w:spacing w:after="0" w:line="229" w:lineRule="exact"/>
        <w:rPr>
          <w:rFonts w:ascii="Arial" w:cs="Arial" w:eastAsia="Arial" w:hAnsi="Arial"/>
          <w:sz w:val="20"/>
          <w:szCs w:val="20"/>
          <w:color w:val="auto"/>
        </w:rPr>
      </w:pPr>
    </w:p>
    <w:p>
      <w:pPr>
        <w:jc w:val="both"/>
        <w:ind w:right="9880" w:firstLine="8"/>
        <w:spacing w:after="0" w:line="521" w:lineRule="auto"/>
        <w:tabs>
          <w:tab w:leader="none" w:pos="165" w:val="left"/>
        </w:tabs>
        <w:numPr>
          <w:ilvl w:val="0"/>
          <w:numId w:val="1"/>
        </w:numPr>
        <w:rPr>
          <w:rFonts w:ascii="Arial" w:cs="Arial" w:eastAsia="Arial" w:hAnsi="Arial"/>
          <w:sz w:val="18"/>
          <w:szCs w:val="18"/>
          <w:color w:val="auto"/>
        </w:rPr>
      </w:pPr>
      <w:r>
        <w:rPr>
          <w:rFonts w:ascii="Arial" w:cs="Arial" w:eastAsia="Arial" w:hAnsi="Arial"/>
          <w:sz w:val="18"/>
          <w:szCs w:val="18"/>
          <w:color w:val="auto"/>
        </w:rPr>
        <w:t>] Rule 13d-1(c) [</w:t>
      </w:r>
      <w:r>
        <w:rPr>
          <w:rFonts w:ascii="Arial" w:cs="Arial" w:eastAsia="Arial" w:hAnsi="Arial"/>
          <w:sz w:val="18"/>
          <w:szCs w:val="18"/>
          <w:b w:val="1"/>
          <w:bCs w:val="1"/>
          <w:color w:val="auto"/>
        </w:rPr>
        <w:t>X</w:t>
      </w:r>
      <w:r>
        <w:rPr>
          <w:rFonts w:ascii="Arial" w:cs="Arial" w:eastAsia="Arial" w:hAnsi="Arial"/>
          <w:sz w:val="18"/>
          <w:szCs w:val="18"/>
          <w:color w:val="auto"/>
        </w:rPr>
        <w:t>] Rule 13d-1(d)</w:t>
      </w:r>
    </w:p>
    <w:p>
      <w:pPr>
        <w:spacing w:after="0" w:line="2" w:lineRule="exact"/>
        <w:rPr>
          <w:sz w:val="24"/>
          <w:szCs w:val="24"/>
          <w:color w:val="auto"/>
        </w:rPr>
      </w:pPr>
    </w:p>
    <w:p>
      <w:pPr>
        <w:jc w:val="both"/>
        <w:ind w:right="200"/>
        <w:spacing w:after="0"/>
        <w:rPr>
          <w:sz w:val="20"/>
          <w:szCs w:val="20"/>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86" w:lineRule="exact"/>
        <w:rPr>
          <w:sz w:val="24"/>
          <w:szCs w:val="24"/>
          <w:color w:val="auto"/>
        </w:rPr>
      </w:pPr>
    </w:p>
    <w:p>
      <w:pPr>
        <w:spacing w:after="0"/>
        <w:rPr>
          <w:sz w:val="20"/>
          <w:szCs w:val="20"/>
          <w:color w:val="auto"/>
        </w:rPr>
      </w:pPr>
      <w:r>
        <w:rPr>
          <w:rFonts w:ascii="Arial" w:cs="Arial" w:eastAsia="Arial" w:hAnsi="Arial"/>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198755</wp:posOffset>
            </wp:positionV>
            <wp:extent cx="7267575"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20"/>
          </w:cols>
          <w:pgMar w:left="240" w:top="436"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7"/>
        </w:trPr>
        <w:tc>
          <w:tcPr>
            <w:tcW w:w="2860" w:type="dxa"/>
            <w:vAlign w:val="bottom"/>
            <w:tcBorders>
              <w:bottom w:val="single" w:sz="8" w:color="auto"/>
            </w:tcBorders>
          </w:tcPr>
          <w:p>
            <w:pPr>
              <w:spacing w:after="0"/>
              <w:rPr>
                <w:sz w:val="2"/>
                <w:szCs w:val="2"/>
                <w:color w:val="auto"/>
              </w:rPr>
            </w:pPr>
          </w:p>
        </w:tc>
        <w:tc>
          <w:tcPr>
            <w:tcW w:w="6320" w:type="dxa"/>
            <w:vAlign w:val="bottom"/>
            <w:vMerge w:val="restart"/>
          </w:tcPr>
          <w:p>
            <w:pPr>
              <w:ind w:left="2960"/>
              <w:spacing w:after="0"/>
              <w:rPr>
                <w:sz w:val="20"/>
                <w:szCs w:val="20"/>
                <w:color w:val="auto"/>
              </w:rPr>
            </w:pPr>
            <w:r>
              <w:rPr>
                <w:rFonts w:ascii="Arial" w:cs="Arial" w:eastAsia="Arial" w:hAnsi="Arial"/>
                <w:sz w:val="22"/>
                <w:szCs w:val="22"/>
                <w:b w:val="1"/>
                <w:bCs w:val="1"/>
                <w:color w:val="auto"/>
              </w:rPr>
              <w:t>13G</w:t>
            </w: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86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4"/>
                <w:szCs w:val="14"/>
                <w:color w:val="auto"/>
              </w:rPr>
              <w:t xml:space="preserve">CUSIP No. </w:t>
            </w:r>
            <w:r>
              <w:rPr>
                <w:rFonts w:ascii="Arial" w:cs="Arial" w:eastAsia="Arial" w:hAnsi="Arial"/>
                <w:sz w:val="18"/>
                <w:szCs w:val="18"/>
                <w:color w:val="auto"/>
              </w:rPr>
              <w:t>98885E103</w:t>
            </w:r>
          </w:p>
        </w:tc>
        <w:tc>
          <w:tcPr>
            <w:tcW w:w="6320" w:type="dxa"/>
            <w:vAlign w:val="bottom"/>
            <w:vMerge w:val="continue"/>
          </w:tcPr>
          <w:p>
            <w:pPr>
              <w:spacing w:after="0"/>
              <w:rPr>
                <w:sz w:val="21"/>
                <w:szCs w:val="21"/>
                <w:color w:val="auto"/>
              </w:rPr>
            </w:pPr>
          </w:p>
        </w:tc>
        <w:tc>
          <w:tcPr>
            <w:tcW w:w="1880" w:type="dxa"/>
            <w:vAlign w:val="bottom"/>
            <w:tcBorders>
              <w:left w:val="single" w:sz="8" w:color="auto"/>
              <w:bottom w:val="single" w:sz="8" w:color="auto"/>
              <w:right w:val="single" w:sz="8" w:color="auto"/>
            </w:tcBorders>
          </w:tcPr>
          <w:p>
            <w:pPr>
              <w:ind w:left="520"/>
              <w:spacing w:after="0"/>
              <w:rPr>
                <w:sz w:val="20"/>
                <w:szCs w:val="20"/>
                <w:color w:val="auto"/>
              </w:rPr>
            </w:pPr>
            <w:r>
              <w:rPr>
                <w:rFonts w:ascii="Arial" w:cs="Arial" w:eastAsia="Arial" w:hAnsi="Arial"/>
                <w:sz w:val="18"/>
                <w:szCs w:val="18"/>
                <w:color w:val="auto"/>
                <w:w w:val="89"/>
              </w:rPr>
              <w:t>Page 2 of 4 Pages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137160</wp:posOffset>
            </wp:positionV>
            <wp:extent cx="7246620" cy="5213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5213985"/>
                    </a:xfrm>
                    <a:prstGeom prst="rect">
                      <a:avLst/>
                    </a:prstGeom>
                    <a:noFill/>
                  </pic:spPr>
                </pic:pic>
              </a:graphicData>
            </a:graphic>
          </wp:anchor>
        </w:drawing>
      </w:r>
    </w:p>
    <w:p>
      <w:pPr>
        <w:spacing w:after="0" w:line="290" w:lineRule="exact"/>
        <w:rPr>
          <w:sz w:val="20"/>
          <w:szCs w:val="20"/>
          <w:color w:val="auto"/>
        </w:rPr>
      </w:pPr>
    </w:p>
    <w:p>
      <w:pPr>
        <w:ind w:left="680" w:hanging="521"/>
        <w:spacing w:after="0"/>
        <w:tabs>
          <w:tab w:leader="none" w:pos="68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3" w:lineRule="exact"/>
        <w:rPr>
          <w:rFonts w:ascii="Arial" w:cs="Arial" w:eastAsia="Arial" w:hAnsi="Arial"/>
          <w:sz w:val="18"/>
          <w:szCs w:val="18"/>
          <w:color w:val="auto"/>
        </w:rPr>
      </w:pPr>
    </w:p>
    <w:p>
      <w:pPr>
        <w:ind w:left="680"/>
        <w:spacing w:after="0"/>
        <w:rPr>
          <w:rFonts w:ascii="Arial" w:cs="Arial" w:eastAsia="Arial" w:hAnsi="Arial"/>
          <w:sz w:val="18"/>
          <w:szCs w:val="18"/>
          <w:color w:val="auto"/>
        </w:rPr>
      </w:pPr>
      <w:r>
        <w:rPr>
          <w:rFonts w:ascii="Arial" w:cs="Arial" w:eastAsia="Arial" w:hAnsi="Arial"/>
          <w:sz w:val="18"/>
          <w:szCs w:val="18"/>
          <w:color w:val="auto"/>
        </w:rPr>
        <w:t>S.S. OR I.R.S. IDENTIFICATION NO. OF ABOVE PERSON</w:t>
      </w:r>
    </w:p>
    <w:p>
      <w:pPr>
        <w:spacing w:after="0" w:line="170"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Atlas Venture Fund VII, L.P.</w:t>
      </w:r>
    </w:p>
    <w:p>
      <w:pPr>
        <w:spacing w:after="0" w:line="212" w:lineRule="exact"/>
        <w:rPr>
          <w:sz w:val="20"/>
          <w:szCs w:val="20"/>
          <w:color w:val="auto"/>
        </w:rPr>
      </w:pPr>
    </w:p>
    <w:p>
      <w:pPr>
        <w:ind w:left="8500"/>
        <w:spacing w:after="0"/>
        <w:tabs>
          <w:tab w:leader="none" w:pos="990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8"/>
          <w:szCs w:val="18"/>
          <w:color w:val="auto"/>
        </w:rPr>
        <w:t>o</w:t>
      </w:r>
    </w:p>
    <w:p>
      <w:pPr>
        <w:spacing w:after="0" w:line="23" w:lineRule="exact"/>
        <w:rPr>
          <w:sz w:val="20"/>
          <w:szCs w:val="20"/>
          <w:color w:val="auto"/>
        </w:rPr>
      </w:pPr>
    </w:p>
    <w:p>
      <w:pPr>
        <w:ind w:left="680" w:hanging="521"/>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9" w:lineRule="exact"/>
        <w:rPr>
          <w:sz w:val="20"/>
          <w:szCs w:val="20"/>
          <w:color w:val="auto"/>
        </w:rPr>
      </w:pPr>
    </w:p>
    <w:p>
      <w:pPr>
        <w:jc w:val="both"/>
        <w:ind w:left="8500"/>
        <w:spacing w:after="0"/>
        <w:tabs>
          <w:tab w:leader="none" w:pos="990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8"/>
          <w:szCs w:val="18"/>
          <w:color w:val="auto"/>
        </w:rPr>
        <w:t>o</w:t>
      </w:r>
    </w:p>
    <w:p>
      <w:pPr>
        <w:spacing w:after="0" w:line="197" w:lineRule="exact"/>
        <w:rPr>
          <w:sz w:val="20"/>
          <w:szCs w:val="20"/>
          <w:color w:val="auto"/>
        </w:rPr>
      </w:pPr>
    </w:p>
    <w:p>
      <w:pPr>
        <w:ind w:left="680" w:hanging="521"/>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680" w:hanging="521"/>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 w:lineRule="exact"/>
        <w:rPr>
          <w:rFonts w:ascii="Arial" w:cs="Arial" w:eastAsia="Arial" w:hAnsi="Arial"/>
          <w:sz w:val="18"/>
          <w:szCs w:val="18"/>
          <w:color w:val="auto"/>
        </w:rPr>
      </w:pPr>
    </w:p>
    <w:p>
      <w:pPr>
        <w:ind w:left="1140"/>
        <w:spacing w:after="0"/>
        <w:rPr>
          <w:rFonts w:ascii="Arial" w:cs="Arial" w:eastAsia="Arial" w:hAnsi="Arial"/>
          <w:sz w:val="18"/>
          <w:szCs w:val="18"/>
          <w:color w:val="auto"/>
        </w:rPr>
      </w:pPr>
      <w:r>
        <w:rPr>
          <w:rFonts w:ascii="Arial" w:cs="Arial" w:eastAsia="Arial" w:hAnsi="Arial"/>
          <w:sz w:val="20"/>
          <w:szCs w:val="20"/>
          <w:color w:val="auto"/>
        </w:rPr>
        <w:t>Delaware</w:t>
      </w:r>
    </w:p>
    <w:p>
      <w:pPr>
        <w:spacing w:after="0" w:line="189" w:lineRule="exact"/>
        <w:rPr>
          <w:sz w:val="20"/>
          <w:szCs w:val="20"/>
          <w:color w:val="auto"/>
        </w:rPr>
      </w:pPr>
    </w:p>
    <w:tbl>
      <w:tblPr>
        <w:tblLayout w:type="fixed"/>
        <w:tblInd w:w="220" w:type="dxa"/>
        <w:tblCellMar>
          <w:top w:w="0" w:type="dxa"/>
          <w:left w:w="0" w:type="dxa"/>
          <w:bottom w:w="0" w:type="dxa"/>
          <w:right w:w="0" w:type="dxa"/>
        </w:tblCellMar>
      </w:tblPr>
      <w:tr>
        <w:trPr>
          <w:trHeight w:val="230"/>
        </w:trPr>
        <w:tc>
          <w:tcPr>
            <w:tcW w:w="1640" w:type="dxa"/>
            <w:vAlign w:val="bottom"/>
            <w:vMerge w:val="restart"/>
          </w:tcPr>
          <w:p>
            <w:pPr>
              <w:jc w:val="center"/>
              <w:ind w:right="270"/>
              <w:spacing w:after="0"/>
              <w:rPr>
                <w:sz w:val="20"/>
                <w:szCs w:val="20"/>
                <w:color w:val="auto"/>
              </w:rPr>
            </w:pPr>
            <w:r>
              <w:rPr>
                <w:rFonts w:ascii="Arial" w:cs="Arial" w:eastAsia="Arial" w:hAnsi="Arial"/>
                <w:sz w:val="18"/>
                <w:szCs w:val="18"/>
                <w:color w:val="auto"/>
                <w:w w:val="96"/>
              </w:rPr>
              <w:t>NUMBER OF</w:t>
            </w:r>
          </w:p>
        </w:tc>
        <w:tc>
          <w:tcPr>
            <w:tcW w:w="660" w:type="dxa"/>
            <w:vAlign w:val="bottom"/>
          </w:tcPr>
          <w:p>
            <w:pPr>
              <w:jc w:val="right"/>
              <w:ind w:right="110"/>
              <w:spacing w:after="0"/>
              <w:rPr>
                <w:sz w:val="20"/>
                <w:szCs w:val="20"/>
                <w:color w:val="auto"/>
              </w:rPr>
            </w:pPr>
            <w:r>
              <w:rPr>
                <w:rFonts w:ascii="Arial" w:cs="Arial" w:eastAsia="Arial" w:hAnsi="Arial"/>
                <w:sz w:val="18"/>
                <w:szCs w:val="18"/>
                <w:color w:val="auto"/>
              </w:rPr>
              <w:t>5.</w:t>
            </w:r>
          </w:p>
        </w:tc>
        <w:tc>
          <w:tcPr>
            <w:tcW w:w="8720" w:type="dxa"/>
            <w:vAlign w:val="bottom"/>
          </w:tcPr>
          <w:p>
            <w:pPr>
              <w:ind w:left="2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80"/>
        </w:trPr>
        <w:tc>
          <w:tcPr>
            <w:tcW w:w="1640" w:type="dxa"/>
            <w:vAlign w:val="bottom"/>
            <w:vMerge w:val="continue"/>
          </w:tcPr>
          <w:p>
            <w:pPr>
              <w:spacing w:after="0"/>
              <w:rPr>
                <w:sz w:val="6"/>
                <w:szCs w:val="6"/>
                <w:color w:val="auto"/>
              </w:rPr>
            </w:pPr>
          </w:p>
        </w:tc>
        <w:tc>
          <w:tcPr>
            <w:tcW w:w="660" w:type="dxa"/>
            <w:vAlign w:val="bottom"/>
          </w:tcPr>
          <w:p>
            <w:pPr>
              <w:spacing w:after="0"/>
              <w:rPr>
                <w:sz w:val="6"/>
                <w:szCs w:val="6"/>
                <w:color w:val="auto"/>
              </w:rPr>
            </w:pPr>
          </w:p>
        </w:tc>
        <w:tc>
          <w:tcPr>
            <w:tcW w:w="8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640" w:type="dxa"/>
            <w:vAlign w:val="bottom"/>
          </w:tcPr>
          <w:p>
            <w:pPr>
              <w:jc w:val="center"/>
              <w:ind w:right="290"/>
              <w:spacing w:after="0"/>
              <w:rPr>
                <w:sz w:val="20"/>
                <w:szCs w:val="20"/>
                <w:color w:val="auto"/>
              </w:rPr>
            </w:pPr>
            <w:r>
              <w:rPr>
                <w:rFonts w:ascii="Arial" w:cs="Arial" w:eastAsia="Arial" w:hAnsi="Arial"/>
                <w:sz w:val="18"/>
                <w:szCs w:val="18"/>
                <w:color w:val="auto"/>
                <w:w w:val="94"/>
              </w:rPr>
              <w:t>SHARES</w:t>
            </w:r>
          </w:p>
        </w:tc>
        <w:tc>
          <w:tcPr>
            <w:tcW w:w="660" w:type="dxa"/>
            <w:vAlign w:val="bottom"/>
          </w:tcPr>
          <w:p>
            <w:pPr>
              <w:spacing w:after="0"/>
              <w:rPr>
                <w:sz w:val="18"/>
                <w:szCs w:val="18"/>
                <w:color w:val="auto"/>
              </w:rPr>
            </w:pPr>
          </w:p>
        </w:tc>
        <w:tc>
          <w:tcPr>
            <w:tcW w:w="8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1640" w:type="dxa"/>
            <w:vAlign w:val="bottom"/>
            <w:vMerge w:val="restart"/>
          </w:tcPr>
          <w:p>
            <w:pPr>
              <w:jc w:val="center"/>
              <w:ind w:right="270"/>
              <w:spacing w:after="0"/>
              <w:rPr>
                <w:sz w:val="20"/>
                <w:szCs w:val="20"/>
                <w:color w:val="auto"/>
              </w:rPr>
            </w:pPr>
            <w:r>
              <w:rPr>
                <w:rFonts w:ascii="Arial" w:cs="Arial" w:eastAsia="Arial" w:hAnsi="Arial"/>
                <w:sz w:val="18"/>
                <w:szCs w:val="18"/>
                <w:color w:val="auto"/>
              </w:rPr>
              <w:t>BENEFICIALLY</w:t>
            </w:r>
          </w:p>
        </w:tc>
        <w:tc>
          <w:tcPr>
            <w:tcW w:w="660" w:type="dxa"/>
            <w:vAlign w:val="bottom"/>
            <w:tcBorders>
              <w:bottom w:val="single" w:sz="8" w:color="auto"/>
            </w:tcBorders>
          </w:tcPr>
          <w:p>
            <w:pPr>
              <w:spacing w:after="0"/>
              <w:rPr>
                <w:sz w:val="3"/>
                <w:szCs w:val="3"/>
                <w:color w:val="auto"/>
              </w:rPr>
            </w:pPr>
          </w:p>
        </w:tc>
        <w:tc>
          <w:tcPr>
            <w:tcW w:w="8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1640" w:type="dxa"/>
            <w:vAlign w:val="bottom"/>
            <w:vMerge w:val="continue"/>
          </w:tcPr>
          <w:p>
            <w:pPr>
              <w:spacing w:after="0"/>
              <w:rPr>
                <w:sz w:val="13"/>
                <w:szCs w:val="13"/>
                <w:color w:val="auto"/>
              </w:rPr>
            </w:pPr>
          </w:p>
        </w:tc>
        <w:tc>
          <w:tcPr>
            <w:tcW w:w="660" w:type="dxa"/>
            <w:vAlign w:val="bottom"/>
            <w:vMerge w:val="restart"/>
          </w:tcPr>
          <w:p>
            <w:pPr>
              <w:jc w:val="right"/>
              <w:ind w:right="110"/>
              <w:spacing w:after="0"/>
              <w:rPr>
                <w:sz w:val="20"/>
                <w:szCs w:val="20"/>
                <w:color w:val="auto"/>
              </w:rPr>
            </w:pPr>
            <w:r>
              <w:rPr>
                <w:rFonts w:ascii="Arial" w:cs="Arial" w:eastAsia="Arial" w:hAnsi="Arial"/>
                <w:sz w:val="18"/>
                <w:szCs w:val="18"/>
                <w:color w:val="auto"/>
              </w:rPr>
              <w:t>6.</w:t>
            </w:r>
          </w:p>
        </w:tc>
        <w:tc>
          <w:tcPr>
            <w:tcW w:w="8720" w:type="dxa"/>
            <w:vAlign w:val="bottom"/>
            <w:vMerge w:val="restart"/>
          </w:tcPr>
          <w:p>
            <w:pPr>
              <w:ind w:left="2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35"/>
        </w:trPr>
        <w:tc>
          <w:tcPr>
            <w:tcW w:w="1640" w:type="dxa"/>
            <w:vAlign w:val="bottom"/>
            <w:vMerge w:val="restart"/>
          </w:tcPr>
          <w:p>
            <w:pPr>
              <w:jc w:val="center"/>
              <w:ind w:right="270"/>
              <w:spacing w:after="0"/>
              <w:rPr>
                <w:sz w:val="20"/>
                <w:szCs w:val="20"/>
                <w:color w:val="auto"/>
              </w:rPr>
            </w:pPr>
            <w:r>
              <w:rPr>
                <w:rFonts w:ascii="Arial" w:cs="Arial" w:eastAsia="Arial" w:hAnsi="Arial"/>
                <w:sz w:val="18"/>
                <w:szCs w:val="18"/>
                <w:color w:val="auto"/>
                <w:w w:val="97"/>
              </w:rPr>
              <w:t>OWNED BY</w:t>
            </w:r>
          </w:p>
        </w:tc>
        <w:tc>
          <w:tcPr>
            <w:tcW w:w="660" w:type="dxa"/>
            <w:vAlign w:val="bottom"/>
            <w:vMerge w:val="continue"/>
          </w:tcPr>
          <w:p>
            <w:pPr>
              <w:spacing w:after="0"/>
              <w:rPr>
                <w:sz w:val="11"/>
                <w:szCs w:val="11"/>
                <w:color w:val="auto"/>
              </w:rPr>
            </w:pPr>
          </w:p>
        </w:tc>
        <w:tc>
          <w:tcPr>
            <w:tcW w:w="8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164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8720" w:type="dxa"/>
            <w:vAlign w:val="bottom"/>
            <w:vMerge w:val="restart"/>
          </w:tcPr>
          <w:p>
            <w:pPr>
              <w:ind w:left="380"/>
              <w:spacing w:after="0"/>
              <w:rPr>
                <w:sz w:val="20"/>
                <w:szCs w:val="20"/>
                <w:color w:val="auto"/>
              </w:rPr>
            </w:pPr>
            <w:r>
              <w:rPr>
                <w:rFonts w:ascii="Arial" w:cs="Arial" w:eastAsia="Arial" w:hAnsi="Arial"/>
                <w:sz w:val="18"/>
                <w:szCs w:val="18"/>
                <w:color w:val="auto"/>
              </w:rPr>
              <w:t>3,506,184 shares</w:t>
            </w:r>
          </w:p>
        </w:tc>
        <w:tc>
          <w:tcPr>
            <w:tcW w:w="0" w:type="dxa"/>
            <w:vAlign w:val="bottom"/>
          </w:tcPr>
          <w:p>
            <w:pPr>
              <w:spacing w:after="0"/>
              <w:rPr>
                <w:sz w:val="1"/>
                <w:szCs w:val="1"/>
                <w:color w:val="auto"/>
              </w:rPr>
            </w:pPr>
          </w:p>
        </w:tc>
      </w:tr>
      <w:tr>
        <w:trPr>
          <w:trHeight w:val="149"/>
        </w:trPr>
        <w:tc>
          <w:tcPr>
            <w:tcW w:w="1640" w:type="dxa"/>
            <w:vAlign w:val="bottom"/>
            <w:vMerge w:val="restart"/>
          </w:tcPr>
          <w:p>
            <w:pPr>
              <w:jc w:val="center"/>
              <w:ind w:right="290"/>
              <w:spacing w:after="0"/>
              <w:rPr>
                <w:sz w:val="20"/>
                <w:szCs w:val="20"/>
                <w:color w:val="auto"/>
              </w:rPr>
            </w:pPr>
            <w:r>
              <w:rPr>
                <w:rFonts w:ascii="Arial" w:cs="Arial" w:eastAsia="Arial" w:hAnsi="Arial"/>
                <w:sz w:val="18"/>
                <w:szCs w:val="18"/>
                <w:color w:val="auto"/>
                <w:w w:val="99"/>
              </w:rPr>
              <w:t>EACH</w:t>
            </w:r>
          </w:p>
        </w:tc>
        <w:tc>
          <w:tcPr>
            <w:tcW w:w="660" w:type="dxa"/>
            <w:vAlign w:val="bottom"/>
          </w:tcPr>
          <w:p>
            <w:pPr>
              <w:spacing w:after="0"/>
              <w:rPr>
                <w:sz w:val="12"/>
                <w:szCs w:val="12"/>
                <w:color w:val="auto"/>
              </w:rPr>
            </w:pPr>
          </w:p>
        </w:tc>
        <w:tc>
          <w:tcPr>
            <w:tcW w:w="8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164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8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
        </w:trPr>
        <w:tc>
          <w:tcPr>
            <w:tcW w:w="1640" w:type="dxa"/>
            <w:vAlign w:val="bottom"/>
            <w:vMerge w:val="restart"/>
          </w:tcPr>
          <w:p>
            <w:pPr>
              <w:jc w:val="center"/>
              <w:ind w:right="270"/>
              <w:spacing w:after="0"/>
              <w:rPr>
                <w:sz w:val="20"/>
                <w:szCs w:val="20"/>
                <w:color w:val="auto"/>
              </w:rPr>
            </w:pPr>
            <w:r>
              <w:rPr>
                <w:rFonts w:ascii="Arial" w:cs="Arial" w:eastAsia="Arial" w:hAnsi="Arial"/>
                <w:sz w:val="18"/>
                <w:szCs w:val="18"/>
                <w:color w:val="auto"/>
                <w:w w:val="93"/>
              </w:rPr>
              <w:t>REPORTING</w:t>
            </w:r>
          </w:p>
        </w:tc>
        <w:tc>
          <w:tcPr>
            <w:tcW w:w="660" w:type="dxa"/>
            <w:vAlign w:val="bottom"/>
            <w:tcBorders>
              <w:bottom w:val="single" w:sz="8" w:color="auto"/>
            </w:tcBorders>
          </w:tcPr>
          <w:p>
            <w:pPr>
              <w:spacing w:after="0"/>
              <w:rPr>
                <w:sz w:val="2"/>
                <w:szCs w:val="2"/>
                <w:color w:val="auto"/>
              </w:rPr>
            </w:pPr>
          </w:p>
        </w:tc>
        <w:tc>
          <w:tcPr>
            <w:tcW w:w="8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1640" w:type="dxa"/>
            <w:vAlign w:val="bottom"/>
            <w:vMerge w:val="continue"/>
          </w:tcPr>
          <w:p>
            <w:pPr>
              <w:spacing w:after="0"/>
              <w:rPr>
                <w:sz w:val="14"/>
                <w:szCs w:val="14"/>
                <w:color w:val="auto"/>
              </w:rPr>
            </w:pPr>
          </w:p>
        </w:tc>
        <w:tc>
          <w:tcPr>
            <w:tcW w:w="660" w:type="dxa"/>
            <w:vAlign w:val="bottom"/>
            <w:vMerge w:val="restart"/>
          </w:tcPr>
          <w:p>
            <w:pPr>
              <w:jc w:val="right"/>
              <w:ind w:right="110"/>
              <w:spacing w:after="0"/>
              <w:rPr>
                <w:sz w:val="20"/>
                <w:szCs w:val="20"/>
                <w:color w:val="auto"/>
              </w:rPr>
            </w:pPr>
            <w:r>
              <w:rPr>
                <w:rFonts w:ascii="Arial" w:cs="Arial" w:eastAsia="Arial" w:hAnsi="Arial"/>
                <w:sz w:val="18"/>
                <w:szCs w:val="18"/>
                <w:color w:val="auto"/>
              </w:rPr>
              <w:t>7.</w:t>
            </w:r>
          </w:p>
        </w:tc>
        <w:tc>
          <w:tcPr>
            <w:tcW w:w="8720" w:type="dxa"/>
            <w:vAlign w:val="bottom"/>
            <w:vMerge w:val="restart"/>
          </w:tcPr>
          <w:p>
            <w:pPr>
              <w:ind w:left="2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36"/>
        </w:trPr>
        <w:tc>
          <w:tcPr>
            <w:tcW w:w="1640" w:type="dxa"/>
            <w:vAlign w:val="bottom"/>
            <w:vMerge w:val="restart"/>
          </w:tcPr>
          <w:p>
            <w:pPr>
              <w:jc w:val="center"/>
              <w:ind w:right="270"/>
              <w:spacing w:after="0"/>
              <w:rPr>
                <w:sz w:val="20"/>
                <w:szCs w:val="20"/>
                <w:color w:val="auto"/>
              </w:rPr>
            </w:pPr>
            <w:r>
              <w:rPr>
                <w:rFonts w:ascii="Arial" w:cs="Arial" w:eastAsia="Arial" w:hAnsi="Arial"/>
                <w:sz w:val="18"/>
                <w:szCs w:val="18"/>
                <w:color w:val="auto"/>
                <w:w w:val="94"/>
              </w:rPr>
              <w:t>PERSON WITH</w:t>
            </w:r>
          </w:p>
        </w:tc>
        <w:tc>
          <w:tcPr>
            <w:tcW w:w="660" w:type="dxa"/>
            <w:vAlign w:val="bottom"/>
            <w:vMerge w:val="continue"/>
          </w:tcPr>
          <w:p>
            <w:pPr>
              <w:spacing w:after="0"/>
              <w:rPr>
                <w:sz w:val="11"/>
                <w:szCs w:val="11"/>
                <w:color w:val="auto"/>
              </w:rPr>
            </w:pPr>
          </w:p>
        </w:tc>
        <w:tc>
          <w:tcPr>
            <w:tcW w:w="8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1640" w:type="dxa"/>
            <w:vAlign w:val="bottom"/>
            <w:vMerge w:val="continue"/>
          </w:tcPr>
          <w:p>
            <w:pPr>
              <w:spacing w:after="0"/>
              <w:rPr>
                <w:sz w:val="8"/>
                <w:szCs w:val="8"/>
                <w:color w:val="auto"/>
              </w:rPr>
            </w:pPr>
          </w:p>
        </w:tc>
        <w:tc>
          <w:tcPr>
            <w:tcW w:w="660" w:type="dxa"/>
            <w:vAlign w:val="bottom"/>
          </w:tcPr>
          <w:p>
            <w:pPr>
              <w:spacing w:after="0"/>
              <w:rPr>
                <w:sz w:val="8"/>
                <w:szCs w:val="8"/>
                <w:color w:val="auto"/>
              </w:rPr>
            </w:pPr>
          </w:p>
        </w:tc>
        <w:tc>
          <w:tcPr>
            <w:tcW w:w="87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ind w:left="2900" w:right="6000" w:hanging="709"/>
        <w:spacing w:after="0" w:line="277" w:lineRule="auto"/>
        <w:tabs>
          <w:tab w:leader="none" w:pos="2706" w:val="left"/>
        </w:tabs>
        <w:numPr>
          <w:ilvl w:val="1"/>
          <w:numId w:val="5"/>
        </w:numPr>
        <w:rPr>
          <w:rFonts w:ascii="Arial" w:cs="Arial" w:eastAsia="Arial" w:hAnsi="Arial"/>
          <w:sz w:val="18"/>
          <w:szCs w:val="18"/>
          <w:color w:val="auto"/>
        </w:rPr>
      </w:pPr>
      <w:r>
        <w:rPr>
          <w:rFonts w:ascii="Arial" w:cs="Arial" w:eastAsia="Arial" w:hAnsi="Arial"/>
          <w:sz w:val="18"/>
          <w:szCs w:val="18"/>
          <w:color w:val="auto"/>
        </w:rPr>
        <w:t>SHARED DISPOSITIVE POWER 3,506,184 shares</w:t>
      </w:r>
    </w:p>
    <w:p>
      <w:pPr>
        <w:spacing w:after="0" w:line="156" w:lineRule="exact"/>
        <w:rPr>
          <w:rFonts w:ascii="Arial" w:cs="Arial" w:eastAsia="Arial" w:hAnsi="Arial"/>
          <w:sz w:val="18"/>
          <w:szCs w:val="18"/>
          <w:color w:val="auto"/>
        </w:rPr>
      </w:pPr>
    </w:p>
    <w:p>
      <w:pPr>
        <w:ind w:left="1980" w:right="4000" w:hanging="1821"/>
        <w:spacing w:after="0" w:line="277" w:lineRule="auto"/>
        <w:tabs>
          <w:tab w:leader="none" w:pos="683" w:val="left"/>
        </w:tabs>
        <w:numPr>
          <w:ilvl w:val="0"/>
          <w:numId w:val="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3,506,184 shares</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400" w:type="dxa"/>
            <w:vAlign w:val="bottom"/>
          </w:tcPr>
          <w:p>
            <w:pPr>
              <w:jc w:val="right"/>
              <w:ind w:right="90"/>
              <w:spacing w:after="0"/>
              <w:rPr>
                <w:sz w:val="20"/>
                <w:szCs w:val="20"/>
                <w:color w:val="auto"/>
              </w:rPr>
            </w:pPr>
            <w:r>
              <w:rPr>
                <w:rFonts w:ascii="Arial" w:cs="Arial" w:eastAsia="Arial" w:hAnsi="Arial"/>
                <w:sz w:val="18"/>
                <w:szCs w:val="18"/>
                <w:color w:val="auto"/>
                <w:w w:val="79"/>
              </w:rPr>
              <w:t>10.</w:t>
            </w:r>
          </w:p>
        </w:tc>
        <w:tc>
          <w:tcPr>
            <w:tcW w:w="7480" w:type="dxa"/>
            <w:vAlign w:val="bottom"/>
            <w:vMerge w:val="restart"/>
          </w:tcPr>
          <w:p>
            <w:pPr>
              <w:ind w:left="160"/>
              <w:spacing w:after="0"/>
              <w:rPr>
                <w:sz w:val="20"/>
                <w:szCs w:val="20"/>
                <w:color w:val="auto"/>
              </w:rPr>
            </w:pPr>
            <w:r>
              <w:rPr>
                <w:rFonts w:ascii="Arial" w:cs="Arial" w:eastAsia="Arial" w:hAnsi="Arial"/>
                <w:sz w:val="18"/>
                <w:szCs w:val="18"/>
                <w:color w:val="auto"/>
                <w:w w:val="99"/>
              </w:rPr>
              <w:t>CHECK BOX IF THE AGGREGATE AMOUNT IN ROW (9) EXCLUDES CERTAIN SHARES</w:t>
            </w:r>
          </w:p>
        </w:tc>
        <w:tc>
          <w:tcPr>
            <w:tcW w:w="340" w:type="dxa"/>
            <w:vAlign w:val="bottom"/>
            <w:vMerge w:val="restart"/>
          </w:tcPr>
          <w:p>
            <w:pPr>
              <w:ind w:left="260"/>
              <w:spacing w:after="0"/>
              <w:rPr>
                <w:sz w:val="20"/>
                <w:szCs w:val="20"/>
                <w:color w:val="auto"/>
              </w:rPr>
            </w:pPr>
            <w:r>
              <w:rPr>
                <w:rFonts w:ascii="Arial" w:cs="Arial" w:eastAsia="Arial" w:hAnsi="Arial"/>
                <w:sz w:val="15"/>
                <w:szCs w:val="15"/>
                <w:color w:val="auto"/>
                <w:w w:val="71"/>
              </w:rPr>
              <w:t>o</w:t>
            </w:r>
          </w:p>
        </w:tc>
        <w:tc>
          <w:tcPr>
            <w:tcW w:w="0" w:type="dxa"/>
            <w:vAlign w:val="bottom"/>
          </w:tcPr>
          <w:p>
            <w:pPr>
              <w:spacing w:after="0"/>
              <w:rPr>
                <w:sz w:val="1"/>
                <w:szCs w:val="1"/>
                <w:color w:val="auto"/>
              </w:rPr>
            </w:pPr>
          </w:p>
        </w:tc>
      </w:tr>
      <w:tr>
        <w:trPr>
          <w:trHeight w:val="68"/>
        </w:trPr>
        <w:tc>
          <w:tcPr>
            <w:tcW w:w="400" w:type="dxa"/>
            <w:vAlign w:val="bottom"/>
          </w:tcPr>
          <w:p>
            <w:pPr>
              <w:spacing w:after="0"/>
              <w:rPr>
                <w:sz w:val="5"/>
                <w:szCs w:val="5"/>
                <w:color w:val="auto"/>
              </w:rPr>
            </w:pPr>
          </w:p>
        </w:tc>
        <w:tc>
          <w:tcPr>
            <w:tcW w:w="7480" w:type="dxa"/>
            <w:vAlign w:val="bottom"/>
            <w:vMerge w:val="continue"/>
          </w:tcPr>
          <w:p>
            <w:pPr>
              <w:spacing w:after="0"/>
              <w:rPr>
                <w:sz w:val="5"/>
                <w:szCs w:val="5"/>
                <w:color w:val="auto"/>
              </w:rPr>
            </w:pPr>
          </w:p>
        </w:tc>
        <w:tc>
          <w:tcPr>
            <w:tcW w:w="3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1840" w:right="5500" w:hanging="1723"/>
        <w:spacing w:after="0" w:line="277" w:lineRule="auto"/>
        <w:tabs>
          <w:tab w:leader="none" w:pos="699"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PERCENT OF CLASS REPRESENTED BY AMOUNT IN ROW (9) 9.40%</w:t>
      </w:r>
    </w:p>
    <w:p>
      <w:pPr>
        <w:spacing w:after="0" w:line="156" w:lineRule="exact"/>
        <w:rPr>
          <w:rFonts w:ascii="Arial" w:cs="Arial" w:eastAsia="Arial" w:hAnsi="Arial"/>
          <w:sz w:val="18"/>
          <w:szCs w:val="18"/>
          <w:color w:val="auto"/>
        </w:rPr>
      </w:pPr>
    </w:p>
    <w:p>
      <w:pPr>
        <w:ind w:left="680" w:hanging="566"/>
        <w:spacing w:after="0"/>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3"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PN</w:t>
      </w:r>
    </w:p>
    <w:p>
      <w:pPr>
        <w:spacing w:after="0" w:line="319"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Page 2 of 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wp:posOffset>
            </wp:positionH>
            <wp:positionV relativeFrom="paragraph">
              <wp:posOffset>81280</wp:posOffset>
            </wp:positionV>
            <wp:extent cx="7267575"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40"/>
          </w:cols>
          <w:pgMar w:left="420" w:top="328" w:right="239" w:bottom="1440" w:gutter="0" w:footer="0" w:header="0"/>
        </w:sectPr>
      </w:pPr>
    </w:p>
    <w:bookmarkStart w:id="2" w:name="page3"/>
    <w:bookmarkEnd w:id="2"/>
    <w:p>
      <w:pPr>
        <w:spacing w:after="0"/>
        <w:tabs>
          <w:tab w:leader="none" w:pos="1120" w:val="left"/>
        </w:tabs>
        <w:rPr>
          <w:sz w:val="20"/>
          <w:szCs w:val="20"/>
          <w:color w:val="auto"/>
        </w:rPr>
      </w:pPr>
      <w:r>
        <w:rPr>
          <w:rFonts w:ascii="Arial" w:cs="Arial" w:eastAsia="Arial" w:hAnsi="Arial"/>
          <w:sz w:val="22"/>
          <w:szCs w:val="22"/>
          <w:color w:val="auto"/>
        </w:rPr>
        <w:t>Item 1(a).</w:t>
      </w:r>
      <w:r>
        <w:rPr>
          <w:sz w:val="20"/>
          <w:szCs w:val="20"/>
          <w:color w:val="auto"/>
        </w:rPr>
        <w:tab/>
      </w:r>
      <w:r>
        <w:rPr>
          <w:rFonts w:ascii="Arial" w:cs="Arial" w:eastAsia="Arial" w:hAnsi="Arial"/>
          <w:sz w:val="19"/>
          <w:szCs w:val="19"/>
          <w:b w:val="1"/>
          <w:bCs w:val="1"/>
          <w:color w:val="auto"/>
        </w:rPr>
        <w:t>Name of Issuer</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The name of the issuer to which this filing on Schedule 13G/A relates is </w:t>
      </w:r>
      <w:r>
        <w:rPr>
          <w:rFonts w:ascii="Arial" w:cs="Arial" w:eastAsia="Arial" w:hAnsi="Arial"/>
          <w:sz w:val="22"/>
          <w:szCs w:val="22"/>
          <w:b w:val="1"/>
          <w:bCs w:val="1"/>
          <w:color w:val="auto"/>
        </w:rPr>
        <w:t>Zafgen, Inc.</w:t>
      </w:r>
      <w:r>
        <w:rPr>
          <w:rFonts w:ascii="Arial" w:cs="Arial" w:eastAsia="Arial" w:hAnsi="Arial"/>
          <w:sz w:val="22"/>
          <w:szCs w:val="22"/>
          <w:color w:val="auto"/>
        </w:rPr>
        <w:t xml:space="preserve"> (the “Company”).</w:t>
      </w:r>
    </w:p>
    <w:p>
      <w:pPr>
        <w:spacing w:after="0" w:line="206" w:lineRule="exact"/>
        <w:rPr>
          <w:sz w:val="20"/>
          <w:szCs w:val="20"/>
          <w:color w:val="auto"/>
        </w:rPr>
      </w:pPr>
    </w:p>
    <w:p>
      <w:pPr>
        <w:spacing w:after="0"/>
        <w:tabs>
          <w:tab w:leader="none" w:pos="1120" w:val="left"/>
        </w:tabs>
        <w:rPr>
          <w:sz w:val="20"/>
          <w:szCs w:val="20"/>
          <w:color w:val="auto"/>
        </w:rPr>
      </w:pPr>
      <w:r>
        <w:rPr>
          <w:rFonts w:ascii="Arial" w:cs="Arial" w:eastAsia="Arial" w:hAnsi="Arial"/>
          <w:sz w:val="22"/>
          <w:szCs w:val="22"/>
          <w:color w:val="auto"/>
        </w:rPr>
        <w:t>Item 1(b).</w:t>
      </w:r>
      <w:r>
        <w:rPr>
          <w:sz w:val="20"/>
          <w:szCs w:val="20"/>
          <w:color w:val="auto"/>
        </w:rPr>
        <w:tab/>
      </w:r>
      <w:r>
        <w:rPr>
          <w:rFonts w:ascii="Arial" w:cs="Arial" w:eastAsia="Arial" w:hAnsi="Arial"/>
          <w:sz w:val="19"/>
          <w:szCs w:val="19"/>
          <w:b w:val="1"/>
          <w:bCs w:val="1"/>
          <w:color w:val="auto"/>
        </w:rPr>
        <w:t>Address of Issuer’s Principal Executive Offices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principal executive offices of the Company are located at 175 Portland Street, 4th Floor, Boston, Massachusetts 02114.</w:t>
      </w:r>
    </w:p>
    <w:p>
      <w:pPr>
        <w:spacing w:after="0" w:line="235"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color w:val="auto"/>
        </w:rPr>
        <w:t>Item 2(a).</w:t>
      </w:r>
      <w:r>
        <w:rPr>
          <w:sz w:val="20"/>
          <w:szCs w:val="20"/>
          <w:color w:val="auto"/>
        </w:rPr>
        <w:tab/>
      </w:r>
      <w:r>
        <w:rPr>
          <w:rFonts w:ascii="Arial" w:cs="Arial" w:eastAsia="Arial" w:hAnsi="Arial"/>
          <w:sz w:val="19"/>
          <w:szCs w:val="19"/>
          <w:b w:val="1"/>
          <w:bCs w:val="1"/>
          <w:color w:val="auto"/>
        </w:rPr>
        <w:t>Name of Person Filing</w:t>
      </w:r>
    </w:p>
    <w:p>
      <w:pPr>
        <w:spacing w:after="0" w:line="212" w:lineRule="exact"/>
        <w:rPr>
          <w:sz w:val="20"/>
          <w:szCs w:val="20"/>
          <w:color w:val="auto"/>
        </w:rPr>
      </w:pPr>
    </w:p>
    <w:p>
      <w:pPr>
        <w:ind w:firstLine="648"/>
        <w:spacing w:after="0" w:line="238" w:lineRule="auto"/>
        <w:rPr>
          <w:sz w:val="20"/>
          <w:szCs w:val="20"/>
          <w:color w:val="auto"/>
        </w:rPr>
      </w:pPr>
      <w:r>
        <w:rPr>
          <w:rFonts w:ascii="Arial" w:cs="Arial" w:eastAsia="Arial" w:hAnsi="Arial"/>
          <w:sz w:val="22"/>
          <w:szCs w:val="22"/>
          <w:color w:val="auto"/>
        </w:rPr>
        <w:t>This Statement is being filed on behalf of Atlas Venture Fund VII, L.P. (“</w:t>
      </w:r>
      <w:r>
        <w:rPr>
          <w:rFonts w:ascii="Arial" w:cs="Arial" w:eastAsia="Arial" w:hAnsi="Arial"/>
          <w:sz w:val="22"/>
          <w:szCs w:val="22"/>
          <w:u w:val="single" w:color="auto"/>
          <w:color w:val="auto"/>
        </w:rPr>
        <w:t>Atlas VII</w:t>
      </w:r>
      <w:r>
        <w:rPr>
          <w:rFonts w:ascii="Arial" w:cs="Arial" w:eastAsia="Arial" w:hAnsi="Arial"/>
          <w:sz w:val="22"/>
          <w:szCs w:val="22"/>
          <w:color w:val="auto"/>
        </w:rPr>
        <w:t>”). Atlas Venture Associates VII, L.P. (“</w:t>
      </w:r>
      <w:r>
        <w:rPr>
          <w:rFonts w:ascii="Arial" w:cs="Arial" w:eastAsia="Arial" w:hAnsi="Arial"/>
          <w:sz w:val="22"/>
          <w:szCs w:val="22"/>
          <w:u w:val="single" w:color="auto"/>
          <w:color w:val="auto"/>
        </w:rPr>
        <w:t>AVA VII LP</w:t>
      </w:r>
      <w:r>
        <w:rPr>
          <w:rFonts w:ascii="Arial" w:cs="Arial" w:eastAsia="Arial" w:hAnsi="Arial"/>
          <w:sz w:val="22"/>
          <w:szCs w:val="22"/>
          <w:color w:val="auto"/>
        </w:rPr>
        <w:t>”) is the sole general partner of Atlas VII. Atlas Venture Associates VII, Inc. (“</w:t>
      </w:r>
      <w:r>
        <w:rPr>
          <w:rFonts w:ascii="Arial" w:cs="Arial" w:eastAsia="Arial" w:hAnsi="Arial"/>
          <w:sz w:val="22"/>
          <w:szCs w:val="22"/>
          <w:u w:val="single" w:color="auto"/>
          <w:color w:val="auto"/>
        </w:rPr>
        <w:t>AVA VII Inc.</w:t>
      </w:r>
      <w:r>
        <w:rPr>
          <w:rFonts w:ascii="Arial" w:cs="Arial" w:eastAsia="Arial" w:hAnsi="Arial"/>
          <w:sz w:val="22"/>
          <w:szCs w:val="22"/>
          <w:color w:val="auto"/>
        </w:rPr>
        <w:t>”) is the sole general partner of AVA VII LP. Peter Barrett, Bruce Booth, Jeff Fagnan and Jean-Francois Formela, is each a director of AVA VII Inc. (the “</w:t>
      </w:r>
      <w:r>
        <w:rPr>
          <w:rFonts w:ascii="Arial" w:cs="Arial" w:eastAsia="Arial" w:hAnsi="Arial"/>
          <w:sz w:val="22"/>
          <w:szCs w:val="22"/>
          <w:u w:val="single" w:color="auto"/>
          <w:color w:val="auto"/>
        </w:rPr>
        <w:t>Directors</w:t>
      </w:r>
      <w:r>
        <w:rPr>
          <w:rFonts w:ascii="Arial" w:cs="Arial" w:eastAsia="Arial" w:hAnsi="Arial"/>
          <w:sz w:val="22"/>
          <w:szCs w:val="22"/>
          <w:color w:val="auto"/>
        </w:rPr>
        <w:t>”).</w:t>
      </w:r>
    </w:p>
    <w:p>
      <w:pPr>
        <w:spacing w:after="0" w:line="179" w:lineRule="exact"/>
        <w:rPr>
          <w:sz w:val="20"/>
          <w:szCs w:val="20"/>
          <w:color w:val="auto"/>
        </w:rPr>
      </w:pPr>
    </w:p>
    <w:p>
      <w:pPr>
        <w:spacing w:after="0"/>
        <w:tabs>
          <w:tab w:leader="none" w:pos="1120" w:val="left"/>
        </w:tabs>
        <w:rPr>
          <w:sz w:val="20"/>
          <w:szCs w:val="20"/>
          <w:color w:val="auto"/>
        </w:rPr>
      </w:pPr>
      <w:r>
        <w:rPr>
          <w:rFonts w:ascii="Arial" w:cs="Arial" w:eastAsia="Arial" w:hAnsi="Arial"/>
          <w:sz w:val="22"/>
          <w:szCs w:val="22"/>
          <w:color w:val="auto"/>
        </w:rPr>
        <w:t>Item 2(b).</w:t>
      </w:r>
      <w:r>
        <w:rPr>
          <w:sz w:val="20"/>
          <w:szCs w:val="20"/>
          <w:color w:val="auto"/>
        </w:rPr>
        <w:tab/>
      </w:r>
      <w:r>
        <w:rPr>
          <w:rFonts w:ascii="Arial" w:cs="Arial" w:eastAsia="Arial" w:hAnsi="Arial"/>
          <w:sz w:val="18"/>
          <w:szCs w:val="18"/>
          <w:b w:val="1"/>
          <w:bCs w:val="1"/>
          <w:color w:val="auto"/>
        </w:rPr>
        <w:t>Address of Principal Business Office or, if none, Residence</w:t>
      </w:r>
    </w:p>
    <w:p>
      <w:pPr>
        <w:spacing w:after="0" w:line="212" w:lineRule="exact"/>
        <w:rPr>
          <w:sz w:val="20"/>
          <w:szCs w:val="20"/>
          <w:color w:val="auto"/>
        </w:rPr>
      </w:pPr>
    </w:p>
    <w:p>
      <w:pPr>
        <w:ind w:right="340" w:firstLine="648"/>
        <w:spacing w:after="0" w:line="251" w:lineRule="auto"/>
        <w:rPr>
          <w:sz w:val="20"/>
          <w:szCs w:val="20"/>
          <w:color w:val="auto"/>
        </w:rPr>
      </w:pPr>
      <w:r>
        <w:rPr>
          <w:rFonts w:ascii="Arial" w:cs="Arial" w:eastAsia="Arial" w:hAnsi="Arial"/>
          <w:sz w:val="22"/>
          <w:szCs w:val="22"/>
          <w:color w:val="auto"/>
        </w:rPr>
        <w:t>The principal business address of each of Atlas VII, AVA VII LP, AVA VII Inc. and the Directors is 46 Wareham Street, Boston, MA 02118.</w:t>
      </w:r>
    </w:p>
    <w:p>
      <w:pPr>
        <w:spacing w:after="0" w:line="167" w:lineRule="exact"/>
        <w:rPr>
          <w:sz w:val="20"/>
          <w:szCs w:val="20"/>
          <w:color w:val="auto"/>
        </w:rPr>
      </w:pPr>
    </w:p>
    <w:p>
      <w:pPr>
        <w:spacing w:after="0"/>
        <w:tabs>
          <w:tab w:leader="none" w:pos="1120" w:val="left"/>
        </w:tabs>
        <w:rPr>
          <w:sz w:val="20"/>
          <w:szCs w:val="20"/>
          <w:color w:val="auto"/>
        </w:rPr>
      </w:pPr>
      <w:r>
        <w:rPr>
          <w:rFonts w:ascii="Arial" w:cs="Arial" w:eastAsia="Arial" w:hAnsi="Arial"/>
          <w:sz w:val="22"/>
          <w:szCs w:val="22"/>
          <w:color w:val="auto"/>
        </w:rPr>
        <w:t>Item 2(c).</w:t>
      </w:r>
      <w:r>
        <w:rPr>
          <w:sz w:val="20"/>
          <w:szCs w:val="20"/>
          <w:color w:val="auto"/>
        </w:rPr>
        <w:tab/>
      </w:r>
      <w:r>
        <w:rPr>
          <w:rFonts w:ascii="Arial" w:cs="Arial" w:eastAsia="Arial" w:hAnsi="Arial"/>
          <w:sz w:val="19"/>
          <w:szCs w:val="19"/>
          <w:b w:val="1"/>
          <w:bCs w:val="1"/>
          <w:color w:val="auto"/>
        </w:rPr>
        <w:t>Citizenship</w:t>
      </w:r>
    </w:p>
    <w:p>
      <w:pPr>
        <w:spacing w:after="0" w:line="212" w:lineRule="exact"/>
        <w:rPr>
          <w:sz w:val="20"/>
          <w:szCs w:val="20"/>
          <w:color w:val="auto"/>
        </w:rPr>
      </w:pPr>
    </w:p>
    <w:p>
      <w:pPr>
        <w:ind w:right="20" w:firstLine="648"/>
        <w:spacing w:after="0"/>
        <w:rPr>
          <w:sz w:val="20"/>
          <w:szCs w:val="20"/>
          <w:color w:val="auto"/>
        </w:rPr>
      </w:pPr>
      <w:r>
        <w:rPr>
          <w:rFonts w:ascii="Arial" w:cs="Arial" w:eastAsia="Arial" w:hAnsi="Arial"/>
          <w:sz w:val="22"/>
          <w:szCs w:val="22"/>
          <w:color w:val="auto"/>
        </w:rPr>
        <w:t>Each of Atlas VII, AVA VII LP and AVA VII Inc. is organized under the laws of Delaware. Mr. Barrett is a citizen of the United States. Mr. Booth is a citizen of the United States. Mr. Fagnan is a citizen of the United States. Mr. Formela is a citizen of the United States.</w:t>
      </w:r>
    </w:p>
    <w:p>
      <w:pPr>
        <w:spacing w:after="0" w:line="180" w:lineRule="exact"/>
        <w:rPr>
          <w:sz w:val="20"/>
          <w:szCs w:val="20"/>
          <w:color w:val="auto"/>
        </w:rPr>
      </w:pPr>
    </w:p>
    <w:p>
      <w:pPr>
        <w:spacing w:after="0"/>
        <w:tabs>
          <w:tab w:leader="none" w:pos="1100" w:val="left"/>
        </w:tabs>
        <w:rPr>
          <w:sz w:val="20"/>
          <w:szCs w:val="20"/>
          <w:color w:val="auto"/>
        </w:rPr>
      </w:pPr>
      <w:r>
        <w:rPr>
          <w:rFonts w:ascii="Arial" w:cs="Arial" w:eastAsia="Arial" w:hAnsi="Arial"/>
          <w:sz w:val="22"/>
          <w:szCs w:val="22"/>
          <w:color w:val="auto"/>
        </w:rPr>
        <w:t>Item 2(d).</w:t>
      </w:r>
      <w:r>
        <w:rPr>
          <w:sz w:val="20"/>
          <w:szCs w:val="20"/>
          <w:color w:val="auto"/>
        </w:rPr>
        <w:tab/>
      </w:r>
      <w:r>
        <w:rPr>
          <w:rFonts w:ascii="Arial" w:cs="Arial" w:eastAsia="Arial" w:hAnsi="Arial"/>
          <w:sz w:val="19"/>
          <w:szCs w:val="19"/>
          <w:b w:val="1"/>
          <w:bCs w:val="1"/>
          <w:color w:val="auto"/>
        </w:rPr>
        <w:t>Title of Class of Securities</w:t>
      </w:r>
    </w:p>
    <w:p>
      <w:pPr>
        <w:spacing w:after="0" w:line="212" w:lineRule="exact"/>
        <w:rPr>
          <w:sz w:val="20"/>
          <w:szCs w:val="20"/>
          <w:color w:val="auto"/>
        </w:rPr>
      </w:pPr>
    </w:p>
    <w:p>
      <w:pPr>
        <w:ind w:right="160" w:firstLine="648"/>
        <w:spacing w:after="0" w:line="251" w:lineRule="auto"/>
        <w:rPr>
          <w:sz w:val="20"/>
          <w:szCs w:val="20"/>
          <w:color w:val="auto"/>
        </w:rPr>
      </w:pPr>
      <w:r>
        <w:rPr>
          <w:rFonts w:ascii="Arial" w:cs="Arial" w:eastAsia="Arial" w:hAnsi="Arial"/>
          <w:sz w:val="22"/>
          <w:szCs w:val="22"/>
          <w:color w:val="auto"/>
        </w:rPr>
        <w:t>The class of equity securities of the Company to which this filing on Schedule 13G/A relates is Common Stock, par value $0.001 (“Common Stock”).</w:t>
      </w:r>
    </w:p>
    <w:p>
      <w:pPr>
        <w:spacing w:after="0" w:line="167" w:lineRule="exact"/>
        <w:rPr>
          <w:sz w:val="20"/>
          <w:szCs w:val="20"/>
          <w:color w:val="auto"/>
        </w:rPr>
      </w:pPr>
    </w:p>
    <w:p>
      <w:pPr>
        <w:spacing w:after="0"/>
        <w:tabs>
          <w:tab w:leader="none" w:pos="1120" w:val="left"/>
        </w:tabs>
        <w:rPr>
          <w:sz w:val="20"/>
          <w:szCs w:val="20"/>
          <w:color w:val="auto"/>
        </w:rPr>
      </w:pPr>
      <w:r>
        <w:rPr>
          <w:rFonts w:ascii="Arial" w:cs="Arial" w:eastAsia="Arial" w:hAnsi="Arial"/>
          <w:sz w:val="22"/>
          <w:szCs w:val="22"/>
          <w:color w:val="auto"/>
        </w:rPr>
        <w:t>Item 2(e).</w:t>
      </w:r>
      <w:r>
        <w:rPr>
          <w:sz w:val="20"/>
          <w:szCs w:val="20"/>
          <w:color w:val="auto"/>
        </w:rPr>
        <w:tab/>
      </w:r>
      <w:r>
        <w:rPr>
          <w:rFonts w:ascii="Arial" w:cs="Arial" w:eastAsia="Arial" w:hAnsi="Arial"/>
          <w:sz w:val="19"/>
          <w:szCs w:val="19"/>
          <w:b w:val="1"/>
          <w:bCs w:val="1"/>
          <w:color w:val="auto"/>
        </w:rPr>
        <w:t>CUSIP Number</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CUSIP number of the Company’s Common Stock is 98885E103.</w:t>
      </w:r>
    </w:p>
    <w:p>
      <w:pPr>
        <w:spacing w:after="0" w:line="200" w:lineRule="exact"/>
        <w:rPr>
          <w:sz w:val="20"/>
          <w:szCs w:val="20"/>
          <w:color w:val="auto"/>
        </w:rPr>
      </w:pPr>
    </w:p>
    <w:p>
      <w:pPr>
        <w:spacing w:after="0"/>
        <w:tabs>
          <w:tab w:leader="none" w:pos="1120" w:val="left"/>
        </w:tabs>
        <w:rPr>
          <w:sz w:val="20"/>
          <w:szCs w:val="20"/>
          <w:color w:val="auto"/>
        </w:rPr>
      </w:pPr>
      <w:r>
        <w:rPr>
          <w:rFonts w:ascii="Arial" w:cs="Arial" w:eastAsia="Arial" w:hAnsi="Arial"/>
          <w:sz w:val="22"/>
          <w:szCs w:val="22"/>
          <w:color w:val="auto"/>
        </w:rPr>
        <w:t>Item 3.</w:t>
      </w:r>
      <w:r>
        <w:rPr>
          <w:sz w:val="20"/>
          <w:szCs w:val="20"/>
          <w:color w:val="auto"/>
        </w:rPr>
        <w:tab/>
      </w:r>
      <w:r>
        <w:rPr>
          <w:rFonts w:ascii="Arial" w:cs="Arial" w:eastAsia="Arial" w:hAnsi="Arial"/>
          <w:sz w:val="19"/>
          <w:szCs w:val="19"/>
          <w:b w:val="1"/>
          <w:bCs w:val="1"/>
          <w:color w:val="auto"/>
        </w:rPr>
        <w:t>If this statement is filed pursuant to §§ 240.13d-1(b) or 240.13d-2(b) or (c), check whether the person filing is</w:t>
      </w:r>
    </w:p>
    <w:p>
      <w:pPr>
        <w:spacing w:after="0" w:line="14" w:lineRule="exact"/>
        <w:rPr>
          <w:sz w:val="20"/>
          <w:szCs w:val="20"/>
          <w:color w:val="auto"/>
        </w:rPr>
      </w:pPr>
    </w:p>
    <w:p>
      <w:pPr>
        <w:ind w:left="1500" w:hanging="351"/>
        <w:spacing w:after="0"/>
        <w:tabs>
          <w:tab w:leader="none" w:pos="1500" w:val="left"/>
        </w:tabs>
        <w:numPr>
          <w:ilvl w:val="0"/>
          <w:numId w:val="8"/>
        </w:numPr>
        <w:rPr>
          <w:rFonts w:ascii="Arial" w:cs="Arial" w:eastAsia="Arial" w:hAnsi="Arial"/>
          <w:sz w:val="22"/>
          <w:szCs w:val="22"/>
          <w:b w:val="1"/>
          <w:bCs w:val="1"/>
          <w:color w:val="auto"/>
        </w:rPr>
      </w:pPr>
      <w:r>
        <w:rPr>
          <w:rFonts w:ascii="Arial" w:cs="Arial" w:eastAsia="Arial" w:hAnsi="Arial"/>
          <w:sz w:val="22"/>
          <w:szCs w:val="22"/>
          <w:color w:val="auto"/>
        </w:rPr>
        <w:t>Not applicable.</w:t>
      </w:r>
    </w:p>
    <w:p>
      <w:pPr>
        <w:spacing w:after="0" w:line="182" w:lineRule="exact"/>
        <w:rPr>
          <w:sz w:val="20"/>
          <w:szCs w:val="20"/>
          <w:color w:val="auto"/>
        </w:rPr>
      </w:pPr>
    </w:p>
    <w:p>
      <w:pPr>
        <w:spacing w:after="0"/>
        <w:tabs>
          <w:tab w:leader="none" w:pos="1120" w:val="left"/>
        </w:tabs>
        <w:rPr>
          <w:sz w:val="20"/>
          <w:szCs w:val="20"/>
          <w:color w:val="auto"/>
        </w:rPr>
      </w:pPr>
      <w:r>
        <w:rPr>
          <w:rFonts w:ascii="Arial" w:cs="Arial" w:eastAsia="Arial" w:hAnsi="Arial"/>
          <w:sz w:val="22"/>
          <w:szCs w:val="22"/>
          <w:color w:val="auto"/>
        </w:rPr>
        <w:t>Item 4.</w:t>
      </w:r>
      <w:r>
        <w:rPr>
          <w:sz w:val="20"/>
          <w:szCs w:val="20"/>
          <w:color w:val="auto"/>
        </w:rPr>
        <w:tab/>
      </w:r>
      <w:r>
        <w:rPr>
          <w:rFonts w:ascii="Arial" w:cs="Arial" w:eastAsia="Arial" w:hAnsi="Arial"/>
          <w:sz w:val="19"/>
          <w:szCs w:val="19"/>
          <w:b w:val="1"/>
          <w:bCs w:val="1"/>
          <w:color w:val="auto"/>
        </w:rPr>
        <w:t>Ownership</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Item 4(a). </w:t>
      </w:r>
      <w:r>
        <w:rPr>
          <w:rFonts w:ascii="Arial" w:cs="Arial" w:eastAsia="Arial" w:hAnsi="Arial"/>
          <w:sz w:val="22"/>
          <w:szCs w:val="22"/>
          <w:b w:val="1"/>
          <w:bCs w:val="1"/>
          <w:color w:val="auto"/>
        </w:rPr>
        <w:t>Amount beneficially owned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40" w:top="328" w:right="319" w:bottom="1440" w:gutter="0" w:footer="0" w:header="0"/>
        </w:sectPr>
      </w:pPr>
    </w:p>
    <w:bookmarkStart w:id="3" w:name="page4"/>
    <w:bookmarkEnd w:id="3"/>
    <w:p>
      <w:pPr>
        <w:ind w:firstLine="648"/>
        <w:spacing w:after="0" w:line="279" w:lineRule="auto"/>
        <w:rPr>
          <w:sz w:val="20"/>
          <w:szCs w:val="20"/>
          <w:color w:val="auto"/>
        </w:rPr>
      </w:pPr>
      <w:r>
        <w:rPr>
          <w:rFonts w:ascii="Arial" w:cs="Arial" w:eastAsia="Arial" w:hAnsi="Arial"/>
          <w:sz w:val="19"/>
          <w:szCs w:val="19"/>
          <w:color w:val="auto"/>
        </w:rPr>
        <w:t>As of the close of business on December 31, 2018, Atlas VII is the record holder of 3,506,184 shares of Common Stock (the “Atlas Shares”). AVA VII LP is the sole general partner of Atlas VII. AVA VII Inc. is the sole general partner of AVA VII LP. Messrs. Barrett, Booth, Fagnan and Formela are the directors of AVA VII Inc. No person other than the respective owner referred to herein of the Atlas Shares is known to have the right to receive or the power to direct the receipt of dividends from or the proceeds from the sale of such Atlas Shares. Each of Atlas VII, AVA VII LP, AVA VII Inc. and the Directors disclaim beneficial ownership of the Atlas Shares except for such shares, if any, such person holds of record.</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Item 4(b). </w:t>
      </w:r>
      <w:r>
        <w:rPr>
          <w:rFonts w:ascii="Arial" w:cs="Arial" w:eastAsia="Arial" w:hAnsi="Arial"/>
          <w:sz w:val="22"/>
          <w:szCs w:val="22"/>
          <w:b w:val="1"/>
          <w:bCs w:val="1"/>
          <w:color w:val="auto"/>
        </w:rPr>
        <w:t>Percent of Class</w:t>
      </w:r>
    </w:p>
    <w:p>
      <w:pPr>
        <w:spacing w:after="0" w:line="212" w:lineRule="exact"/>
        <w:rPr>
          <w:sz w:val="20"/>
          <w:szCs w:val="20"/>
          <w:color w:val="auto"/>
        </w:rPr>
      </w:pPr>
    </w:p>
    <w:p>
      <w:pPr>
        <w:ind w:right="500" w:firstLine="648"/>
        <w:spacing w:after="0" w:line="251" w:lineRule="auto"/>
        <w:rPr>
          <w:sz w:val="20"/>
          <w:szCs w:val="20"/>
          <w:color w:val="auto"/>
        </w:rPr>
      </w:pPr>
      <w:r>
        <w:rPr>
          <w:rFonts w:ascii="Arial" w:cs="Arial" w:eastAsia="Arial" w:hAnsi="Arial"/>
          <w:sz w:val="22"/>
          <w:szCs w:val="22"/>
          <w:color w:val="auto"/>
        </w:rPr>
        <w:t>As of the close of business on December 31, 2018, Atlas VII was the beneficial owner of 9.40% of the Common Stock based on 37,287,221 shares outstanding as confirmed by the Company.</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Item 4(c). </w:t>
      </w:r>
      <w:r>
        <w:rPr>
          <w:rFonts w:ascii="Arial" w:cs="Arial" w:eastAsia="Arial" w:hAnsi="Arial"/>
          <w:sz w:val="22"/>
          <w:szCs w:val="22"/>
          <w:b w:val="1"/>
          <w:bCs w:val="1"/>
          <w:color w:val="auto"/>
        </w:rPr>
        <w:t>Number of shares as to which the person has:</w:t>
      </w:r>
    </w:p>
    <w:p>
      <w:pPr>
        <w:spacing w:after="0" w:line="214" w:lineRule="exact"/>
        <w:rPr>
          <w:sz w:val="20"/>
          <w:szCs w:val="20"/>
          <w:color w:val="auto"/>
        </w:rPr>
      </w:pPr>
    </w:p>
    <w:tbl>
      <w:tblPr>
        <w:tblLayout w:type="fixed"/>
        <w:tblInd w:w="1090" w:type="dxa"/>
        <w:tblCellMar>
          <w:top w:w="0" w:type="dxa"/>
          <w:left w:w="0" w:type="dxa"/>
          <w:bottom w:w="0" w:type="dxa"/>
          <w:right w:w="0" w:type="dxa"/>
        </w:tblCellMar>
      </w:tblPr>
      <w:tr>
        <w:trPr>
          <w:trHeight w:val="243"/>
        </w:trPr>
        <w:tc>
          <w:tcPr>
            <w:tcW w:w="1240" w:type="dxa"/>
            <w:vAlign w:val="bottom"/>
            <w:tcBorders>
              <w:top w:val="single" w:sz="8" w:color="auto"/>
              <w:left w:val="single" w:sz="8" w:color="auto"/>
              <w:bottom w:val="single" w:sz="8" w:color="auto"/>
              <w:right w:val="single" w:sz="8" w:color="auto"/>
            </w:tcBorders>
          </w:tcPr>
          <w:p>
            <w:pPr>
              <w:jc w:val="right"/>
              <w:ind w:right="21"/>
              <w:spacing w:after="0"/>
              <w:rPr>
                <w:sz w:val="20"/>
                <w:szCs w:val="20"/>
                <w:color w:val="auto"/>
              </w:rPr>
            </w:pPr>
            <w:r>
              <w:rPr>
                <w:rFonts w:ascii="Arial" w:cs="Arial" w:eastAsia="Arial" w:hAnsi="Arial"/>
                <w:sz w:val="20"/>
                <w:szCs w:val="20"/>
                <w:color w:val="auto"/>
              </w:rPr>
              <w:t>(i)</w:t>
            </w:r>
          </w:p>
        </w:tc>
        <w:tc>
          <w:tcPr>
            <w:tcW w:w="4840" w:type="dxa"/>
            <w:vAlign w:val="bottom"/>
            <w:tcBorders>
              <w:top w:val="single" w:sz="8" w:color="auto"/>
              <w:bottom w:val="single" w:sz="8" w:color="auto"/>
              <w:right w:val="single" w:sz="8" w:color="auto"/>
            </w:tcBorders>
          </w:tcPr>
          <w:p>
            <w:pPr>
              <w:ind w:left="240"/>
              <w:spacing w:after="0"/>
              <w:rPr>
                <w:sz w:val="20"/>
                <w:szCs w:val="20"/>
                <w:color w:val="auto"/>
              </w:rPr>
            </w:pPr>
            <w:r>
              <w:rPr>
                <w:rFonts w:ascii="Arial" w:cs="Arial" w:eastAsia="Arial" w:hAnsi="Arial"/>
                <w:sz w:val="20"/>
                <w:szCs w:val="20"/>
                <w:color w:val="auto"/>
              </w:rPr>
              <w:t>sole power to vote or to direct the vote:</w:t>
            </w:r>
          </w:p>
        </w:tc>
        <w:tc>
          <w:tcPr>
            <w:tcW w:w="4080" w:type="dxa"/>
            <w:vAlign w:val="bottom"/>
            <w:tcBorders>
              <w:top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0</w:t>
            </w:r>
          </w:p>
        </w:tc>
      </w:tr>
      <w:tr>
        <w:trPr>
          <w:trHeight w:val="223"/>
        </w:trPr>
        <w:tc>
          <w:tcPr>
            <w:tcW w:w="1240" w:type="dxa"/>
            <w:vAlign w:val="bottom"/>
            <w:tcBorders>
              <w:left w:val="single" w:sz="8" w:color="auto"/>
              <w:bottom w:val="single" w:sz="8" w:color="auto"/>
              <w:right w:val="single" w:sz="8" w:color="auto"/>
            </w:tcBorders>
          </w:tcPr>
          <w:p>
            <w:pPr>
              <w:jc w:val="right"/>
              <w:ind w:right="21"/>
              <w:spacing w:after="0" w:line="223" w:lineRule="exact"/>
              <w:rPr>
                <w:sz w:val="20"/>
                <w:szCs w:val="20"/>
                <w:color w:val="auto"/>
              </w:rPr>
            </w:pPr>
            <w:r>
              <w:rPr>
                <w:rFonts w:ascii="Arial" w:cs="Arial" w:eastAsia="Arial" w:hAnsi="Arial"/>
                <w:sz w:val="20"/>
                <w:szCs w:val="20"/>
                <w:color w:val="auto"/>
              </w:rPr>
              <w:t>(ii)</w:t>
            </w:r>
          </w:p>
        </w:tc>
        <w:tc>
          <w:tcPr>
            <w:tcW w:w="4840" w:type="dxa"/>
            <w:vAlign w:val="bottom"/>
            <w:tcBorders>
              <w:bottom w:val="single" w:sz="8" w:color="auto"/>
              <w:right w:val="single" w:sz="8" w:color="auto"/>
            </w:tcBorders>
          </w:tcPr>
          <w:p>
            <w:pPr>
              <w:ind w:left="240"/>
              <w:spacing w:after="0" w:line="223" w:lineRule="exact"/>
              <w:rPr>
                <w:sz w:val="20"/>
                <w:szCs w:val="20"/>
                <w:color w:val="auto"/>
              </w:rPr>
            </w:pPr>
            <w:r>
              <w:rPr>
                <w:rFonts w:ascii="Arial" w:cs="Arial" w:eastAsia="Arial" w:hAnsi="Arial"/>
                <w:sz w:val="20"/>
                <w:szCs w:val="20"/>
                <w:color w:val="auto"/>
              </w:rPr>
              <w:t>shared power to vote or direct the vote:</w:t>
            </w:r>
          </w:p>
        </w:tc>
        <w:tc>
          <w:tcPr>
            <w:tcW w:w="4080" w:type="dxa"/>
            <w:vAlign w:val="bottom"/>
            <w:tcBorders>
              <w:bottom w:val="single" w:sz="8" w:color="auto"/>
              <w:right w:val="single" w:sz="8" w:color="auto"/>
            </w:tcBorders>
          </w:tcPr>
          <w:p>
            <w:pPr>
              <w:ind w:left="80"/>
              <w:spacing w:after="0" w:line="223" w:lineRule="exact"/>
              <w:rPr>
                <w:sz w:val="20"/>
                <w:szCs w:val="20"/>
                <w:color w:val="auto"/>
              </w:rPr>
            </w:pPr>
            <w:r>
              <w:rPr>
                <w:rFonts w:ascii="Arial" w:cs="Arial" w:eastAsia="Arial" w:hAnsi="Arial"/>
                <w:sz w:val="20"/>
                <w:szCs w:val="20"/>
                <w:color w:val="auto"/>
              </w:rPr>
              <w:t>3,506,184</w:t>
            </w:r>
          </w:p>
        </w:tc>
      </w:tr>
      <w:tr>
        <w:trPr>
          <w:trHeight w:val="223"/>
        </w:trPr>
        <w:tc>
          <w:tcPr>
            <w:tcW w:w="1240" w:type="dxa"/>
            <w:vAlign w:val="bottom"/>
            <w:tcBorders>
              <w:left w:val="single" w:sz="8" w:color="auto"/>
              <w:bottom w:val="single" w:sz="8" w:color="auto"/>
              <w:right w:val="single" w:sz="8" w:color="auto"/>
            </w:tcBorders>
          </w:tcPr>
          <w:p>
            <w:pPr>
              <w:jc w:val="right"/>
              <w:ind w:right="21"/>
              <w:spacing w:after="0" w:line="223" w:lineRule="exact"/>
              <w:rPr>
                <w:sz w:val="20"/>
                <w:szCs w:val="20"/>
                <w:color w:val="auto"/>
              </w:rPr>
            </w:pPr>
            <w:r>
              <w:rPr>
                <w:rFonts w:ascii="Arial" w:cs="Arial" w:eastAsia="Arial" w:hAnsi="Arial"/>
                <w:sz w:val="20"/>
                <w:szCs w:val="20"/>
                <w:color w:val="auto"/>
              </w:rPr>
              <w:t>(iii)</w:t>
            </w:r>
          </w:p>
        </w:tc>
        <w:tc>
          <w:tcPr>
            <w:tcW w:w="4840" w:type="dxa"/>
            <w:vAlign w:val="bottom"/>
            <w:tcBorders>
              <w:bottom w:val="single" w:sz="8" w:color="auto"/>
              <w:right w:val="single" w:sz="8" w:color="auto"/>
            </w:tcBorders>
          </w:tcPr>
          <w:p>
            <w:pPr>
              <w:ind w:left="240"/>
              <w:spacing w:after="0" w:line="223" w:lineRule="exact"/>
              <w:rPr>
                <w:sz w:val="20"/>
                <w:szCs w:val="20"/>
                <w:color w:val="auto"/>
              </w:rPr>
            </w:pPr>
            <w:r>
              <w:rPr>
                <w:rFonts w:ascii="Arial" w:cs="Arial" w:eastAsia="Arial" w:hAnsi="Arial"/>
                <w:sz w:val="20"/>
                <w:szCs w:val="20"/>
                <w:color w:val="auto"/>
              </w:rPr>
              <w:t>sole power to dispose or direct the disposition of:</w:t>
            </w:r>
          </w:p>
        </w:tc>
        <w:tc>
          <w:tcPr>
            <w:tcW w:w="4080" w:type="dxa"/>
            <w:vAlign w:val="bottom"/>
            <w:tcBorders>
              <w:bottom w:val="single" w:sz="8" w:color="auto"/>
              <w:right w:val="single" w:sz="8" w:color="auto"/>
            </w:tcBorders>
          </w:tcPr>
          <w:p>
            <w:pPr>
              <w:ind w:left="80"/>
              <w:spacing w:after="0" w:line="223" w:lineRule="exact"/>
              <w:rPr>
                <w:sz w:val="20"/>
                <w:szCs w:val="20"/>
                <w:color w:val="auto"/>
              </w:rPr>
            </w:pPr>
            <w:r>
              <w:rPr>
                <w:rFonts w:ascii="Arial" w:cs="Arial" w:eastAsia="Arial" w:hAnsi="Arial"/>
                <w:sz w:val="20"/>
                <w:szCs w:val="20"/>
                <w:color w:val="auto"/>
              </w:rPr>
              <w:t>0</w:t>
            </w:r>
          </w:p>
        </w:tc>
      </w:tr>
      <w:tr>
        <w:trPr>
          <w:trHeight w:val="244"/>
        </w:trPr>
        <w:tc>
          <w:tcPr>
            <w:tcW w:w="1240" w:type="dxa"/>
            <w:vAlign w:val="bottom"/>
            <w:tcBorders>
              <w:left w:val="single" w:sz="8" w:color="auto"/>
              <w:right w:val="single" w:sz="8" w:color="auto"/>
            </w:tcBorders>
          </w:tcPr>
          <w:p>
            <w:pPr>
              <w:jc w:val="right"/>
              <w:ind w:right="21"/>
              <w:spacing w:after="0"/>
              <w:rPr>
                <w:sz w:val="20"/>
                <w:szCs w:val="20"/>
                <w:color w:val="auto"/>
              </w:rPr>
            </w:pPr>
            <w:r>
              <w:rPr>
                <w:rFonts w:ascii="Arial" w:cs="Arial" w:eastAsia="Arial" w:hAnsi="Arial"/>
                <w:sz w:val="20"/>
                <w:szCs w:val="20"/>
                <w:color w:val="auto"/>
              </w:rPr>
              <w:t>(iv)</w:t>
            </w:r>
          </w:p>
        </w:tc>
        <w:tc>
          <w:tcPr>
            <w:tcW w:w="4840" w:type="dxa"/>
            <w:vAlign w:val="bottom"/>
            <w:tcBorders>
              <w:right w:val="single" w:sz="8" w:color="auto"/>
            </w:tcBorders>
          </w:tcPr>
          <w:p>
            <w:pPr>
              <w:ind w:left="240"/>
              <w:spacing w:after="0"/>
              <w:rPr>
                <w:sz w:val="20"/>
                <w:szCs w:val="20"/>
                <w:color w:val="auto"/>
              </w:rPr>
            </w:pPr>
            <w:r>
              <w:rPr>
                <w:rFonts w:ascii="Arial" w:cs="Arial" w:eastAsia="Arial" w:hAnsi="Arial"/>
                <w:sz w:val="20"/>
                <w:szCs w:val="20"/>
                <w:color w:val="auto"/>
                <w:w w:val="99"/>
              </w:rPr>
              <w:t>shared power to dispose or direct the disposition of:</w:t>
            </w:r>
          </w:p>
        </w:tc>
        <w:tc>
          <w:tcPr>
            <w:tcW w:w="408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3,506,184</w:t>
            </w:r>
          </w:p>
        </w:tc>
      </w:tr>
      <w:tr>
        <w:trPr>
          <w:trHeight w:val="209"/>
        </w:trPr>
        <w:tc>
          <w:tcPr>
            <w:tcW w:w="1240" w:type="dxa"/>
            <w:vAlign w:val="bottom"/>
            <w:tcBorders>
              <w:left w:val="single" w:sz="8" w:color="auto"/>
              <w:bottom w:val="single" w:sz="8" w:color="auto"/>
              <w:right w:val="single" w:sz="8" w:color="auto"/>
            </w:tcBorders>
          </w:tcPr>
          <w:p>
            <w:pPr>
              <w:spacing w:after="0"/>
              <w:rPr>
                <w:sz w:val="18"/>
                <w:szCs w:val="18"/>
                <w:color w:val="auto"/>
              </w:rPr>
            </w:pPr>
          </w:p>
        </w:tc>
        <w:tc>
          <w:tcPr>
            <w:tcW w:w="4840" w:type="dxa"/>
            <w:vAlign w:val="bottom"/>
            <w:tcBorders>
              <w:bottom w:val="single" w:sz="8" w:color="auto"/>
              <w:right w:val="single" w:sz="8" w:color="auto"/>
            </w:tcBorders>
          </w:tcPr>
          <w:p>
            <w:pPr>
              <w:spacing w:after="0"/>
              <w:rPr>
                <w:sz w:val="18"/>
                <w:szCs w:val="18"/>
                <w:color w:val="auto"/>
              </w:rPr>
            </w:pPr>
          </w:p>
        </w:tc>
        <w:tc>
          <w:tcPr>
            <w:tcW w:w="4080" w:type="dxa"/>
            <w:vAlign w:val="bottom"/>
            <w:tcBorders>
              <w:bottom w:val="single" w:sz="8" w:color="auto"/>
              <w:right w:val="single" w:sz="8" w:color="auto"/>
            </w:tcBorders>
          </w:tcPr>
          <w:p>
            <w:pPr>
              <w:spacing w:after="0"/>
              <w:rPr>
                <w:sz w:val="18"/>
                <w:szCs w:val="18"/>
                <w:color w:val="auto"/>
              </w:rPr>
            </w:pPr>
          </w:p>
        </w:tc>
      </w:tr>
    </w:tbl>
    <w:p>
      <w:pPr>
        <w:spacing w:after="0" w:line="189" w:lineRule="exact"/>
        <w:rPr>
          <w:sz w:val="20"/>
          <w:szCs w:val="20"/>
          <w:color w:val="auto"/>
        </w:rPr>
      </w:pPr>
    </w:p>
    <w:p>
      <w:pPr>
        <w:spacing w:after="0"/>
        <w:tabs>
          <w:tab w:leader="none" w:pos="1120" w:val="left"/>
        </w:tabs>
        <w:rPr>
          <w:sz w:val="20"/>
          <w:szCs w:val="20"/>
          <w:color w:val="auto"/>
        </w:rPr>
      </w:pPr>
      <w:r>
        <w:rPr>
          <w:rFonts w:ascii="Arial" w:cs="Arial" w:eastAsia="Arial" w:hAnsi="Arial"/>
          <w:sz w:val="22"/>
          <w:szCs w:val="22"/>
          <w:color w:val="auto"/>
        </w:rPr>
        <w:t>Item 5.</w:t>
      </w:r>
      <w:r>
        <w:rPr>
          <w:sz w:val="20"/>
          <w:szCs w:val="20"/>
          <w:color w:val="auto"/>
        </w:rPr>
        <w:tab/>
      </w:r>
      <w:r>
        <w:rPr>
          <w:rFonts w:ascii="Arial" w:cs="Arial" w:eastAsia="Arial" w:hAnsi="Arial"/>
          <w:sz w:val="19"/>
          <w:szCs w:val="19"/>
          <w:b w:val="1"/>
          <w:bCs w:val="1"/>
          <w:color w:val="auto"/>
        </w:rPr>
        <w:t>Ownership of Five Percent or Less of a Class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pacing w:after="0" w:line="216" w:lineRule="exact"/>
        <w:rPr>
          <w:sz w:val="20"/>
          <w:szCs w:val="20"/>
          <w:color w:val="auto"/>
        </w:rPr>
      </w:pPr>
    </w:p>
    <w:p>
      <w:pPr>
        <w:ind w:right="60"/>
        <w:spacing w:after="0" w:line="256" w:lineRule="auto"/>
        <w:rPr>
          <w:sz w:val="20"/>
          <w:szCs w:val="20"/>
          <w:color w:val="auto"/>
        </w:rPr>
      </w:pPr>
      <w:r>
        <w:rPr>
          <w:rFonts w:ascii="Arial" w:cs="Arial" w:eastAsia="Arial" w:hAnsi="Arial"/>
          <w:sz w:val="22"/>
          <w:szCs w:val="22"/>
          <w:b w:val="1"/>
          <w:bCs w:val="1"/>
          <w:color w:val="auto"/>
        </w:rPr>
        <w:t>All other items reported on the Schedule 13G/A dated as of February 12, 2018 and filed on behalf of the Filing Persons with respect to the Common Stock of Zafgen, Inc. remain unchanged.</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color w:val="auto"/>
        </w:rPr>
        <w:t>Dated: February 8, 2019</w:t>
      </w:r>
    </w:p>
    <w:p>
      <w:pPr>
        <w:spacing w:after="0" w:line="206"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ATLAS VENTURE FUND VII, L.P.</w:t>
      </w:r>
    </w:p>
    <w:p>
      <w:pPr>
        <w:ind w:left="5720"/>
        <w:spacing w:after="0" w:line="238" w:lineRule="auto"/>
        <w:rPr>
          <w:sz w:val="20"/>
          <w:szCs w:val="20"/>
          <w:color w:val="auto"/>
        </w:rPr>
      </w:pPr>
      <w:r>
        <w:rPr>
          <w:rFonts w:ascii="Arial" w:cs="Arial" w:eastAsia="Arial" w:hAnsi="Arial"/>
          <w:sz w:val="22"/>
          <w:szCs w:val="22"/>
          <w:color w:val="auto"/>
        </w:rPr>
        <w:t>By: Atlas Venture Associates VII, L.P.,</w:t>
      </w:r>
    </w:p>
    <w:p>
      <w:pPr>
        <w:ind w:left="5720"/>
        <w:spacing w:after="0" w:line="230" w:lineRule="auto"/>
        <w:rPr>
          <w:sz w:val="20"/>
          <w:szCs w:val="20"/>
          <w:color w:val="auto"/>
        </w:rPr>
      </w:pPr>
      <w:r>
        <w:rPr>
          <w:rFonts w:ascii="Arial" w:cs="Arial" w:eastAsia="Arial" w:hAnsi="Arial"/>
          <w:sz w:val="22"/>
          <w:szCs w:val="22"/>
          <w:color w:val="auto"/>
        </w:rPr>
        <w:t>its general partner</w:t>
      </w:r>
    </w:p>
    <w:p>
      <w:pPr>
        <w:ind w:left="5720"/>
        <w:spacing w:after="0" w:line="231" w:lineRule="auto"/>
        <w:rPr>
          <w:sz w:val="20"/>
          <w:szCs w:val="20"/>
          <w:color w:val="auto"/>
        </w:rPr>
      </w:pPr>
      <w:r>
        <w:rPr>
          <w:rFonts w:ascii="Arial" w:cs="Arial" w:eastAsia="Arial" w:hAnsi="Arial"/>
          <w:sz w:val="22"/>
          <w:szCs w:val="22"/>
          <w:color w:val="auto"/>
        </w:rPr>
        <w:t>By: Atlas Venture Associates VII, Inc.,</w:t>
      </w:r>
    </w:p>
    <w:p>
      <w:pPr>
        <w:spacing w:after="0" w:line="1"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its general partner</w:t>
      </w:r>
    </w:p>
    <w:p>
      <w:pPr>
        <w:spacing w:after="0" w:line="188"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22"/>
          <w:szCs w:val="22"/>
          <w:color w:val="auto"/>
        </w:rPr>
        <w:t>By:</w:t>
        <w:tab/>
        <w:t>/s/ Frank Castellucci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7620</wp:posOffset>
            </wp:positionV>
            <wp:extent cx="32670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2"/>
          <w:szCs w:val="22"/>
          <w:color w:val="auto"/>
        </w:rPr>
        <w:t>Name: Frank Castellucci</w:t>
      </w:r>
    </w:p>
    <w:p>
      <w:pPr>
        <w:ind w:left="6540"/>
        <w:spacing w:after="0"/>
        <w:rPr>
          <w:sz w:val="20"/>
          <w:szCs w:val="20"/>
          <w:color w:val="auto"/>
        </w:rPr>
      </w:pPr>
      <w:r>
        <w:rPr>
          <w:rFonts w:ascii="Arial" w:cs="Arial" w:eastAsia="Arial" w:hAnsi="Arial"/>
          <w:sz w:val="22"/>
          <w:szCs w:val="22"/>
          <w:color w:val="auto"/>
        </w:rPr>
        <w:t>Title: Secretary</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4 of 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33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decimal"/>
      <w:start w:val="1"/>
    </w:lvl>
  </w:abstractNum>
  <w:abstractNum w:abstractNumId="2">
    <w:nsid w:val="3D1B58BA"/>
    <w:multiLevelType w:val="hybridMultilevel"/>
    <w:lvl w:ilvl="0">
      <w:lvlJc w:val="left"/>
      <w:lvlText w:val="%1."/>
      <w:numFmt w:val="decimal"/>
      <w:start w:val="2"/>
    </w:lvl>
  </w:abstractNum>
  <w:abstractNum w:abstractNumId="3">
    <w:nsid w:val="507ED7AB"/>
    <w:multiLevelType w:val="hybridMultilevel"/>
    <w:lvl w:ilvl="0">
      <w:lvlJc w:val="left"/>
      <w:lvlText w:val="%1."/>
      <w:numFmt w:val="decimal"/>
      <w:start w:val="3"/>
    </w:lvl>
  </w:abstractNum>
  <w:abstractNum w:abstractNumId="4">
    <w:nsid w:val="2EB141F2"/>
    <w:multiLevelType w:val="hybridMultilevel"/>
    <w:lvl w:ilvl="0">
      <w:lvlJc w:val="left"/>
      <w:lvlText w:val="%1"/>
      <w:numFmt w:val="decimal"/>
      <w:start w:val="1"/>
    </w:lvl>
    <w:lvl w:ilvl="1">
      <w:lvlJc w:val="left"/>
      <w:lvlText w:val="%2."/>
      <w:numFmt w:val="decimal"/>
      <w:start w:val="8"/>
    </w:lvl>
  </w:abstractNum>
  <w:abstractNum w:abstractNumId="5">
    <w:nsid w:val="41B71EFB"/>
    <w:multiLevelType w:val="hybridMultilevel"/>
    <w:lvl w:ilvl="0">
      <w:lvlJc w:val="left"/>
      <w:lvlText w:val="%1."/>
      <w:numFmt w:val="decimal"/>
      <w:start w:val="9"/>
    </w:lvl>
    <w:lvl w:ilvl="1">
      <w:lvlJc w:val="left"/>
      <w:lvlText w:val="%2"/>
      <w:numFmt w:val="decimal"/>
      <w:start w:val="1"/>
    </w:lvl>
  </w:abstractNum>
  <w:abstractNum w:abstractNumId="6">
    <w:nsid w:val="79E2A9E3"/>
    <w:multiLevelType w:val="hybridMultilevel"/>
    <w:lvl w:ilvl="0">
      <w:lvlJc w:val="left"/>
      <w:lvlText w:val="%1."/>
      <w:numFmt w:val="decimal"/>
      <w:start w:val="11"/>
    </w:lvl>
  </w:abstractNum>
  <w:abstractNum w:abstractNumId="7">
    <w:nsid w:val="7545E14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2019-12-20T14:41:51Z</dcterms:created>
  <dcterms:modified xsi:type="dcterms:W3CDTF">2019-12-20T14:41:51Z</dcterms:modified>
</cp:coreProperties>
</file>