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As filed with the Securities and Exchange Commission on November 9, 2018.</w:t>
      </w:r>
    </w:p>
    <w:p>
      <w:pPr>
        <w:spacing w:after="0" w:line="27" w:lineRule="exact"/>
        <w:rPr>
          <w:sz w:val="24"/>
          <w:szCs w:val="24"/>
          <w:color w:val="auto"/>
        </w:rPr>
      </w:pPr>
    </w:p>
    <w:p>
      <w:pPr>
        <w:ind w:left="88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REGISTRATION STATEMENT</w:t>
      </w:r>
    </w:p>
    <w:p>
      <w:pPr>
        <w:jc w:val="center"/>
        <w:ind w:right="-2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230" w:right="4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400" w:space="720"/>
            <w:col w:w="3040"/>
          </w:cols>
          <w:pgMar w:left="240" w:top="230" w:right="499" w:bottom="0"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4"/>
          <w:szCs w:val="14"/>
          <w:b w:val="1"/>
          <w:bCs w:val="1"/>
          <w:color w:val="auto"/>
        </w:rPr>
        <w:t>(I.R.S. Employer</w:t>
      </w:r>
    </w:p>
    <w:p>
      <w:pPr>
        <w:jc w:val="center"/>
        <w:ind w:right="190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120" w:space="720"/>
            <w:col w:w="3320"/>
          </w:cols>
          <w:pgMar w:left="240" w:top="230" w:right="499" w:bottom="0" w:gutter="0" w:footer="0" w:header="0"/>
          <w:type w:val="continuous"/>
        </w:sectPr>
      </w:pPr>
    </w:p>
    <w:p>
      <w:pPr>
        <w:spacing w:after="0" w:line="17"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175 Portland Street, 4th Floor</w:t>
      </w:r>
    </w:p>
    <w:p>
      <w:pPr>
        <w:spacing w:after="0" w:line="50" w:lineRule="exact"/>
        <w:rPr>
          <w:sz w:val="24"/>
          <w:szCs w:val="24"/>
          <w:color w:val="auto"/>
        </w:rPr>
      </w:pPr>
    </w:p>
    <w:p>
      <w:pPr>
        <w:ind w:left="4600"/>
        <w:spacing w:after="0"/>
        <w:rPr>
          <w:sz w:val="20"/>
          <w:szCs w:val="20"/>
          <w:color w:val="auto"/>
        </w:rPr>
      </w:pPr>
      <w:r>
        <w:rPr>
          <w:rFonts w:ascii="Arial" w:cs="Arial" w:eastAsia="Arial" w:hAnsi="Arial"/>
          <w:sz w:val="16"/>
          <w:szCs w:val="16"/>
          <w:b w:val="1"/>
          <w:bCs w:val="1"/>
          <w:color w:val="auto"/>
        </w:rPr>
        <w:t>Boston, Massachusetts 02114</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160"/>
          </w:cols>
          <w:pgMar w:left="240" w:top="230" w:right="499" w:bottom="0" w:gutter="0" w:footer="0" w:header="0"/>
          <w:type w:val="continuous"/>
        </w:sectPr>
      </w:pP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(617) 622-4003</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Jeffrey S. Hatfield</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Boston, Massachusetts 02114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Danielle Lauzon, Esq.</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20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41" w:lineRule="exact"/>
        <w:rPr>
          <w:sz w:val="24"/>
          <w:szCs w:val="24"/>
          <w:color w:val="auto"/>
        </w:rPr>
      </w:pPr>
    </w:p>
    <w:p>
      <w:pPr>
        <w:ind w:left="200" w:right="3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40"/>
        <w:spacing w:after="0" w:line="22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or Securities Act,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160"/>
          </w:cols>
          <w:pgMar w:left="240" w:top="230" w:right="499" w:bottom="0" w:gutter="0" w:footer="0" w:header="0"/>
          <w:type w:val="continuous"/>
        </w:sectPr>
      </w:pPr>
    </w:p>
    <w:bookmarkStart w:id="1" w:name="page2"/>
    <w:bookmarkEnd w:id="1"/>
    <w:p>
      <w:pPr>
        <w:ind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Per Unit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 (3)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(5)</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(6)</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 (7)</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 (8)</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 (9)</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240" w:hanging="436"/>
        <w:spacing w:after="0" w:line="25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to be registered consists of up to $200,000,000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ind w:left="440" w:right="2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Form S-3 under the Securities Act.</w:t>
      </w:r>
    </w:p>
    <w:p>
      <w:pPr>
        <w:spacing w:after="0" w:line="9" w:lineRule="exact"/>
        <w:rPr>
          <w:rFonts w:ascii="Arial" w:cs="Arial" w:eastAsia="Arial" w:hAnsi="Arial"/>
          <w:sz w:val="16"/>
          <w:szCs w:val="16"/>
          <w:color w:val="auto"/>
        </w:rPr>
      </w:pPr>
    </w:p>
    <w:p>
      <w:pPr>
        <w:ind w:left="440" w:right="1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9" w:lineRule="exact"/>
        <w:rPr>
          <w:rFonts w:ascii="Arial" w:cs="Arial" w:eastAsia="Arial" w:hAnsi="Arial"/>
          <w:sz w:val="18"/>
          <w:szCs w:val="18"/>
          <w:color w:val="auto"/>
        </w:rPr>
      </w:pPr>
    </w:p>
    <w:p>
      <w:pPr>
        <w:ind w:left="440" w:right="38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40" w:right="36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40" w:right="2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ind w:left="440" w:right="3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number of warrants or other rights, including without limitation share purchase or subscription rights, as may be issued from time to time at indeterminate prices.</w:t>
      </w:r>
    </w:p>
    <w:p>
      <w:pPr>
        <w:ind w:left="440" w:right="180" w:hanging="436"/>
        <w:spacing w:after="0" w:line="261"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which may or may not be separable from one another.</w:t>
      </w:r>
    </w:p>
    <w:p>
      <w:pPr>
        <w:spacing w:after="0" w:line="28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179705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FF4338"/>
        </w:rPr>
        <w:t>SUBJECT TO COMPLETION,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FF4338"/>
        </w:rPr>
        <w:t>DATED November 9,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161290</wp:posOffset>
            </wp:positionV>
            <wp:extent cx="1844040" cy="840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from time to time issue, in one or more series or classes, up to $200,000,000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common stock is listed on The NASDAQ Global Market under the symbol “ZFGN.” On November 8, 2018, the closing price for our common stock, as reported on The NASDAQ Global Market, was $[•] per share. Our principal executive offices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00" w:right="20" w:firstLine="441"/>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contained in this prospectus beginning on page 4 and any applicable prospectus supplement, and under similar headings in the other documents that are incorporated by reference into this prospectus.</w:t>
      </w:r>
    </w:p>
    <w:p>
      <w:pPr>
        <w:spacing w:after="0" w:line="190" w:lineRule="exact"/>
        <w:rPr>
          <w:sz w:val="20"/>
          <w:szCs w:val="20"/>
          <w:color w:val="auto"/>
        </w:rPr>
      </w:pPr>
    </w:p>
    <w:p>
      <w:pPr>
        <w:ind w:left="200" w:right="1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4" w:lineRule="exact"/>
        <w:rPr>
          <w:sz w:val="20"/>
          <w:szCs w:val="20"/>
          <w:color w:val="auto"/>
        </w:rPr>
      </w:pPr>
    </w:p>
    <w:tbl>
      <w:tblPr>
        <w:tblLayout w:type="fixed"/>
        <w:tblInd w:w="398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20" w:type="dxa"/>
            <w:vAlign w:val="bottom"/>
          </w:tcPr>
          <w:p>
            <w:pPr>
              <w:jc w:val="right"/>
              <w:ind w:right="4471"/>
              <w:spacing w:after="0"/>
              <w:rPr>
                <w:sz w:val="20"/>
                <w:szCs w:val="20"/>
                <w:color w:val="auto"/>
              </w:rPr>
            </w:pPr>
            <w:r>
              <w:rPr>
                <w:rFonts w:ascii="Arial" w:cs="Arial" w:eastAsia="Arial" w:hAnsi="Arial"/>
                <w:sz w:val="18"/>
                <w:szCs w:val="18"/>
                <w:color w:val="auto"/>
                <w:w w:val="96"/>
              </w:rPr>
              <w:t>TABLE OF CONTENTS</w:t>
            </w:r>
          </w:p>
        </w:tc>
      </w:tr>
      <w:tr>
        <w:trPr>
          <w:trHeight w:val="407"/>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4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80" w:type="dxa"/>
            <w:vAlign w:val="bottom"/>
            <w:tcBorders>
              <w:top w:val="single" w:sz="8" w:color="0000EE"/>
            </w:tcBorders>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980" w:type="dxa"/>
            <w:vAlign w:val="bottom"/>
            <w:gridSpan w:val="9"/>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4560" w:type="dxa"/>
            <w:vAlign w:val="bottom"/>
            <w:gridSpan w:val="16"/>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Cautionary Statement Regarding Forward-Looking Statements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52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The Company</w:t>
              </w:r>
            </w:hyperlink>
          </w:p>
        </w:tc>
        <w:tc>
          <w:tcPr>
            <w:tcW w:w="4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456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Ratio of Earnings to Fixed Charges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24"/>
                <w:szCs w:val="24"/>
                <w:color w:val="auto"/>
              </w:rPr>
            </w:pPr>
          </w:p>
        </w:tc>
        <w:tc>
          <w:tcPr>
            <w:tcW w:w="2020" w:type="dxa"/>
            <w:vAlign w:val="bottom"/>
            <w:gridSpan w:val="3"/>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456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Securities We May Offer</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20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Description of Capital Stock</w:t>
              </w:r>
            </w:hyperlink>
          </w:p>
        </w:tc>
        <w:tc>
          <w:tcPr>
            <w:tcW w:w="2500" w:type="dxa"/>
            <w:vAlign w:val="bottom"/>
            <w:gridSpan w:val="5"/>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456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Description of Debt Securities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18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Description of Warrants</w:t>
              </w:r>
            </w:hyperlink>
          </w:p>
        </w:tc>
        <w:tc>
          <w:tcPr>
            <w:tcW w:w="2380" w:type="dxa"/>
            <w:vAlign w:val="bottom"/>
            <w:gridSpan w:val="4"/>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24"/>
                <w:szCs w:val="24"/>
                <w:color w:val="auto"/>
              </w:rPr>
            </w:pPr>
          </w:p>
        </w:tc>
        <w:tc>
          <w:tcPr>
            <w:tcW w:w="2840" w:type="dxa"/>
            <w:vAlign w:val="bottom"/>
            <w:gridSpan w:val="8"/>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4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Plan of Distribution</w:t>
              </w:r>
            </w:hyperlink>
          </w:p>
        </w:tc>
        <w:tc>
          <w:tcPr>
            <w:tcW w:w="3120" w:type="dxa"/>
            <w:vAlign w:val="bottom"/>
            <w:gridSpan w:val="11"/>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45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Experts</w:t>
              </w:r>
            </w:hyperlink>
          </w:p>
        </w:tc>
        <w:tc>
          <w:tcPr>
            <w:tcW w:w="460" w:type="dxa"/>
            <w:vAlign w:val="bottom"/>
            <w:tcBorders>
              <w:top w:val="single" w:sz="8" w:color="0000EE"/>
            </w:tcBorders>
            <w:gridSpan w:val="2"/>
          </w:tcPr>
          <w:p>
            <w:pPr>
              <w:spacing w:after="0"/>
              <w:rPr>
                <w:sz w:val="24"/>
                <w:szCs w:val="24"/>
                <w:color w:val="auto"/>
              </w:rPr>
            </w:pPr>
          </w:p>
        </w:tc>
        <w:tc>
          <w:tcPr>
            <w:tcW w:w="3540" w:type="dxa"/>
            <w:vAlign w:val="bottom"/>
            <w:gridSpan w:val="13"/>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Where You Can Find More Information</w:t>
              </w:r>
            </w:hyperlink>
          </w:p>
        </w:tc>
        <w:tc>
          <w:tcPr>
            <w:tcW w:w="1680" w:type="dxa"/>
            <w:vAlign w:val="bottom"/>
            <w:gridSpan w:val="2"/>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5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Incorporation by Reference</w:t>
              </w:r>
            </w:hyperlink>
          </w:p>
        </w:tc>
        <w:tc>
          <w:tcPr>
            <w:tcW w:w="6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jc w:val="right"/>
              <w:ind w:right="5331"/>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$200,000,000.</w:t>
      </w:r>
    </w:p>
    <w:p>
      <w:pPr>
        <w:spacing w:after="0" w:line="18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in connection with these offerings. The prospectus supplement and any free writing prospectus may also add, update or change information contained in this prospectus. You should read both this prospectus and the accompanying prospectus supplement and any free writing prospectus together with the additional information described under the heading “Where You Can Find More Information” beginning on page 32 of this prospectus.</w:t>
      </w:r>
    </w:p>
    <w:p>
      <w:pPr>
        <w:spacing w:after="0" w:line="193"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Unless the context otherwise indicates, references in this prospectus to “Zafgen”, “we”, “our”, “us” and “the Company” refer, collectively, to Zafgen, Inc., a Delaware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2017, which is on file with the SEC and is incorporated herein by reference, (ii) our quarterly reports on Form 10-Q for the quarters ended March 31, 2018, June 30, 2018, and September 30, 2018 which are on file with the SEC and are incorporated herein by reference, and (iii) other documents we file with the SEC that are deemed incorporated by reference into this prospectus.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66"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15"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file and have our investigational new drug application, or IND, for ZGN-1258 and/or ZGN-1061 go into effect;</w:t>
      </w:r>
    </w:p>
    <w:p>
      <w:pPr>
        <w:spacing w:after="0" w:line="142" w:lineRule="exact"/>
        <w:rPr>
          <w:rFonts w:ascii="Arial" w:cs="Arial" w:eastAsia="Arial" w:hAnsi="Arial"/>
          <w:sz w:val="17"/>
          <w:szCs w:val="17"/>
          <w:color w:val="auto"/>
        </w:rPr>
      </w:pPr>
    </w:p>
    <w:p>
      <w:pPr>
        <w:ind w:left="1060" w:right="42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advance ZGN-1258 and/or ZGN-1061 into and through all clinical trials to enable submission of a new drug application, or NDA;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ZGN-1258;</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advance through nonclinical trials and the IND enabling process an oral methionine aminopeptidase 2, or MetAP2, inhibitor;</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an MetAP2 inhibitor into Phase 1 trials;</w:t>
      </w:r>
    </w:p>
    <w:p>
      <w:pPr>
        <w:spacing w:after="0" w:line="130" w:lineRule="exact"/>
        <w:rPr>
          <w:rFonts w:ascii="Arial" w:cs="Arial" w:eastAsia="Arial" w:hAnsi="Arial"/>
          <w:sz w:val="18"/>
          <w:szCs w:val="18"/>
          <w:color w:val="auto"/>
        </w:rPr>
      </w:pPr>
    </w:p>
    <w:p>
      <w:pPr>
        <w:ind w:left="1060" w:right="92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dissociate effects of or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distinguish ZGN-1061, ZGN-1258 and other novel MetAP2 inhibitors relative to our first-generation compound;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our executive, medical and development teams; and</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this prospectus supplement and the accompanying prospectus or the documents incorporated by reference in this prospectus.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4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have also initiated development of a second, highly-optimized MetAP2 development candidate, ZGN-1258, which is administered by subcutaneous injection. We expect that our initial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80"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We initiated investigational new drug application, or IND, enabling nonclinical activities in the first quarter of 2018, in preparation for filing an IND with the U.S. Food and Drug Administration, or FDA, and plan to begin Phase 1 clinical development by the end of the first quarter of 2019. We anticipate our Phase 1 clinical program of ZGN-1258 will be focused on evaluation of drug exposure, safety and tolerability following single doses in healthy subjects, and understanding the dose-responsiveness of changes following repeat dosing for circulating biomarkers of drug effect, body weight change, and changes in hunger-related parameters in overweight or obese but otherwise healthy subjects. Providing the results of the Phase 1 clinical program are supportive of further development, subsequent clinical trials are anticipated to evaluate the effects of treatment with ZGN-1258 on core therapeutic endpoints in PWS such as improvement of hyperphagia-related behaviors. We have launched a co-sponsored four-year natural history study to advance understanding of the medical history of and medical events in people with PWS. The study is a non-interventional, observational study to evaluate occurrences of serious medical events in PWS, intended to inform development and clinical trial design for potential new treatments for PWS, including ZGN-1258, our new, second-generation program for PWS designed to decrease hyperphagia, change the way the body metabolizes fat, and reduce fat mass.</w:t>
      </w:r>
    </w:p>
    <w:p>
      <w:pPr>
        <w:spacing w:after="0" w:line="18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which is designed to demonstrate proof-of-concept efficacy and safety in patients with type 2 diabetes and establish minimally effective doses. The initial part of the Phase 2 clinical trial has met its primary objectives at a 0.9 mg dose as compared to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expect to report the results of an additional cohort arm dosing up to 1.8 mg early in 2019.</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glucose-dependent insulinotropic peptide, or GLP-1. From nonclinical data in a nonalcoholic steatohepatitis, or NASH, model, we further observed that ZGN-1061 markedly reduced liver weight, NAS score and markers of liver damage (ALT and AST). These NASH-related data, combined with previous gene expression data and clinical liver fat content data from Zafgen’s first-generation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19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principal executive offices are located at 175 Portland Street, 4th Floor, Boston, Massachusetts 02114 and our telephone number is (617) 622-4003.</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following table sets forth our ratio of earnings to fixed charges for the periods shown. You should read this table in conjunction with the consolidated financial statements and notes incorporated by reference in this prospectus. We have no shares of preferred stock outstanding and paid no dividends on shares of preferred stock during the periods indicated. Therefore, the ratios of earnings to combined fixed charges and preferred dividends are the same as the ratios of earnings to fixed charges presented below.</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Years Ended</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104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89"/>
              </w:rPr>
              <w:t>Sept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2015</w:t>
            </w:r>
          </w:p>
        </w:tc>
        <w:tc>
          <w:tcPr>
            <w:tcW w:w="860" w:type="dxa"/>
            <w:vAlign w:val="bottom"/>
            <w:tcBorders>
              <w:top w:val="single" w:sz="8" w:color="auto"/>
            </w:tcBorders>
            <w:gridSpan w:val="2"/>
          </w:tcPr>
          <w:p>
            <w:pPr>
              <w:jc w:val="center"/>
              <w:ind w:left="428"/>
              <w:spacing w:after="0" w:line="142"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N/A</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N/A</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N/A</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70" w:lineRule="exact"/>
        <w:rPr>
          <w:sz w:val="20"/>
          <w:szCs w:val="20"/>
          <w:color w:val="auto"/>
        </w:rPr>
      </w:pPr>
    </w:p>
    <w:p>
      <w:pPr>
        <w:ind w:left="200" w:right="140" w:firstLine="881"/>
        <w:spacing w:after="0" w:line="279" w:lineRule="auto"/>
        <w:rPr>
          <w:sz w:val="20"/>
          <w:szCs w:val="20"/>
          <w:color w:val="auto"/>
        </w:rPr>
      </w:pPr>
      <w:r>
        <w:rPr>
          <w:rFonts w:ascii="Arial" w:cs="Arial" w:eastAsia="Arial" w:hAnsi="Arial"/>
          <w:sz w:val="17"/>
          <w:szCs w:val="17"/>
          <w:color w:val="auto"/>
        </w:rPr>
        <w:t>Due to our net losses for the years ended December 31, 2017, 2016 and 2015 and for the nine months ended September 30, 2018, earnings were insufficient to cover fixed charges for such periods and we are unable to disclose a ratio of earnings to fixed charges for such periods. The dollar amount of the deficiency in earnings available for fixed charges for the years December 31, 2017, 2016 and 2015 and for the nine months ended September 30, 2018 were approximately $53.0 million, $58.2 million, $73.8 million and $46.8 million, respectively.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potential strategic acquisitions of complementary businesses, services or technologies, repayment and refinancing of debt, general and administrative costs,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3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or Charter, and our amended and restated bylaws, or Bylaws, which are exhibits to the registration statement of which this prospectus forms a part, and by applicable law. The terms of our common stock and preferred stock may also be affected by Delaware law.</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Our authorized capital stock consists of 115,000,000 shares of common stock, par value $0.001 per share, and 5,000,000 shares of preferred stock, par value $0.001 per share. As of November 8, 2018, we had 36,870,780 shares of common stock outstanding and no shares of preferred stock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“ZFGN.” On November 8, 2018, the closing price for our common stock, as reported on The NASDAQ Global Market, was $11.49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181" w:lineRule="exact"/>
        <w:rPr>
          <w:sz w:val="20"/>
          <w:szCs w:val="20"/>
          <w:color w:val="auto"/>
        </w:rPr>
      </w:pPr>
    </w:p>
    <w:p>
      <w:pPr>
        <w:jc w:val="both"/>
        <w:ind w:left="200" w:right="120" w:firstLine="881"/>
        <w:spacing w:after="0" w:line="264"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7"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liquidation preferences.</w:t>
      </w:r>
    </w:p>
    <w:p>
      <w:pPr>
        <w:sectPr>
          <w:pgSz w:w="11900" w:h="16838" w:orient="portrait"/>
          <w:cols w:equalWidth="0" w:num="1">
            <w:col w:w="11160"/>
          </w:cols>
          <w:pgMar w:left="240" w:top="459" w:right="499" w:bottom="1440" w:gutter="0" w:footer="0" w:header="0"/>
        </w:sectPr>
      </w:pP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240" w:top="459"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3"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7" w:lineRule="exact"/>
        <w:rPr>
          <w:sz w:val="20"/>
          <w:szCs w:val="20"/>
          <w:color w:val="auto"/>
        </w:rPr>
      </w:pPr>
    </w:p>
    <w:p>
      <w:pPr>
        <w:ind w:left="200" w:right="300" w:firstLine="881"/>
        <w:spacing w:after="0" w:line="264" w:lineRule="auto"/>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87"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60" w:right="2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6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of directors into three classes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 annual or special meeting, and that stockholders may not take any action by written consent in lieu of a meeting.</w:t>
      </w:r>
    </w:p>
    <w:p>
      <w:pPr>
        <w:spacing w:after="0" w:line="17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Charter and Bylaws provide that only a majority of the members of our board of directors then in office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7" w:lineRule="exact"/>
        <w:rPr>
          <w:sz w:val="20"/>
          <w:szCs w:val="20"/>
          <w:color w:val="auto"/>
        </w:rPr>
      </w:pPr>
    </w:p>
    <w:p>
      <w:pPr>
        <w:ind w:left="200" w:right="140" w:firstLine="881"/>
        <w:spacing w:after="0" w:line="297" w:lineRule="auto"/>
        <w:rPr>
          <w:sz w:val="20"/>
          <w:szCs w:val="20"/>
          <w:color w:val="auto"/>
        </w:rPr>
      </w:pPr>
      <w:r>
        <w:rPr>
          <w:rFonts w:ascii="Arial" w:cs="Arial" w:eastAsia="Arial" w:hAnsi="Arial"/>
          <w:sz w:val="16"/>
          <w:szCs w:val="16"/>
          <w:b w:val="1"/>
          <w:bCs w:val="1"/>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58" w:lineRule="exact"/>
        <w:rPr>
          <w:sz w:val="20"/>
          <w:szCs w:val="20"/>
          <w:color w:val="auto"/>
        </w:rPr>
      </w:pPr>
    </w:p>
    <w:p>
      <w:pPr>
        <w:ind w:left="200" w:right="140" w:firstLine="881"/>
        <w:spacing w:after="0" w:line="289" w:lineRule="auto"/>
        <w:rPr>
          <w:sz w:val="20"/>
          <w:szCs w:val="20"/>
          <w:color w:val="auto"/>
        </w:rPr>
      </w:pPr>
      <w:r>
        <w:rPr>
          <w:rFonts w:ascii="Arial" w:cs="Arial" w:eastAsia="Arial" w:hAnsi="Arial"/>
          <w:sz w:val="16"/>
          <w:szCs w:val="16"/>
          <w:b w:val="1"/>
          <w:bCs w:val="1"/>
          <w:i w:val="1"/>
          <w:iCs w:val="1"/>
          <w:color w:val="auto"/>
        </w:rPr>
        <w:t>Amendment to Charter and Bylaws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required by the Delaware General Corporation Law, any amendment of our Charter must first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200" w:right="40" w:firstLine="881"/>
        <w:spacing w:after="0" w:line="272"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83" w:lineRule="exact"/>
        <w:rPr>
          <w:sz w:val="20"/>
          <w:szCs w:val="20"/>
          <w:color w:val="auto"/>
        </w:rPr>
      </w:pPr>
    </w:p>
    <w:p>
      <w:pPr>
        <w:ind w:left="1060" w:right="1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200" w:hanging="31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b w:val="1"/>
          <w:bCs w:val="1"/>
          <w:i w:val="1"/>
          <w:iCs w:val="1"/>
          <w:color w:val="auto"/>
        </w:rPr>
        <w:t>Exclusive Jurisdiction of Certain Actions</w:t>
      </w:r>
      <w:r>
        <w:rPr>
          <w:rFonts w:ascii="Arial" w:cs="Arial" w:eastAsia="Arial" w:hAnsi="Arial"/>
          <w:sz w:val="16"/>
          <w:szCs w:val="16"/>
          <w:color w:val="auto"/>
        </w:rPr>
        <w:t>. Our Charter provides that, unless we consent in writing to the selection of an alternative forum,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Court of Chancery of the State of Delaware shall be the sole and exclusive forum for (i) any derivative action or proceeding brought on our behalf,</w:t>
      </w:r>
    </w:p>
    <w:p>
      <w:pPr>
        <w:ind w:left="460" w:hanging="256"/>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0" w:lineRule="exact"/>
        <w:rPr>
          <w:rFonts w:ascii="Arial" w:cs="Arial" w:eastAsia="Arial" w:hAnsi="Arial"/>
          <w:sz w:val="17"/>
          <w:szCs w:val="17"/>
          <w:color w:val="auto"/>
        </w:rPr>
      </w:pPr>
    </w:p>
    <w:p>
      <w:pPr>
        <w:ind w:left="200" w:right="160" w:firstLine="4"/>
        <w:spacing w:after="0" w:line="292" w:lineRule="auto"/>
        <w:tabs>
          <w:tab w:leader="none" w:pos="51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Delaware General Corporation Law, our Charter or our Bylaws, or (iv) any action asserting a 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8"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of which this prospectus forms a part.</w:t>
      </w:r>
    </w:p>
    <w:p>
      <w:pPr>
        <w:spacing w:after="0" w:line="182" w:lineRule="exact"/>
        <w:rPr>
          <w:sz w:val="20"/>
          <w:szCs w:val="20"/>
          <w:color w:val="auto"/>
        </w:rPr>
      </w:pPr>
    </w:p>
    <w:p>
      <w:pPr>
        <w:jc w:val="both"/>
        <w:ind w:left="200" w:right="380" w:firstLine="881"/>
        <w:spacing w:after="0" w:line="264" w:lineRule="auto"/>
        <w:rPr>
          <w:sz w:val="20"/>
          <w:szCs w:val="20"/>
          <w:color w:val="auto"/>
        </w:rPr>
      </w:pPr>
      <w:r>
        <w:rPr>
          <w:rFonts w:ascii="Arial" w:cs="Arial" w:eastAsia="Arial" w:hAnsi="Arial"/>
          <w:sz w:val="18"/>
          <w:szCs w:val="18"/>
          <w:color w:val="auto"/>
        </w:rPr>
        <w:t>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w:t>
      </w:r>
    </w:p>
    <w:p>
      <w:pPr>
        <w:spacing w:after="0" w:line="18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87"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1060" w:right="340" w:hanging="316"/>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jc w:val="both"/>
        <w:ind w:left="1060" w:right="100" w:hanging="316"/>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86" w:lineRule="exact"/>
        <w:rPr>
          <w:rFonts w:ascii="Arial" w:cs="Arial" w:eastAsia="Arial" w:hAnsi="Arial"/>
          <w:sz w:val="18"/>
          <w:szCs w:val="18"/>
          <w:color w:val="auto"/>
        </w:rPr>
      </w:pPr>
    </w:p>
    <w:p>
      <w:pPr>
        <w:jc w:val="both"/>
        <w:ind w:left="1060" w:right="420" w:hanging="316"/>
        <w:spacing w:after="0" w:line="28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70" w:lineRule="exact"/>
        <w:rPr>
          <w:rFonts w:ascii="Arial" w:cs="Arial" w:eastAsia="Arial" w:hAnsi="Arial"/>
          <w:sz w:val="17"/>
          <w:szCs w:val="17"/>
          <w:color w:val="auto"/>
        </w:rPr>
      </w:pPr>
    </w:p>
    <w:p>
      <w:pPr>
        <w:ind w:left="1060" w:right="10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1060" w:right="660" w:hanging="316"/>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51" w:lineRule="exact"/>
        <w:rPr>
          <w:rFonts w:ascii="Arial" w:cs="Arial" w:eastAsia="Arial" w:hAnsi="Arial"/>
          <w:sz w:val="17"/>
          <w:szCs w:val="17"/>
          <w:color w:val="auto"/>
        </w:rPr>
      </w:pPr>
    </w:p>
    <w:p>
      <w:pPr>
        <w:ind w:left="1060" w:right="80" w:hanging="316"/>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060" w:right="580" w:hanging="316"/>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1060" w:right="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87"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left="200" w:right="80" w:firstLine="881"/>
        <w:spacing w:after="0" w:line="302" w:lineRule="auto"/>
        <w:rPr>
          <w:sz w:val="20"/>
          <w:szCs w:val="20"/>
          <w:color w:val="auto"/>
        </w:rPr>
      </w:pPr>
      <w:r>
        <w:rPr>
          <w:rFonts w:ascii="Arial" w:cs="Arial" w:eastAsia="Arial" w:hAnsi="Arial"/>
          <w:sz w:val="16"/>
          <w:szCs w:val="16"/>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54"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1060" w:right="2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060" w:right="14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060" w:right="4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7"/>
          <w:szCs w:val="17"/>
          <w:i w:val="1"/>
          <w:iCs w:val="1"/>
          <w:color w:val="auto"/>
        </w:rPr>
        <w:t>Existence</w:t>
      </w:r>
      <w:r>
        <w:rPr>
          <w:rFonts w:ascii="Arial" w:cs="Arial" w:eastAsia="Arial" w:hAnsi="Arial"/>
          <w:sz w:val="17"/>
          <w:szCs w:val="17"/>
          <w:color w:val="auto"/>
        </w:rPr>
        <w:t>. Except as described under “—Merger, Consolidation or Sale of Assets,” the indentures require us to do or cause to be done all</w:t>
      </w:r>
      <w:r>
        <w:rPr>
          <w:rFonts w:ascii="Arial" w:cs="Arial" w:eastAsia="Arial" w:hAnsi="Arial"/>
          <w:sz w:val="17"/>
          <w:szCs w:val="17"/>
          <w:i w:val="1"/>
          <w:iCs w:val="1"/>
          <w:color w:val="auto"/>
        </w:rPr>
        <w:t xml:space="preserve"> </w:t>
      </w:r>
      <w:r>
        <w:rPr>
          <w:rFonts w:ascii="Arial" w:cs="Arial" w:eastAsia="Arial" w:hAnsi="Arial"/>
          <w:sz w:val="17"/>
          <w:szCs w:val="17"/>
          <w:color w:val="auto"/>
        </w:rPr>
        <w:t>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66"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i w:val="1"/>
          <w:iCs w:val="1"/>
          <w:color w:val="auto"/>
        </w:rPr>
        <w:t>Payment of taxes and other claims</w:t>
      </w:r>
      <w:r>
        <w:rPr>
          <w:rFonts w:ascii="Arial" w:cs="Arial" w:eastAsia="Arial" w:hAnsi="Arial"/>
          <w:sz w:val="16"/>
          <w:szCs w:val="16"/>
          <w:color w:val="auto"/>
        </w:rPr>
        <w:t>. The indentures require us to pay, discharge or cause to be paid or discharged, before they become</w:t>
      </w:r>
      <w:r>
        <w:rPr>
          <w:rFonts w:ascii="Arial" w:cs="Arial" w:eastAsia="Arial" w:hAnsi="Arial"/>
          <w:sz w:val="16"/>
          <w:szCs w:val="16"/>
          <w:i w:val="1"/>
          <w:iCs w:val="1"/>
          <w:color w:val="auto"/>
        </w:rPr>
        <w:t xml:space="preserve"> </w:t>
      </w:r>
      <w:r>
        <w:rPr>
          <w:rFonts w:ascii="Arial" w:cs="Arial" w:eastAsia="Arial" w:hAnsi="Arial"/>
          <w:sz w:val="16"/>
          <w:szCs w:val="16"/>
          <w:color w:val="auto"/>
        </w:rPr>
        <w:t>delinquent (i) all 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54"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i w:val="1"/>
          <w:iCs w:val="1"/>
          <w:color w:val="auto"/>
        </w:rPr>
        <w:t>Provision of financial information</w:t>
      </w:r>
      <w:r>
        <w:rPr>
          <w:rFonts w:ascii="Arial" w:cs="Arial" w:eastAsia="Arial" w:hAnsi="Arial"/>
          <w:sz w:val="16"/>
          <w:szCs w:val="16"/>
          <w:color w:val="auto"/>
        </w:rPr>
        <w:t>. The indentures require us to (i) within 15 days of each of the respective dates by which we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our additional covenants relating to any series of debt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30" w:lineRule="exact"/>
        <w:rPr>
          <w:rFonts w:ascii="Arial" w:cs="Arial" w:eastAsia="Arial" w:hAnsi="Arial"/>
          <w:sz w:val="18"/>
          <w:szCs w:val="18"/>
          <w:color w:val="auto"/>
        </w:rPr>
      </w:pPr>
    </w:p>
    <w:p>
      <w:pPr>
        <w:ind w:left="2180" w:hanging="545"/>
        <w:spacing w:after="0"/>
        <w:tabs>
          <w:tab w:leader="none" w:pos="2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30" w:lineRule="exact"/>
        <w:rPr>
          <w:rFonts w:ascii="Arial" w:cs="Arial" w:eastAsia="Arial" w:hAnsi="Arial"/>
          <w:sz w:val="18"/>
          <w:szCs w:val="18"/>
          <w:color w:val="auto"/>
        </w:rPr>
      </w:pPr>
    </w:p>
    <w:p>
      <w:pPr>
        <w:ind w:left="2180" w:right="60" w:hanging="545"/>
        <w:spacing w:after="0" w:line="277" w:lineRule="auto"/>
        <w:tabs>
          <w:tab w:leader="none" w:pos="2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under which there may be issued, secured or evidenced any existing or later created indebtedness for money borrowed by us, if we are directly responsible or liable as obligor or guarantor,</w:t>
      </w:r>
    </w:p>
    <w:p>
      <w:pPr>
        <w:spacing w:after="0" w:line="170"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64"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881"/>
        <w:spacing w:after="0" w:line="271" w:lineRule="auto"/>
        <w:rPr>
          <w:sz w:val="20"/>
          <w:szCs w:val="20"/>
          <w:color w:val="auto"/>
        </w:rPr>
      </w:pPr>
      <w:r>
        <w:rPr>
          <w:rFonts w:ascii="Arial" w:cs="Arial" w:eastAsia="Arial" w:hAnsi="Arial"/>
          <w:sz w:val="17"/>
          <w:szCs w:val="17"/>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84" w:lineRule="exact"/>
        <w:rPr>
          <w:sz w:val="20"/>
          <w:szCs w:val="20"/>
          <w:color w:val="auto"/>
        </w:rPr>
      </w:pPr>
    </w:p>
    <w:p>
      <w:pPr>
        <w:jc w:val="both"/>
        <w:ind w:left="1060" w:right="22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left="200" w:right="140" w:firstLine="881"/>
        <w:spacing w:after="0" w:line="279" w:lineRule="auto"/>
        <w:rPr>
          <w:sz w:val="20"/>
          <w:szCs w:val="20"/>
          <w:color w:val="auto"/>
        </w:rPr>
      </w:pPr>
      <w:r>
        <w:rPr>
          <w:rFonts w:ascii="Arial" w:cs="Arial" w:eastAsia="Arial" w:hAnsi="Arial"/>
          <w:sz w:val="17"/>
          <w:szCs w:val="17"/>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7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9"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left="200" w:right="240" w:firstLine="881"/>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1060" w:right="2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1060" w:right="200" w:hanging="316"/>
        <w:spacing w:after="0" w:line="34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24"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060" w:right="160" w:hanging="316"/>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92"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75" w:lineRule="exact"/>
        <w:rPr>
          <w:rFonts w:ascii="Arial" w:cs="Arial" w:eastAsia="Arial" w:hAnsi="Arial"/>
          <w:sz w:val="18"/>
          <w:szCs w:val="18"/>
          <w:color w:val="auto"/>
        </w:rPr>
      </w:pPr>
    </w:p>
    <w:p>
      <w:pPr>
        <w:jc w:val="both"/>
        <w:ind w:left="1060" w:right="120" w:hanging="316"/>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1060" w:right="20" w:hanging="316"/>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ind w:left="1060" w:right="26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92"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70" w:lineRule="exact"/>
        <w:rPr>
          <w:sz w:val="20"/>
          <w:szCs w:val="20"/>
          <w:color w:val="auto"/>
        </w:rPr>
      </w:pPr>
    </w:p>
    <w:p>
      <w:pPr>
        <w:ind w:left="200" w:right="240" w:firstLine="881"/>
        <w:spacing w:after="0" w:line="273" w:lineRule="auto"/>
        <w:rPr>
          <w:sz w:val="20"/>
          <w:szCs w:val="20"/>
          <w:color w:val="auto"/>
        </w:rPr>
      </w:pPr>
      <w:r>
        <w:rPr>
          <w:rFonts w:ascii="Arial" w:cs="Arial" w:eastAsia="Arial" w:hAnsi="Arial"/>
          <w:sz w:val="17"/>
          <w:szCs w:val="17"/>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78"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left="200" w:right="900" w:firstLine="881"/>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70"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73"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 restrictions will be included in any indenture relating to subordinated debt securities upon the creation of additional senior debt.</w:t>
      </w:r>
    </w:p>
    <w:p>
      <w:pPr>
        <w:spacing w:after="0" w:line="237"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060" w:right="80" w:hanging="316"/>
        <w:spacing w:after="0" w:line="27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3"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ind w:left="1060" w:right="52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7"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ectPr>
          <w:pgSz w:w="11900" w:h="16838" w:orient="portrait"/>
          <w:cols w:equalWidth="0" w:num="1">
            <w:col w:w="11220"/>
          </w:cols>
          <w:pgMar w:left="240" w:top="459" w:right="439" w:bottom="1440"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1060" w:right="22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75" w:lineRule="exact"/>
        <w:rPr>
          <w:rFonts w:ascii="Arial" w:cs="Arial" w:eastAsia="Arial" w:hAnsi="Arial"/>
          <w:sz w:val="18"/>
          <w:szCs w:val="18"/>
          <w:color w:val="auto"/>
        </w:rPr>
      </w:pPr>
    </w:p>
    <w:p>
      <w:pPr>
        <w:ind w:left="1060" w:right="120" w:hanging="316"/>
        <w:spacing w:after="0" w:line="290"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66"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1060" w:right="2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81" w:lineRule="exact"/>
        <w:rPr>
          <w:sz w:val="20"/>
          <w:szCs w:val="20"/>
          <w:color w:val="auto"/>
        </w:rPr>
      </w:pPr>
    </w:p>
    <w:p>
      <w:pPr>
        <w:ind w:left="200" w:right="40" w:firstLine="881"/>
        <w:spacing w:after="0" w:line="297"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58" w:lineRule="exact"/>
        <w:rPr>
          <w:sz w:val="20"/>
          <w:szCs w:val="20"/>
          <w:color w:val="auto"/>
        </w:rPr>
      </w:pPr>
    </w:p>
    <w:p>
      <w:pPr>
        <w:ind w:left="200" w:right="480" w:firstLine="881"/>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200" w:right="100" w:firstLine="881"/>
        <w:spacing w:after="0" w:line="276" w:lineRule="auto"/>
        <w:rPr>
          <w:sz w:val="20"/>
          <w:szCs w:val="20"/>
          <w:color w:val="auto"/>
        </w:rPr>
      </w:pPr>
      <w:r>
        <w:rPr>
          <w:rFonts w:ascii="Arial" w:cs="Arial" w:eastAsia="Arial" w:hAnsi="Arial"/>
          <w:sz w:val="17"/>
          <w:szCs w:val="17"/>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78"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78"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5"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66"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93"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120" w:firstLine="881"/>
        <w:spacing w:after="0" w:line="293"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80" w:firstLine="881"/>
        <w:spacing w:after="0" w:line="264"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60" w:right="160" w:hanging="316"/>
        <w:spacing w:after="0" w:line="34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6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060" w:right="30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right="500" w:firstLine="881"/>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jc w:val="both"/>
        <w:ind w:left="200" w:right="320" w:firstLine="881"/>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provisions will generally apply to all unit agreements unless otherwise stated in the applicable prospectus supplement:</w:t>
      </w:r>
    </w:p>
    <w:p>
      <w:pPr>
        <w:spacing w:after="0" w:line="34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cure any ambiguity, including modifying any provisions of the governing unit agreement that differ from those described below;</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jc w:val="both"/>
        <w:ind w:left="200" w:right="100" w:firstLine="881"/>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60" w:right="26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Any other change to a particular unit agreement and the units issued under that agreement would require the following approval:</w:t>
      </w:r>
    </w:p>
    <w:p>
      <w:pPr>
        <w:spacing w:after="0" w:line="142"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060" w:right="240" w:hanging="316"/>
        <w:spacing w:after="0" w:line="34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 unit agreement will be qualified as an indenture, and no unit agent will be required to qualify as a trustee, under the Trust Indenture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7" w:lineRule="exact"/>
        <w:rPr>
          <w:sz w:val="20"/>
          <w:szCs w:val="20"/>
          <w:color w:val="auto"/>
        </w:rPr>
      </w:pPr>
    </w:p>
    <w:p>
      <w:pPr>
        <w:ind w:left="200" w:right="400" w:firstLine="881"/>
        <w:spacing w:after="0" w:line="308" w:lineRule="auto"/>
        <w:rPr>
          <w:sz w:val="20"/>
          <w:szCs w:val="20"/>
          <w:color w:val="auto"/>
        </w:rPr>
      </w:pPr>
      <w:r>
        <w:rPr>
          <w:rFonts w:ascii="Arial" w:cs="Arial" w:eastAsia="Arial" w:hAnsi="Arial"/>
          <w:sz w:val="17"/>
          <w:szCs w:val="17"/>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200" w:right="160" w:firstLine="881"/>
        <w:spacing w:after="0" w:line="276" w:lineRule="auto"/>
        <w:rPr>
          <w:sz w:val="20"/>
          <w:szCs w:val="20"/>
          <w:color w:val="auto"/>
        </w:rPr>
      </w:pPr>
      <w:r>
        <w:rPr>
          <w:rFonts w:ascii="Arial" w:cs="Arial" w:eastAsia="Arial" w:hAnsi="Arial"/>
          <w:sz w:val="17"/>
          <w:szCs w:val="17"/>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the accompanying prospectus supplement states otherwise, each unit and all securities comprising the unit will be issued in the same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1060" w:right="380" w:hanging="316"/>
        <w:spacing w:after="0" w:line="308"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060" w:right="120" w:hanging="316"/>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060" w:right="60" w:hanging="316"/>
        <w:spacing w:after="0" w:line="27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60" w:right="24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3"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2017 have been so incorporated in reliance on the report (which contains an explanatory paragraph relating to the Company’s liquidity position as described in Note 1 to the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60" w:firstLine="881"/>
        <w:spacing w:after="0" w:line="286" w:lineRule="auto"/>
        <w:rPr>
          <w:sz w:val="20"/>
          <w:szCs w:val="20"/>
          <w:color w:val="auto"/>
        </w:rPr>
      </w:pPr>
      <w:r>
        <w:rPr>
          <w:rFonts w:ascii="Arial" w:cs="Arial" w:eastAsia="Arial" w:hAnsi="Arial"/>
          <w:sz w:val="17"/>
          <w:szCs w:val="17"/>
          <w:color w:val="auto"/>
        </w:rPr>
        <w:t>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6" w:lineRule="exact"/>
        <w:rPr>
          <w:sz w:val="20"/>
          <w:szCs w:val="20"/>
          <w:color w:val="auto"/>
        </w:rPr>
      </w:pPr>
    </w:p>
    <w:p>
      <w:pPr>
        <w:ind w:left="200" w:right="60" w:firstLine="881"/>
        <w:spacing w:after="0" w:line="272" w:lineRule="auto"/>
        <w:rPr>
          <w:sz w:val="20"/>
          <w:szCs w:val="20"/>
          <w:color w:val="auto"/>
        </w:rPr>
      </w:pPr>
      <w:r>
        <w:rPr>
          <w:rFonts w:ascii="Arial" w:cs="Arial" w:eastAsia="Arial" w:hAnsi="Arial"/>
          <w:sz w:val="17"/>
          <w:szCs w:val="17"/>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or by telephone request to (617) 622-4003. Our website is located at </w:t>
      </w:r>
      <w:r>
        <w:rPr>
          <w:rFonts w:ascii="Arial" w:cs="Arial" w:eastAsia="Arial" w:hAnsi="Arial"/>
          <w:sz w:val="17"/>
          <w:szCs w:val="17"/>
          <w:i w:val="1"/>
          <w:iCs w:val="1"/>
          <w:color w:val="auto"/>
        </w:rPr>
        <w:t>www.zafgen.com</w:t>
      </w:r>
      <w:r>
        <w:rPr>
          <w:rFonts w:ascii="Arial" w:cs="Arial" w:eastAsia="Arial" w:hAnsi="Arial"/>
          <w:sz w:val="17"/>
          <w:szCs w:val="17"/>
          <w:color w:val="auto"/>
        </w:rPr>
        <w:t>. Information contained on our website is not incorporated by reference into this prospectus and, therefore, is not part of this prospectus or any accompanying prospectus supplement.</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 provided, however, that we are not incorporating any information furnished under Item 2.02 or Item 7.01 of any Current Report on Form 8-K:</w:t>
      </w:r>
    </w:p>
    <w:p>
      <w:pPr>
        <w:spacing w:after="0" w:line="98"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2017;</w:t>
      </w:r>
    </w:p>
    <w:p>
      <w:pPr>
        <w:spacing w:after="0" w:line="130"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(other than information furnished rather than filed), which was filed with the SEC on April 18, 2018;</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Quarterly Reports on Form 10-Q filed with the SEC for the quarters ended March 31, 2018, June 30, 2018 and September 30, 2018;</w:t>
      </w:r>
    </w:p>
    <w:p>
      <w:pPr>
        <w:spacing w:after="0" w:line="142" w:lineRule="exact"/>
        <w:rPr>
          <w:rFonts w:ascii="Arial" w:cs="Arial" w:eastAsia="Arial" w:hAnsi="Arial"/>
          <w:sz w:val="17"/>
          <w:szCs w:val="17"/>
          <w:color w:val="auto"/>
        </w:rPr>
      </w:pPr>
    </w:p>
    <w:p>
      <w:pPr>
        <w:ind w:left="1060" w:right="120" w:hanging="316"/>
        <w:spacing w:after="0" w:line="30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Current Reports on Form 8-K filed with the SEC on January 5, 2018, May 30, 2018, June 7, 2018 June 28, 2018 and August 2, 2018 (other than any portions thereof that are furnished under Item 2.02 or Item 7.01 and any exhibits included with such Items); and</w:t>
      </w:r>
    </w:p>
    <w:p>
      <w:pPr>
        <w:spacing w:after="0" w:line="51"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which was filed with the SEC on June 18, 2014, including any amendment or report filed for the purpose of updating such description.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Zafgen, Inc., 175 Portland Street, 4th Floor, Boston, MA 02114, Attention: Secretary, or by telephone request to (617) 622-4003.</w:t>
      </w:r>
    </w:p>
    <w:p>
      <w:pPr>
        <w:spacing w:after="0" w:line="23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177165</wp:posOffset>
            </wp:positionV>
            <wp:extent cx="1844040" cy="840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404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Common Stock</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Preferred Stock</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Debt Securities</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Warrants</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 2018</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392430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426720</wp:posOffset>
            </wp:positionV>
            <wp:extent cx="699770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The expenses payable by Zafgen,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FINRA filing fee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Transfer agent and trustee fees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2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34"/>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20" w:type="dxa"/>
            <w:vAlign w:val="bottom"/>
            <w:gridSpan w:val="2"/>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7120" w:type="dxa"/>
            <w:vAlign w:val="bottom"/>
            <w:gridSpan w:val="4"/>
          </w:tcPr>
          <w:p>
            <w:pPr>
              <w:spacing w:after="0"/>
              <w:rPr>
                <w:sz w:val="20"/>
                <w:szCs w:val="20"/>
                <w:color w:val="auto"/>
              </w:rPr>
            </w:pPr>
            <w:r>
              <w:rPr>
                <w:rFonts w:ascii="Arial" w:cs="Arial" w:eastAsia="Arial" w:hAnsi="Arial"/>
                <w:sz w:val="18"/>
                <w:szCs w:val="18"/>
                <w:color w:val="auto"/>
              </w:rPr>
              <w:t>*  Estimated expenses not presently known</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right="40" w:firstLine="881"/>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Charter provides for the indemnification of directors to the fullest extent permissible under Delaware law.</w:t>
      </w:r>
    </w:p>
    <w:p>
      <w:pPr>
        <w:spacing w:after="0" w:line="225" w:lineRule="exact"/>
        <w:rPr>
          <w:sz w:val="20"/>
          <w:szCs w:val="20"/>
          <w:color w:val="auto"/>
        </w:rPr>
      </w:pPr>
    </w:p>
    <w:p>
      <w:pPr>
        <w:jc w:val="both"/>
        <w:ind w:left="200" w:right="120" w:firstLine="881"/>
        <w:spacing w:after="0" w:line="264" w:lineRule="auto"/>
        <w:rPr>
          <w:sz w:val="20"/>
          <w:szCs w:val="20"/>
          <w:color w:val="auto"/>
        </w:rPr>
      </w:pPr>
      <w:r>
        <w:rPr>
          <w:rFonts w:ascii="Arial" w:cs="Arial" w:eastAsia="Arial" w:hAnsi="Arial"/>
          <w:sz w:val="18"/>
          <w:szCs w:val="18"/>
          <w:color w:val="auto"/>
        </w:rPr>
        <w:t>Our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8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81"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list of exhibits filed with this registration statement on Form S-3 is set forth on the Exhibit Index and is incorporated herein by reference.</w:t>
      </w:r>
    </w:p>
    <w:p>
      <w:pPr>
        <w:spacing w:after="0" w:line="39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340" w:hanging="255"/>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860" w:hanging="224"/>
        <w:spacing w:after="0"/>
        <w:tabs>
          <w:tab w:leader="none" w:pos="1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200" w:firstLine="1436"/>
        <w:spacing w:after="0" w:line="255" w:lineRule="auto"/>
        <w:tabs>
          <w:tab w:leader="none" w:pos="18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1436"/>
        <w:spacing w:after="0" w:line="277" w:lineRule="auto"/>
        <w:tabs>
          <w:tab w:leader="none" w:pos="19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(a)(l)(i), (a)(l)(ii) and (a)(l)(iii)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200" w:firstLine="885"/>
        <w:spacing w:after="0" w:line="264" w:lineRule="auto"/>
        <w:tabs>
          <w:tab w:leader="none" w:pos="13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200" w:right="200" w:firstLine="885"/>
        <w:spacing w:after="0" w:line="277" w:lineRule="auto"/>
        <w:tabs>
          <w:tab w:leader="none" w:pos="13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40" w:hanging="255"/>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200" w:right="260" w:firstLine="1436"/>
        <w:spacing w:after="0" w:line="277" w:lineRule="auto"/>
        <w:tabs>
          <w:tab w:leader="none" w:pos="18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200" w:right="80" w:firstLine="1436"/>
        <w:spacing w:after="0" w:line="291" w:lineRule="auto"/>
        <w:tabs>
          <w:tab w:leader="none" w:pos="189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415(a)(l)(i), (vii), or (x) for the purpose of providing the information required by</w:t>
      </w:r>
    </w:p>
    <w:p>
      <w:pPr>
        <w:ind w:left="200"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200" w:right="80" w:firstLine="885"/>
        <w:spacing w:after="0" w:line="257" w:lineRule="auto"/>
        <w:tabs>
          <w:tab w:leader="none" w:pos="13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840" w:hanging="204"/>
        <w:spacing w:after="0"/>
        <w:tabs>
          <w:tab w:leader="none" w:pos="18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Rule 424;</w:t>
      </w:r>
    </w:p>
    <w:p>
      <w:pPr>
        <w:spacing w:after="0" w:line="102" w:lineRule="exact"/>
        <w:rPr>
          <w:rFonts w:ascii="Arial" w:cs="Arial" w:eastAsia="Arial" w:hAnsi="Arial"/>
          <w:sz w:val="16"/>
          <w:szCs w:val="16"/>
          <w:color w:val="auto"/>
        </w:rPr>
      </w:pPr>
    </w:p>
    <w:p>
      <w:pPr>
        <w:ind w:left="200" w:right="160" w:firstLine="1436"/>
        <w:spacing w:after="0" w:line="277" w:lineRule="auto"/>
        <w:tabs>
          <w:tab w:leader="none" w:pos="18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200" w:right="180" w:firstLine="1436"/>
        <w:spacing w:after="0" w:line="277" w:lineRule="auto"/>
        <w:tabs>
          <w:tab w:leader="none" w:pos="19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940" w:hanging="304"/>
        <w:spacing w:after="0"/>
        <w:tabs>
          <w:tab w:leader="none" w:pos="1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200" w:right="120" w:firstLine="885"/>
        <w:spacing w:after="0" w:line="257" w:lineRule="auto"/>
        <w:tabs>
          <w:tab w:leader="none" w:pos="13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0" w:lineRule="exact"/>
        <w:rPr>
          <w:rFonts w:ascii="Arial" w:cs="Arial" w:eastAsia="Arial" w:hAnsi="Arial"/>
          <w:sz w:val="18"/>
          <w:szCs w:val="18"/>
          <w:color w:val="auto"/>
        </w:rPr>
      </w:pPr>
    </w:p>
    <w:p>
      <w:pPr>
        <w:ind w:left="200" w:right="80" w:firstLine="885"/>
        <w:spacing w:after="0" w:line="255" w:lineRule="auto"/>
        <w:tabs>
          <w:tab w:leader="none" w:pos="13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1" w:lineRule="exact"/>
        <w:rPr>
          <w:sz w:val="20"/>
          <w:szCs w:val="20"/>
          <w:color w:val="auto"/>
        </w:rPr>
      </w:pPr>
    </w:p>
    <w:p>
      <w:pPr>
        <w:ind w:left="200" w:right="200" w:firstLine="885"/>
        <w:spacing w:after="0" w:line="291" w:lineRule="auto"/>
        <w:tabs>
          <w:tab w:leader="none" w:pos="133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w:t>
      </w:r>
    </w:p>
    <w:p>
      <w:pPr>
        <w:ind w:left="200" w:right="120"/>
        <w:spacing w:after="0" w:line="261" w:lineRule="auto"/>
        <w:rPr>
          <w:rFonts w:ascii="Arial" w:cs="Arial" w:eastAsia="Arial" w:hAnsi="Arial"/>
          <w:sz w:val="16"/>
          <w:szCs w:val="16"/>
          <w:color w:val="auto"/>
        </w:rPr>
      </w:pPr>
      <w:r>
        <w:rPr>
          <w:rFonts w:ascii="Arial" w:cs="Arial" w:eastAsia="Arial" w:hAnsi="Arial"/>
          <w:sz w:val="18"/>
          <w:szCs w:val="18"/>
          <w:color w:val="auto"/>
        </w:rPr>
        <w:t>Rule 424(b)(1) or (4) or 497(h) under the Securities Act of 1933 shall be deemed to be part of this registration statement as of the time it was declared effective;</w:t>
      </w:r>
    </w:p>
    <w:p>
      <w:pPr>
        <w:spacing w:after="0" w:line="75" w:lineRule="exact"/>
        <w:rPr>
          <w:rFonts w:ascii="Arial" w:cs="Arial" w:eastAsia="Arial" w:hAnsi="Arial"/>
          <w:sz w:val="16"/>
          <w:szCs w:val="16"/>
          <w:color w:val="auto"/>
        </w:rPr>
      </w:pPr>
    </w:p>
    <w:p>
      <w:pPr>
        <w:jc w:val="both"/>
        <w:ind w:left="200" w:right="20" w:firstLine="885"/>
        <w:spacing w:after="0" w:line="264" w:lineRule="auto"/>
        <w:tabs>
          <w:tab w:leader="none" w:pos="13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73" w:lineRule="exact"/>
        <w:rPr>
          <w:rFonts w:ascii="Arial" w:cs="Arial" w:eastAsia="Arial" w:hAnsi="Arial"/>
          <w:sz w:val="18"/>
          <w:szCs w:val="18"/>
          <w:color w:val="auto"/>
        </w:rPr>
      </w:pPr>
    </w:p>
    <w:p>
      <w:pPr>
        <w:ind w:left="200" w:firstLine="885"/>
        <w:spacing w:after="0" w:line="264" w:lineRule="auto"/>
        <w:tabs>
          <w:tab w:leader="none" w:pos="14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ectPr>
          <w:pgSz w:w="11900" w:h="16838" w:orient="portrait"/>
          <w:cols w:equalWidth="0" w:num="1">
            <w:col w:w="11120"/>
          </w:cols>
          <w:pgMar w:left="24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60" w:type="dxa"/>
            <w:vAlign w:val="bottom"/>
            <w:gridSpan w:val="13"/>
          </w:tcPr>
          <w:p>
            <w:pPr>
              <w:ind w:left="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3"/>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1.1*</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800" w:type="dxa"/>
            <w:vAlign w:val="bottom"/>
            <w:tcBorders>
              <w:bottom w:val="single" w:sz="8" w:color="0000EE"/>
            </w:tcBorders>
            <w:gridSpan w:val="16"/>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Ninth Amended and Restated Certificate of Incorporation of the Registrant (incorporated by reference to Exhibit 3.1 of the Registrant’s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Form 8-K filed on June 24, 2014)</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Bylaws of the Registrant (incorporated by reference to Exhibit 3.2 of the Registrant’s Form 8-K filed on June 24,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8">
              <w:r>
                <w:rPr>
                  <w:rFonts w:ascii="Arial" w:cs="Arial" w:eastAsia="Arial" w:hAnsi="Arial"/>
                  <w:sz w:val="18"/>
                  <w:szCs w:val="18"/>
                  <w:color w:val="0000EE"/>
                  <w:w w:val="86"/>
                </w:rPr>
                <w:t>2014)</w:t>
              </w:r>
            </w:hyperlink>
          </w:p>
        </w:tc>
        <w:tc>
          <w:tcPr>
            <w:tcW w:w="7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Specimen Common Stock Certificate (incorporated by reference to Exhibit 4.1 of the Registrant’s Registration Statement on Form S-1</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(File No. 333-195391) filed on June 18, 2014)</w:t>
              </w:r>
            </w:hyperlink>
          </w:p>
        </w:tc>
        <w:tc>
          <w:tcPr>
            <w:tcW w:w="6340" w:type="dxa"/>
            <w:vAlign w:val="bottom"/>
            <w:tcBorders>
              <w:top w:val="single" w:sz="8" w:color="0000EE"/>
            </w:tcBorders>
            <w:gridSpan w:val="8"/>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Third Amended and Restated Investors’ Rights Agreement by and among the Registrant and certain of its stockholders dated November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25, 2013 (incorporated by reference to Exhibit 4.2 of the Registrant’s Registration Statement on Form S-1 (File No. 333-195391) filed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June 18, 2014)</w:t>
              </w:r>
            </w:hyperlink>
          </w:p>
        </w:tc>
        <w:tc>
          <w:tcPr>
            <w:tcW w:w="8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Form of indenture for senior debt securities and the related form of senior debt security (incorporated by reference to Exhibit 4.3 of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00" w:type="dxa"/>
            <w:vAlign w:val="bottom"/>
            <w:gridSpan w:val="1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Registrant’s Registration Statement on Form S-3 (File No. 333-219834) filed on August 9, 2017)</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indenture for subordinated debt securities and the related form of subordinated debt security (incorporated by reference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Exhibit 4.4 of the Registrant’s Registration Statement on Form S-3 (File No. 333-219834) filed on August 9, 2017)</w:t>
              </w:r>
            </w:hyperlink>
          </w:p>
        </w:tc>
        <w:tc>
          <w:tcPr>
            <w:tcW w:w="1100" w:type="dxa"/>
            <w:vAlign w:val="bottom"/>
            <w:tcBorders>
              <w:top w:val="single" w:sz="8" w:color="0000EE"/>
            </w:tcBorders>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4.5*</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of Certificate of Designations</w:t>
            </w:r>
          </w:p>
        </w:tc>
        <w:tc>
          <w:tcPr>
            <w:tcW w:w="0" w:type="dxa"/>
            <w:vAlign w:val="bottom"/>
          </w:tcPr>
          <w:p>
            <w:pPr>
              <w:spacing w:after="0"/>
              <w:rPr>
                <w:sz w:val="1"/>
                <w:szCs w:val="1"/>
                <w:color w:val="auto"/>
              </w:rPr>
            </w:pPr>
          </w:p>
        </w:tc>
      </w:tr>
      <w:tr>
        <w:trPr>
          <w:trHeight w:val="324"/>
        </w:trPr>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4.6*</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of Warrant Agreements</w:t>
            </w:r>
          </w:p>
        </w:tc>
        <w:tc>
          <w:tcPr>
            <w:tcW w:w="0" w:type="dxa"/>
            <w:vAlign w:val="bottom"/>
          </w:tcPr>
          <w:p>
            <w:pPr>
              <w:spacing w:after="0"/>
              <w:rPr>
                <w:sz w:val="1"/>
                <w:szCs w:val="1"/>
                <w:color w:val="auto"/>
              </w:rPr>
            </w:pPr>
          </w:p>
        </w:tc>
      </w:tr>
      <w:tr>
        <w:trPr>
          <w:trHeight w:val="324"/>
        </w:trPr>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4.7*</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324"/>
        </w:trPr>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4.8*</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28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Opinion of Goodwin Procter LLP</w:t>
            </w:r>
          </w:p>
        </w:tc>
        <w:tc>
          <w:tcPr>
            <w:tcW w:w="7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23.2</w:t>
            </w:r>
          </w:p>
        </w:tc>
        <w:tc>
          <w:tcPr>
            <w:tcW w:w="76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Arial" w:cs="Arial" w:eastAsia="Arial" w:hAnsi="Arial"/>
                <w:sz w:val="18"/>
                <w:szCs w:val="18"/>
                <w:color w:val="0000EE"/>
              </w:rPr>
              <w:t>Consent of Goodwin Procter LLP (included in Exhibit 5.1 hereto)</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40" w:type="dxa"/>
            <w:vAlign w:val="bottom"/>
            <w:gridSpan w:val="8"/>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24.1</w:t>
            </w:r>
          </w:p>
        </w:tc>
        <w:tc>
          <w:tcPr>
            <w:tcW w:w="76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Power of Attorney (included on the signature pages to this registration statement)</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860" w:type="dxa"/>
            <w:vAlign w:val="bottom"/>
            <w:gridSpan w:val="10"/>
            <w:shd w:val="clear" w:color="auto" w:fill="0000EE"/>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25.1**</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c>
          <w:tcPr>
            <w:tcW w:w="0" w:type="dxa"/>
            <w:vAlign w:val="bottom"/>
          </w:tcPr>
          <w:p>
            <w:pPr>
              <w:spacing w:after="0"/>
              <w:rPr>
                <w:sz w:val="1"/>
                <w:szCs w:val="1"/>
                <w:color w:val="auto"/>
              </w:rPr>
            </w:pPr>
          </w:p>
        </w:tc>
      </w:tr>
      <w:tr>
        <w:trPr>
          <w:trHeight w:val="324"/>
        </w:trPr>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25.2**</w:t>
            </w:r>
          </w:p>
        </w:tc>
        <w:tc>
          <w:tcPr>
            <w:tcW w:w="9900" w:type="dxa"/>
            <w:vAlign w:val="bottom"/>
            <w:gridSpan w:val="19"/>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640" w:hanging="436"/>
        <w:spacing w:after="0" w:line="258"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be filed by amendment pursuant to Section 305(b)(2) of the Trust Indenture Act of 1939.</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Boston, Massachusetts, on this 9 day of November, 2018.</w:t>
      </w:r>
    </w:p>
    <w:p>
      <w:pPr>
        <w:spacing w:after="0" w:line="204"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Jeffrey S. Hatfield</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BE THESE PRESENTS, that each person whose signature appears below hereby severally constitutes and appoints each of Jeffrey S. Hatfield and Patricia L. Allen,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tcPr>
          <w:p>
            <w:pPr>
              <w:ind w:left="2420"/>
              <w:spacing w:after="0"/>
              <w:rPr>
                <w:sz w:val="20"/>
                <w:szCs w:val="20"/>
                <w:color w:val="auto"/>
              </w:rPr>
            </w:pPr>
            <w:r>
              <w:rPr>
                <w:rFonts w:ascii="Arial" w:cs="Arial" w:eastAsia="Arial" w:hAnsi="Arial"/>
                <w:sz w:val="14"/>
                <w:szCs w:val="14"/>
                <w:b w:val="1"/>
                <w:bCs w:val="1"/>
                <w:color w:val="auto"/>
              </w:rPr>
              <w:t>Title</w:t>
            </w:r>
          </w:p>
        </w:tc>
        <w:tc>
          <w:tcPr>
            <w:tcW w:w="2360" w:type="dxa"/>
            <w:vAlign w:val="bottom"/>
          </w:tcPr>
          <w:p>
            <w:pPr>
              <w:jc w:val="center"/>
              <w:ind w:left="9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S. Hatfield</w:t>
            </w:r>
          </w:p>
        </w:tc>
        <w:tc>
          <w:tcPr>
            <w:tcW w:w="438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Jeffrey S. Hatfield</w:t>
            </w: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Patricia L. Allen</w:t>
            </w:r>
          </w:p>
        </w:tc>
        <w:tc>
          <w:tcPr>
            <w:tcW w:w="43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5"/>
              </w:rPr>
              <w:t>Patricia L. Allen</w:t>
            </w: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Barrett</w:t>
            </w:r>
          </w:p>
        </w:tc>
        <w:tc>
          <w:tcPr>
            <w:tcW w:w="438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Peter Barrett, Ph.D.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Wendy Everett</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Wendy Everett, Sc.D.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J. Perez</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87"/>
              </w:rPr>
              <w:t>Robert J. Perez</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O. Daniel</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Thomas O. Daniel, M.D.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L. LaMattina</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John L. LaMattina, Ph.D.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Cameron Geoffrey McDonough</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89"/>
              </w:rPr>
              <w:t>Frank E. Thomas</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ectPr>
          <w:pgSz w:w="11900" w:h="16838" w:orient="portrait"/>
          <w:cols w:equalWidth="0" w:num="1">
            <w:col w:w="11120"/>
          </w:cols>
          <w:pgMar w:left="240" w:top="459"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November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(as amended or supplemented, the “Registration Statement”) pursuant to the Securities Act of 1933, as amended (the “Securities Act”), relating to the registration by Zafgen, Inc., a Delaware corporation (the “Company”), of up to $200,000,000 of any combination of (i) common stock, par value $0.001 per share (the “Common Stock”), of Company, (ii) preferred stock, par value $0.001 per share, of the Company (the “Preferred Stock”), (iii) debt securities of the Company (“Debt Securities”), (iv) warrants to purchase Common Stock, Preferred Stock, Debt Securities or Units (as defined below) (“Warrants”) or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69"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For purposes of the opinions set forth below, without limiting any other exceptions or qualifications set forth herein, we have assumed that (i) each of the Debt Securities, Warrants and Units, and the indentures, warrants agreements, unit agreements and other agreements</w:t>
      </w:r>
    </w:p>
    <w:p>
      <w:pPr>
        <w:sectPr>
          <w:pgSz w:w="11900" w:h="16838" w:orient="portrait"/>
          <w:cols w:equalWidth="0" w:num="1">
            <w:col w:w="11020"/>
          </w:cols>
          <w:pgMar w:left="440" w:top="121"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under the Company’s certificate of incorporation as then in effect (the “Charter”).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440" w:right="180" w:hanging="436"/>
        <w:spacing w:after="0" w:line="259"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92" w:lineRule="exact"/>
        <w:rPr>
          <w:rFonts w:ascii="Arial" w:cs="Arial" w:eastAsia="Arial" w:hAnsi="Arial"/>
          <w:sz w:val="18"/>
          <w:szCs w:val="18"/>
          <w:color w:val="auto"/>
        </w:rPr>
      </w:pPr>
    </w:p>
    <w:p>
      <w:pPr>
        <w:ind w:left="440" w:right="220" w:hanging="436"/>
        <w:spacing w:after="0" w:line="312"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2" w:lineRule="exact"/>
        <w:rPr>
          <w:rFonts w:ascii="Arial" w:cs="Arial" w:eastAsia="Arial" w:hAnsi="Arial"/>
          <w:sz w:val="16"/>
          <w:szCs w:val="16"/>
          <w:color w:val="auto"/>
        </w:rPr>
      </w:pPr>
    </w:p>
    <w:p>
      <w:pPr>
        <w:ind w:left="440" w:hanging="436"/>
        <w:spacing w:after="0" w:line="279"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76" w:lineRule="exact"/>
        <w:rPr>
          <w:rFonts w:ascii="Arial" w:cs="Arial" w:eastAsia="Arial" w:hAnsi="Arial"/>
          <w:sz w:val="17"/>
          <w:szCs w:val="17"/>
          <w:color w:val="auto"/>
        </w:rPr>
      </w:pPr>
    </w:p>
    <w:p>
      <w:pPr>
        <w:ind w:left="440" w:right="340" w:hanging="436"/>
        <w:spacing w:after="0" w:line="26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ectPr>
          <w:pgSz w:w="11900" w:h="16838" w:orient="portrait"/>
          <w:cols w:equalWidth="0" w:num="1">
            <w:col w:w="11020"/>
          </w:cols>
          <w:pgMar w:left="440" w:top="274"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firstLine="444"/>
        <w:spacing w:after="0" w:line="277"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pacing w:after="0" w:line="62" w:lineRule="exact"/>
        <w:rPr>
          <w:rFonts w:ascii="Arial" w:cs="Arial" w:eastAsia="Arial" w:hAnsi="Arial"/>
          <w:sz w:val="18"/>
          <w:szCs w:val="18"/>
          <w:color w:val="auto"/>
        </w:rPr>
      </w:pPr>
    </w:p>
    <w:p>
      <w:pPr>
        <w:ind w:firstLine="444"/>
        <w:spacing w:after="0" w:line="277"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62" w:lineRule="exact"/>
        <w:rPr>
          <w:rFonts w:ascii="Arial" w:cs="Arial" w:eastAsia="Arial" w:hAnsi="Arial"/>
          <w:sz w:val="18"/>
          <w:szCs w:val="18"/>
          <w:color w:val="auto"/>
        </w:rPr>
      </w:pPr>
    </w:p>
    <w:p>
      <w:pPr>
        <w:ind w:left="760" w:hanging="316"/>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the Future Authorization and Issuance of Debt Securities, such Debt Securities will be valid and binding obligations of the Company.</w:t>
      </w:r>
    </w:p>
    <w:p>
      <w:pPr>
        <w:spacing w:after="0" w:line="140" w:lineRule="exact"/>
        <w:rPr>
          <w:rFonts w:ascii="Arial" w:cs="Arial" w:eastAsia="Arial" w:hAnsi="Arial"/>
          <w:sz w:val="16"/>
          <w:szCs w:val="16"/>
          <w:color w:val="auto"/>
        </w:rPr>
      </w:pPr>
    </w:p>
    <w:p>
      <w:pPr>
        <w:ind w:left="760" w:hanging="31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This opinion letter and the opinions it contains shall be interpreted in accordance with the Legal Opinion Principles issued by the Committee on Legal Opinions of the American Bar Association’s Business Law Section as published in 53 Business Lawyer 831 (May 1998).</w:t>
      </w:r>
    </w:p>
    <w:p>
      <w:pPr>
        <w:spacing w:after="0" w:line="14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GOODWIN PROCTER </w:t>
      </w:r>
      <w:r>
        <w:rPr>
          <w:rFonts w:ascii="Arial" w:cs="Arial" w:eastAsia="Arial" w:hAnsi="Arial"/>
          <w:sz w:val="15"/>
          <w:szCs w:val="15"/>
          <w:color w:val="auto"/>
        </w:rPr>
        <w:t>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0960"/>
          </w:cols>
          <w:pgMar w:left="440" w:top="274" w:right="4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Zafgen, Inc. of our report dated March 9, 2018 relating to the financial statements, which appears in Zafgen, Inc.’s Annual Report on Form 10-K for the year ended December 31, 2017.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lowerRoman"/>
      <w:start w:val="2"/>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lvl w:ilvl="1">
      <w:lvlJc w:val="left"/>
      <w:lvlText w:val="(%2)"/>
      <w:numFmt w:val="lowerRoman"/>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lvl w:ilvl="1">
      <w:lvlJc w:val="left"/>
      <w:lvlText w:val="(%2)"/>
      <w:numFmt w:val="lowerRoman"/>
      <w:start w:val="1"/>
    </w:lvl>
  </w:abstractNum>
  <w:abstractNum w:abstractNumId="39">
    <w:nsid w:val="2A487CB0"/>
    <w:multiLevelType w:val="hybridMultilevel"/>
    <w:lvl w:ilvl="0">
      <w:lvlJc w:val="left"/>
      <w:lvlText w:val="(%1)"/>
      <w:numFmt w:val="lowerRoman"/>
      <w:start w:val="3"/>
    </w:lvl>
  </w:abstractNum>
  <w:abstractNum w:abstractNumId="40">
    <w:nsid w:val="1D4ED43B"/>
    <w:multiLevelType w:val="hybridMultilevel"/>
    <w:lvl w:ilvl="0">
      <w:lvlJc w:val="left"/>
      <w:lvlText w:val="(%1)"/>
      <w:numFmt w:val="decimal"/>
      <w:start w:val="2"/>
    </w:lvl>
    <w:lvl w:ilvl="1">
      <w:lvlJc w:val="left"/>
      <w:lvlText w:val="(%2)"/>
      <w:numFmt w:val="lowerRoman"/>
      <w:start w:val="1"/>
    </w:lvl>
  </w:abstractNum>
  <w:abstractNum w:abstractNumId="41">
    <w:nsid w:val="725A06FB"/>
    <w:multiLevelType w:val="hybridMultilevel"/>
    <w:lvl w:ilvl="0">
      <w:lvlJc w:val="left"/>
      <w:lvlText w:val="(%1)"/>
      <w:numFmt w:val="decimal"/>
      <w:start w:val="8"/>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67" Type="http://schemas.openxmlformats.org/officeDocument/2006/relationships/hyperlink" Target="http://www.sec.gov/Archives/edgar/data/1374690/000119312514247362/d747935dex31.htm" TargetMode="External"/><Relationship Id="rId68" Type="http://schemas.openxmlformats.org/officeDocument/2006/relationships/hyperlink" Target="http://www.sec.gov/Archives/edgar/data/1374690/000119312514247362/d747935dex32.htm" TargetMode="External"/><Relationship Id="rId69" Type="http://schemas.openxmlformats.org/officeDocument/2006/relationships/hyperlink" Target="http://www.sec.gov/Archives/edgar/data/1374690/000119312514222253/d642727dex41.htm" TargetMode="External"/><Relationship Id="rId70" Type="http://schemas.openxmlformats.org/officeDocument/2006/relationships/hyperlink" Target="http://www.sec.gov/Archives/edgar/data/1374690/000119312514149201/d642727dex42.htm" TargetMode="External"/><Relationship Id="rId71" Type="http://schemas.openxmlformats.org/officeDocument/2006/relationships/hyperlink" Target="http://www.sec.gov/Archives/edgar/data/1374690/000119312517252848/d412284dex43.htm" TargetMode="External"/><Relationship Id="rId72" Type="http://schemas.openxmlformats.org/officeDocument/2006/relationships/hyperlink" Target="http://www.sec.gov/Archives/edgar/data/1374690/000119312517252848/d41228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2019-12-07T05:56:00Z</dcterms:created>
  <dcterms:modified xsi:type="dcterms:W3CDTF">2019-12-07T05:56:00Z</dcterms:modified>
</cp:coreProperties>
</file>