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6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1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300" w:type="dxa"/>
            <w:vAlign w:val="bottom"/>
          </w:tcPr>
          <w:p>
            <w:pPr>
              <w:jc w:val="center"/>
              <w:ind w:right="25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300" w:type="dxa"/>
            <w:vAlign w:val="bottom"/>
            <w:vMerge w:val="restart"/>
          </w:tcPr>
          <w:p>
            <w:pPr>
              <w:jc w:val="center"/>
              <w:ind w:right="27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25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3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300" w:type="dxa"/>
            <w:vAlign w:val="bottom"/>
            <w:vMerge w:val="restart"/>
          </w:tcPr>
          <w:p>
            <w:pPr>
              <w:jc w:val="center"/>
              <w:ind w:right="25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5280660</wp:posOffset>
            </wp:positionH>
            <wp:positionV relativeFrom="paragraph">
              <wp:posOffset>-617855</wp:posOffset>
            </wp:positionV>
            <wp:extent cx="57785" cy="631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3988435</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-1623695</wp:posOffset>
            </wp:positionH>
            <wp:positionV relativeFrom="paragraph">
              <wp:posOffset>21590</wp:posOffset>
            </wp:positionV>
            <wp:extent cx="7047230" cy="49117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47230" cy="4911725"/>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020" w:space="520"/>
            <w:col w:w="8540"/>
          </w:cols>
          <w:pgMar w:left="460" w:top="21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1">
        <w:r>
          <w:rPr>
            <w:rFonts w:ascii="Times New Roman" w:cs="Times New Roman" w:eastAsia="Times New Roman" w:hAnsi="Times New Roman"/>
            <w:sz w:val="20"/>
            <w:szCs w:val="20"/>
            <w:u w:val="single" w:color="auto"/>
            <w:color w:val="0000EE"/>
          </w:rPr>
          <w:t>Shankar Gopi</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20" w:type="dxa"/>
            <w:vAlign w:val="bottom"/>
          </w:tcPr>
          <w:p>
            <w:pPr>
              <w:ind w:left="40"/>
              <w:spacing w:after="0"/>
              <w:rPr>
                <w:sz w:val="20"/>
                <w:szCs w:val="20"/>
                <w:color w:val="auto"/>
              </w:rPr>
            </w:pPr>
            <w:r>
              <w:rPr>
                <w:rFonts w:ascii="Arial" w:cs="Arial" w:eastAsia="Arial" w:hAnsi="Arial"/>
                <w:sz w:val="13"/>
                <w:szCs w:val="13"/>
                <w:color w:val="auto"/>
              </w:rPr>
              <w:t>(Last)</w:t>
            </w:r>
          </w:p>
        </w:tc>
        <w:tc>
          <w:tcPr>
            <w:tcW w:w="1040" w:type="dxa"/>
            <w:vAlign w:val="bottom"/>
          </w:tcPr>
          <w:p>
            <w:pPr>
              <w:ind w:left="240"/>
              <w:spacing w:after="0"/>
              <w:rPr>
                <w:sz w:val="20"/>
                <w:szCs w:val="20"/>
                <w:color w:val="auto"/>
              </w:rPr>
            </w:pPr>
            <w:r>
              <w:rPr>
                <w:rFonts w:ascii="Arial" w:cs="Arial" w:eastAsia="Arial" w:hAnsi="Arial"/>
                <w:sz w:val="13"/>
                <w:szCs w:val="13"/>
                <w:color w:val="auto"/>
              </w:rPr>
              <w:t>(First)</w:t>
            </w:r>
          </w:p>
        </w:tc>
        <w:tc>
          <w:tcPr>
            <w:tcW w:w="880" w:type="dxa"/>
            <w:vAlign w:val="bottom"/>
          </w:tcPr>
          <w:p>
            <w:pPr>
              <w:ind w:left="420"/>
              <w:spacing w:after="0"/>
              <w:rPr>
                <w:sz w:val="20"/>
                <w:szCs w:val="20"/>
                <w:color w:val="auto"/>
              </w:rPr>
            </w:pPr>
            <w:r>
              <w:rPr>
                <w:rFonts w:ascii="Arial" w:cs="Arial" w:eastAsia="Arial" w:hAnsi="Arial"/>
                <w:sz w:val="13"/>
                <w:szCs w:val="13"/>
                <w:color w:val="auto"/>
                <w:w w:val="93"/>
              </w:rPr>
              <w:t>(Middle)</w:t>
            </w:r>
          </w:p>
        </w:tc>
        <w:tc>
          <w:tcPr>
            <w:tcW w:w="0" w:type="dxa"/>
            <w:vAlign w:val="bottom"/>
          </w:tcPr>
          <w:p>
            <w:pPr>
              <w:spacing w:after="0"/>
              <w:rPr>
                <w:sz w:val="1"/>
                <w:szCs w:val="1"/>
                <w:color w:val="auto"/>
              </w:rPr>
            </w:pPr>
          </w:p>
        </w:tc>
      </w:tr>
      <w:tr>
        <w:trPr>
          <w:trHeight w:val="264"/>
        </w:trPr>
        <w:tc>
          <w:tcPr>
            <w:tcW w:w="294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C/O LARIMAR THERAPEUTICS, INC.</w:t>
            </w:r>
          </w:p>
        </w:tc>
        <w:tc>
          <w:tcPr>
            <w:tcW w:w="0" w:type="dxa"/>
            <w:vAlign w:val="bottom"/>
          </w:tcPr>
          <w:p>
            <w:pPr>
              <w:spacing w:after="0"/>
              <w:rPr>
                <w:sz w:val="1"/>
                <w:szCs w:val="1"/>
                <w:color w:val="auto"/>
              </w:rPr>
            </w:pPr>
          </w:p>
        </w:tc>
      </w:tr>
      <w:tr>
        <w:trPr>
          <w:trHeight w:val="254"/>
        </w:trPr>
        <w:tc>
          <w:tcPr>
            <w:tcW w:w="294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w w:val="96"/>
              </w:rPr>
              <w:t>THREE BALA PLAZA EAST, SUITE 506</w:t>
            </w:r>
          </w:p>
        </w:tc>
        <w:tc>
          <w:tcPr>
            <w:tcW w:w="0" w:type="dxa"/>
            <w:vAlign w:val="bottom"/>
          </w:tcPr>
          <w:p>
            <w:pPr>
              <w:spacing w:after="0"/>
              <w:rPr>
                <w:sz w:val="1"/>
                <w:szCs w:val="1"/>
                <w:color w:val="auto"/>
              </w:rPr>
            </w:pPr>
          </w:p>
        </w:tc>
      </w:tr>
      <w:tr>
        <w:trPr>
          <w:trHeight w:val="422"/>
        </w:trPr>
        <w:tc>
          <w:tcPr>
            <w:tcW w:w="1020" w:type="dxa"/>
            <w:vAlign w:val="bottom"/>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0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BALA</w:t>
            </w:r>
          </w:p>
        </w:tc>
        <w:tc>
          <w:tcPr>
            <w:tcW w:w="104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PA</w:t>
            </w:r>
          </w:p>
        </w:tc>
        <w:tc>
          <w:tcPr>
            <w:tcW w:w="88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19004</w:t>
            </w:r>
          </w:p>
        </w:tc>
        <w:tc>
          <w:tcPr>
            <w:tcW w:w="0" w:type="dxa"/>
            <w:vAlign w:val="bottom"/>
          </w:tcPr>
          <w:p>
            <w:pPr>
              <w:spacing w:after="0"/>
              <w:rPr>
                <w:sz w:val="1"/>
                <w:szCs w:val="1"/>
                <w:color w:val="auto"/>
              </w:rPr>
            </w:pPr>
          </w:p>
        </w:tc>
      </w:tr>
      <w:tr>
        <w:trPr>
          <w:trHeight w:val="114"/>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CYNWYD</w:t>
            </w:r>
          </w:p>
        </w:tc>
        <w:tc>
          <w:tcPr>
            <w:tcW w:w="10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02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1"/>
        </w:trPr>
        <w:tc>
          <w:tcPr>
            <w:tcW w:w="1020" w:type="dxa"/>
            <w:vAlign w:val="bottom"/>
          </w:tcPr>
          <w:p>
            <w:pPr>
              <w:ind w:left="4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880" w:type="dxa"/>
            <w:vAlign w:val="bottom"/>
          </w:tcPr>
          <w:p>
            <w:pPr>
              <w:ind w:left="4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2">
              <w:r>
                <w:rPr>
                  <w:rFonts w:ascii="Times New Roman" w:cs="Times New Roman" w:eastAsia="Times New Roman" w:hAnsi="Times New Roman"/>
                  <w:sz w:val="16"/>
                  <w:szCs w:val="16"/>
                  <w:color w:val="0000EE"/>
                </w:rPr>
                <w:t xml:space="preserve">Larimar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LRMR</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82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040" w:type="dxa"/>
            <w:vAlign w:val="bottom"/>
            <w:tcBorders>
              <w:bottom w:val="single" w:sz="8" w:color="0000EE"/>
            </w:tcBorders>
          </w:tcPr>
          <w:p>
            <w:pPr>
              <w:spacing w:after="0"/>
              <w:rPr>
                <w:sz w:val="3"/>
                <w:szCs w:val="3"/>
                <w:color w:val="auto"/>
              </w:rPr>
            </w:pPr>
          </w:p>
        </w:tc>
        <w:tc>
          <w:tcPr>
            <w:tcW w:w="1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04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40" w:type="dxa"/>
            <w:vAlign w:val="bottom"/>
          </w:tcPr>
          <w:p>
            <w:pPr>
              <w:ind w:left="100"/>
              <w:spacing w:after="0" w:line="120"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22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01/17/2024</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Chief Development Officer</w:t>
            </w:r>
          </w:p>
        </w:tc>
        <w:tc>
          <w:tcPr>
            <w:tcW w:w="0" w:type="dxa"/>
            <w:vAlign w:val="bottom"/>
          </w:tcPr>
          <w:p>
            <w:pPr>
              <w:spacing w:after="0"/>
              <w:rPr>
                <w:sz w:val="1"/>
                <w:szCs w:val="1"/>
                <w:color w:val="auto"/>
              </w:rPr>
            </w:pPr>
          </w:p>
        </w:tc>
      </w:tr>
      <w:tr>
        <w:trPr>
          <w:trHeight w:val="71"/>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4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040" w:type="dxa"/>
            <w:vAlign w:val="bottom"/>
            <w:tcBorders>
              <w:bottom w:val="single" w:sz="8" w:color="2C2C2C"/>
            </w:tcBorders>
          </w:tcPr>
          <w:p>
            <w:pPr>
              <w:spacing w:after="0"/>
              <w:rPr>
                <w:sz w:val="8"/>
                <w:szCs w:val="8"/>
                <w:color w:val="auto"/>
              </w:rPr>
            </w:pPr>
          </w:p>
        </w:tc>
        <w:tc>
          <w:tcPr>
            <w:tcW w:w="16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5"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0"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7" w:lineRule="exact"/>
        <w:rPr>
          <w:sz w:val="24"/>
          <w:szCs w:val="24"/>
          <w:color w:val="auto"/>
        </w:rPr>
      </w:pPr>
    </w:p>
    <w:p>
      <w:pPr>
        <w:ind w:left="320" w:right="380"/>
        <w:spacing w:after="0" w:line="28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120" w:space="72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0"/>
                <w:szCs w:val="10"/>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660" w:type="dxa"/>
            <w:vAlign w:val="bottom"/>
            <w:gridSpan w:val="6"/>
          </w:tcPr>
          <w:p>
            <w:pPr>
              <w:ind w:left="8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1"/>
                <w:szCs w:val="11"/>
                <w:color w:val="auto"/>
              </w:rPr>
            </w:pPr>
          </w:p>
        </w:tc>
        <w:tc>
          <w:tcPr>
            <w:tcW w:w="52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01/17/2024</w:t>
            </w: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4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w w:val="88"/>
              </w:rPr>
              <w:t>22,500</w:t>
            </w:r>
            <w:r>
              <w:rPr>
                <w:rFonts w:ascii="Times New Roman" w:cs="Times New Roman" w:eastAsia="Times New Roman" w:hAnsi="Times New Roman"/>
                <w:sz w:val="21"/>
                <w:szCs w:val="21"/>
                <w:color w:val="008000"/>
                <w:w w:val="88"/>
                <w:vertAlign w:val="superscript"/>
              </w:rPr>
              <w:t>(1)</w:t>
            </w:r>
          </w:p>
        </w:tc>
        <w:tc>
          <w:tcPr>
            <w:tcW w:w="5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0.00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27,500</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4.21</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01/17/2024</w:t>
            </w:r>
          </w:p>
        </w:tc>
        <w:tc>
          <w:tcPr>
            <w:tcW w:w="1080" w:type="dxa"/>
            <w:vAlign w:val="bottom"/>
          </w:tcPr>
          <w:p>
            <w:pPr>
              <w:spacing w:after="0"/>
              <w:rPr>
                <w:sz w:val="17"/>
                <w:szCs w:val="17"/>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135,000</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01/17/2034</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135,000</w:t>
            </w:r>
          </w:p>
        </w:tc>
        <w:tc>
          <w:tcPr>
            <w:tcW w:w="40" w:type="dxa"/>
            <w:vAlign w:val="bottom"/>
          </w:tcPr>
          <w:p>
            <w:pPr>
              <w:spacing w:after="0"/>
              <w:rPr>
                <w:sz w:val="17"/>
                <w:szCs w:val="17"/>
                <w:color w:val="auto"/>
              </w:rPr>
            </w:pPr>
          </w:p>
        </w:tc>
        <w:tc>
          <w:tcPr>
            <w:tcW w:w="700" w:type="dxa"/>
            <w:vAlign w:val="bottom"/>
            <w:gridSpan w:val="2"/>
          </w:tcPr>
          <w:p>
            <w:pPr>
              <w:ind w:left="1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135,000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ind w:left="2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is represented by a restricted stock unit ("RSU"). Each RSU represents a contingent right to receive one share of the Issuer's Common Stock upon settlement.</w:t>
      </w:r>
    </w:p>
    <w:p>
      <w:pPr>
        <w:spacing w:after="0" w:line="41" w:lineRule="exact"/>
        <w:rPr>
          <w:rFonts w:ascii="Times New Roman" w:cs="Times New Roman" w:eastAsia="Times New Roman" w:hAnsi="Times New Roman"/>
          <w:sz w:val="13"/>
          <w:szCs w:val="13"/>
          <w:color w:val="008000"/>
        </w:rPr>
      </w:pPr>
    </w:p>
    <w:p>
      <w:pPr>
        <w:ind w:left="40" w:right="54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25% on January 17, 2025, with the remaining 75% vesting in equal monthly installments on the last day of each of the 36 calendar months immediately following such date, subject to the Reporting Person's continued service with the Issuer through the applicable vesting date.</w:t>
      </w:r>
    </w:p>
    <w:p>
      <w:pPr>
        <w:spacing w:after="0" w:line="2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Jennifer Johansson,</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01/19/2024</w:t>
            </w:r>
          </w:p>
        </w:tc>
        <w:tc>
          <w:tcPr>
            <w:tcW w:w="0" w:type="dxa"/>
            <w:vAlign w:val="bottom"/>
          </w:tcPr>
          <w:p>
            <w:pPr>
              <w:spacing w:after="0"/>
              <w:rPr>
                <w:sz w:val="1"/>
                <w:szCs w:val="1"/>
                <w:color w:val="auto"/>
              </w:rPr>
            </w:pPr>
          </w:p>
        </w:tc>
      </w:tr>
      <w:tr>
        <w:trPr>
          <w:trHeight w:val="87"/>
        </w:trPr>
        <w:tc>
          <w:tcPr>
            <w:tcW w:w="1480" w:type="dxa"/>
            <w:vAlign w:val="bottom"/>
            <w:tcBorders>
              <w:top w:val="single" w:sz="8" w:color="auto"/>
              <w:bottom w:val="single" w:sz="8" w:color="auto"/>
            </w:tcBorders>
            <w:gridSpan w:val="2"/>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Attorney-in-fact</w:t>
            </w:r>
          </w:p>
        </w:tc>
        <w:tc>
          <w:tcPr>
            <w:tcW w:w="72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48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60" w:type="dxa"/>
            <w:vAlign w:val="bottom"/>
            <w:shd w:val="clear" w:color="auto" w:fill="000000"/>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965014" TargetMode="External"/><Relationship Id="rId12" Type="http://schemas.openxmlformats.org/officeDocument/2006/relationships/hyperlink" Target="http://www.sec.gov/cgi-bin/browse-edgar?action=getcompany&amp;CIK=0001374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2024-01-19T15:51:09Z</dcterms:created>
  <dcterms:modified xsi:type="dcterms:W3CDTF">2024-01-19T15:51:09Z</dcterms:modified>
</cp:coreProperties>
</file>