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139065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Larimar Therapeutics,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140335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tbl>
      <w:tblPr>
        <w:tblLayout w:type="fixed"/>
        <w:tblInd w:w="1240" w:type="dxa"/>
        <w:tblCellMar>
          <w:top w:w="0" w:type="dxa"/>
          <w:left w:w="0" w:type="dxa"/>
          <w:bottom w:w="0" w:type="dxa"/>
          <w:right w:w="0" w:type="dxa"/>
        </w:tblCellMar>
      </w:tblPr>
      <w:tr>
        <w:trPr>
          <w:trHeight w:val="142"/>
        </w:trPr>
        <w:tc>
          <w:tcPr>
            <w:tcW w:w="2360" w:type="dxa"/>
            <w:vAlign w:val="bottom"/>
          </w:tcPr>
          <w:p>
            <w:pPr>
              <w:jc w:val="center"/>
              <w:ind w:right="626"/>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140" w:type="dxa"/>
            <w:vAlign w:val="bottom"/>
          </w:tcPr>
          <w:p>
            <w:pPr>
              <w:ind w:left="720"/>
              <w:spacing w:after="0"/>
              <w:rPr>
                <w:sz w:val="20"/>
                <w:szCs w:val="20"/>
                <w:color w:val="auto"/>
              </w:rPr>
            </w:pPr>
            <w:r>
              <w:rPr>
                <w:rFonts w:ascii="Times New Roman" w:cs="Times New Roman" w:eastAsia="Times New Roman" w:hAnsi="Times New Roman"/>
                <w:sz w:val="12"/>
                <w:szCs w:val="12"/>
                <w:b w:val="1"/>
                <w:bCs w:val="1"/>
                <w:color w:val="auto"/>
              </w:rPr>
              <w:t>001-36510</w:t>
            </w:r>
          </w:p>
        </w:tc>
        <w:tc>
          <w:tcPr>
            <w:tcW w:w="1640" w:type="dxa"/>
            <w:vAlign w:val="bottom"/>
          </w:tcPr>
          <w:p>
            <w:pPr>
              <w:jc w:val="right"/>
              <w:ind w:right="27"/>
              <w:spacing w:after="0"/>
              <w:rPr>
                <w:sz w:val="20"/>
                <w:szCs w:val="20"/>
                <w:color w:val="auto"/>
              </w:rPr>
            </w:pPr>
            <w:r>
              <w:rPr>
                <w:rFonts w:ascii="Times New Roman" w:cs="Times New Roman" w:eastAsia="Times New Roman" w:hAnsi="Times New Roman"/>
                <w:sz w:val="12"/>
                <w:szCs w:val="12"/>
                <w:b w:val="1"/>
                <w:bCs w:val="1"/>
                <w:color w:val="auto"/>
              </w:rPr>
              <w:t>20-3857670</w:t>
            </w:r>
          </w:p>
        </w:tc>
      </w:tr>
      <w:tr>
        <w:trPr>
          <w:trHeight w:val="99"/>
        </w:trPr>
        <w:tc>
          <w:tcPr>
            <w:tcW w:w="2360" w:type="dxa"/>
            <w:vAlign w:val="bottom"/>
          </w:tcPr>
          <w:p>
            <w:pPr>
              <w:jc w:val="center"/>
              <w:ind w:right="626"/>
              <w:spacing w:after="0" w:line="99" w:lineRule="exact"/>
              <w:rPr>
                <w:sz w:val="20"/>
                <w:szCs w:val="20"/>
                <w:color w:val="auto"/>
              </w:rPr>
            </w:pPr>
            <w:r>
              <w:rPr>
                <w:rFonts w:ascii="Times New Roman" w:cs="Times New Roman" w:eastAsia="Times New Roman" w:hAnsi="Times New Roman"/>
                <w:sz w:val="10"/>
                <w:szCs w:val="10"/>
                <w:b w:val="1"/>
                <w:bCs w:val="1"/>
                <w:color w:val="auto"/>
                <w:w w:val="94"/>
              </w:rPr>
              <w:t>(State or other jurisdiction</w:t>
            </w:r>
          </w:p>
        </w:tc>
        <w:tc>
          <w:tcPr>
            <w:tcW w:w="2140" w:type="dxa"/>
            <w:vAlign w:val="bottom"/>
          </w:tcPr>
          <w:p>
            <w:pPr>
              <w:ind w:left="720"/>
              <w:spacing w:after="0" w:line="99"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640" w:type="dxa"/>
            <w:vAlign w:val="bottom"/>
          </w:tcPr>
          <w:p>
            <w:pPr>
              <w:jc w:val="center"/>
              <w:ind w:left="827"/>
              <w:spacing w:after="0" w:line="99" w:lineRule="exact"/>
              <w:rPr>
                <w:sz w:val="20"/>
                <w:szCs w:val="20"/>
                <w:color w:val="auto"/>
              </w:rPr>
            </w:pPr>
            <w:r>
              <w:rPr>
                <w:rFonts w:ascii="Times New Roman" w:cs="Times New Roman" w:eastAsia="Times New Roman" w:hAnsi="Times New Roman"/>
                <w:sz w:val="10"/>
                <w:szCs w:val="10"/>
                <w:b w:val="1"/>
                <w:bCs w:val="1"/>
                <w:color w:val="auto"/>
                <w:w w:val="94"/>
              </w:rPr>
              <w:t>(I.R.S. Employer</w:t>
            </w:r>
          </w:p>
        </w:tc>
      </w:tr>
      <w:tr>
        <w:trPr>
          <w:trHeight w:val="125"/>
        </w:trPr>
        <w:tc>
          <w:tcPr>
            <w:tcW w:w="2360" w:type="dxa"/>
            <w:vAlign w:val="bottom"/>
          </w:tcPr>
          <w:p>
            <w:pPr>
              <w:jc w:val="center"/>
              <w:ind w:right="646"/>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2140" w:type="dxa"/>
            <w:vAlign w:val="bottom"/>
          </w:tcPr>
          <w:p>
            <w:pPr>
              <w:ind w:left="70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640" w:type="dxa"/>
            <w:vAlign w:val="bottom"/>
          </w:tcPr>
          <w:p>
            <w:pPr>
              <w:jc w:val="center"/>
              <w:ind w:left="827"/>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r>
        <w:trPr>
          <w:trHeight w:val="272"/>
        </w:trPr>
        <w:tc>
          <w:tcPr>
            <w:tcW w:w="2360" w:type="dxa"/>
            <w:vAlign w:val="bottom"/>
          </w:tcPr>
          <w:p>
            <w:pPr>
              <w:jc w:val="center"/>
              <w:ind w:right="626"/>
              <w:spacing w:after="0"/>
              <w:rPr>
                <w:sz w:val="20"/>
                <w:szCs w:val="20"/>
                <w:color w:val="auto"/>
              </w:rPr>
            </w:pPr>
            <w:r>
              <w:rPr>
                <w:rFonts w:ascii="Times New Roman" w:cs="Times New Roman" w:eastAsia="Times New Roman" w:hAnsi="Times New Roman"/>
                <w:sz w:val="12"/>
                <w:szCs w:val="12"/>
                <w:b w:val="1"/>
                <w:bCs w:val="1"/>
                <w:color w:val="auto"/>
              </w:rPr>
              <w:t>Three Bala Plaza East, Suite 506</w:t>
            </w:r>
          </w:p>
        </w:tc>
        <w:tc>
          <w:tcPr>
            <w:tcW w:w="21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151"/>
        </w:trPr>
        <w:tc>
          <w:tcPr>
            <w:tcW w:w="2360" w:type="dxa"/>
            <w:vAlign w:val="bottom"/>
          </w:tcPr>
          <w:p>
            <w:pPr>
              <w:jc w:val="center"/>
              <w:ind w:right="626"/>
              <w:spacing w:after="0"/>
              <w:rPr>
                <w:sz w:val="20"/>
                <w:szCs w:val="20"/>
                <w:color w:val="auto"/>
              </w:rPr>
            </w:pPr>
            <w:r>
              <w:rPr>
                <w:rFonts w:ascii="Times New Roman" w:cs="Times New Roman" w:eastAsia="Times New Roman" w:hAnsi="Times New Roman"/>
                <w:sz w:val="12"/>
                <w:szCs w:val="12"/>
                <w:b w:val="1"/>
                <w:bCs w:val="1"/>
                <w:color w:val="auto"/>
              </w:rPr>
              <w:t>Bala Cynwyd, Pennsylvania</w:t>
            </w:r>
          </w:p>
        </w:tc>
        <w:tc>
          <w:tcPr>
            <w:tcW w:w="2140" w:type="dxa"/>
            <w:vAlign w:val="bottom"/>
          </w:tcPr>
          <w:p>
            <w:pPr>
              <w:spacing w:after="0"/>
              <w:rPr>
                <w:sz w:val="13"/>
                <w:szCs w:val="13"/>
                <w:color w:val="auto"/>
              </w:rPr>
            </w:pPr>
          </w:p>
        </w:tc>
        <w:tc>
          <w:tcPr>
            <w:tcW w:w="1640" w:type="dxa"/>
            <w:vAlign w:val="bottom"/>
          </w:tcPr>
          <w:p>
            <w:pPr>
              <w:jc w:val="right"/>
              <w:ind w:right="167"/>
              <w:spacing w:after="0"/>
              <w:rPr>
                <w:sz w:val="20"/>
                <w:szCs w:val="20"/>
                <w:color w:val="auto"/>
              </w:rPr>
            </w:pPr>
            <w:r>
              <w:rPr>
                <w:rFonts w:ascii="Times New Roman" w:cs="Times New Roman" w:eastAsia="Times New Roman" w:hAnsi="Times New Roman"/>
                <w:sz w:val="12"/>
                <w:szCs w:val="12"/>
                <w:b w:val="1"/>
                <w:bCs w:val="1"/>
                <w:color w:val="auto"/>
              </w:rPr>
              <w:t>19004</w:t>
            </w:r>
          </w:p>
        </w:tc>
      </w:tr>
      <w:tr>
        <w:trPr>
          <w:trHeight w:val="125"/>
        </w:trPr>
        <w:tc>
          <w:tcPr>
            <w:tcW w:w="2360" w:type="dxa"/>
            <w:vAlign w:val="bottom"/>
          </w:tcPr>
          <w:p>
            <w:pPr>
              <w:jc w:val="center"/>
              <w:ind w:right="626"/>
              <w:spacing w:after="0"/>
              <w:rPr>
                <w:sz w:val="20"/>
                <w:szCs w:val="20"/>
                <w:color w:val="auto"/>
              </w:rPr>
            </w:pPr>
            <w:r>
              <w:rPr>
                <w:rFonts w:ascii="Times New Roman" w:cs="Times New Roman" w:eastAsia="Times New Roman" w:hAnsi="Times New Roman"/>
                <w:sz w:val="10"/>
                <w:szCs w:val="10"/>
                <w:b w:val="1"/>
                <w:bCs w:val="1"/>
                <w:color w:val="auto"/>
                <w:w w:val="96"/>
              </w:rPr>
              <w:t>(Address of principal executive offices)</w:t>
            </w:r>
          </w:p>
        </w:tc>
        <w:tc>
          <w:tcPr>
            <w:tcW w:w="2140" w:type="dxa"/>
            <w:vAlign w:val="bottom"/>
          </w:tcPr>
          <w:p>
            <w:pPr>
              <w:spacing w:after="0"/>
              <w:rPr>
                <w:sz w:val="10"/>
                <w:szCs w:val="10"/>
                <w:color w:val="auto"/>
              </w:rPr>
            </w:pPr>
          </w:p>
        </w:tc>
        <w:tc>
          <w:tcPr>
            <w:tcW w:w="1640" w:type="dxa"/>
            <w:vAlign w:val="bottom"/>
          </w:tcPr>
          <w:p>
            <w:pPr>
              <w:jc w:val="center"/>
              <w:ind w:left="827"/>
              <w:spacing w:after="0"/>
              <w:rPr>
                <w:sz w:val="20"/>
                <w:szCs w:val="20"/>
                <w:color w:val="auto"/>
              </w:rPr>
            </w:pPr>
            <w:r>
              <w:rPr>
                <w:rFonts w:ascii="Times New Roman" w:cs="Times New Roman" w:eastAsia="Times New Roman" w:hAnsi="Times New Roman"/>
                <w:sz w:val="10"/>
                <w:szCs w:val="10"/>
                <w:b w:val="1"/>
                <w:bCs w:val="1"/>
                <w:color w:val="auto"/>
                <w:w w:val="94"/>
              </w:rPr>
              <w:t>(Zip Code)</w:t>
            </w:r>
          </w:p>
        </w:tc>
      </w:tr>
    </w:tbl>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(844) 511-9056</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137160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12" w:lineRule="exact"/>
        <w:rPr>
          <w:sz w:val="24"/>
          <w:szCs w:val="24"/>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48"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3"/>
              </w:rPr>
              <w:t>Symbol(s)</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48"/>
        </w:trPr>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$0.001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LRMR</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Market</w:t>
            </w: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840" w:right="1039"/>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ind w:left="67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52" w:lineRule="exact"/>
        <w:rPr>
          <w:sz w:val="24"/>
          <w:szCs w:val="24"/>
          <w:color w:val="auto"/>
        </w:rPr>
      </w:pPr>
    </w:p>
    <w:p>
      <w:pPr>
        <w:ind w:left="840" w:right="103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89535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118110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 w:name="page2"/>
    <w:bookmarkEnd w:id="1"/>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78" w:lineRule="exact"/>
        <w:rPr>
          <w:sz w:val="20"/>
          <w:szCs w:val="20"/>
          <w:color w:val="auto"/>
        </w:rPr>
      </w:pPr>
    </w:p>
    <w:p>
      <w:pPr>
        <w:ind w:left="840" w:right="1119"/>
        <w:spacing w:after="0" w:line="268" w:lineRule="auto"/>
        <w:rPr>
          <w:sz w:val="20"/>
          <w:szCs w:val="20"/>
          <w:color w:val="auto"/>
        </w:rPr>
      </w:pPr>
      <w:r>
        <w:rPr>
          <w:rFonts w:ascii="Times New Roman" w:cs="Times New Roman" w:eastAsia="Times New Roman" w:hAnsi="Times New Roman"/>
          <w:sz w:val="12"/>
          <w:szCs w:val="12"/>
          <w:color w:val="auto"/>
        </w:rPr>
        <w:t>On May 12, 2022, Larimar Therapeutics, Inc.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announced its financial results and operational highlights for the first quarter ended March 31, 2022. A copy of the press release is being furnished as Exhibit 99.1 to this Current Report on Form 8-K and is incorporated herein by reference.</w:t>
      </w:r>
    </w:p>
    <w:p>
      <w:pPr>
        <w:spacing w:after="0" w:line="118" w:lineRule="exact"/>
        <w:rPr>
          <w:sz w:val="20"/>
          <w:szCs w:val="20"/>
          <w:color w:val="auto"/>
        </w:rPr>
      </w:pPr>
    </w:p>
    <w:p>
      <w:pPr>
        <w:ind w:left="840" w:right="879"/>
        <w:spacing w:after="0" w:line="260" w:lineRule="auto"/>
        <w:rPr>
          <w:sz w:val="20"/>
          <w:szCs w:val="20"/>
          <w:color w:val="auto"/>
        </w:rPr>
      </w:pPr>
      <w:r>
        <w:rPr>
          <w:rFonts w:ascii="Times New Roman" w:cs="Times New Roman" w:eastAsia="Times New Roman" w:hAnsi="Times New Roman"/>
          <w:sz w:val="12"/>
          <w:szCs w:val="12"/>
          <w:color w:val="auto"/>
        </w:rPr>
        <w:t>The information furnished pursuant to this Item 2.02, including Exhibit 99.1 attached hereto, is intended to be furnished and shall not be deemed “filed” for purposes of Section 18 of the Securities Exchange Act of 1934, as amended (the “</w:t>
      </w:r>
      <w:r>
        <w:rPr>
          <w:rFonts w:ascii="Times New Roman" w:cs="Times New Roman" w:eastAsia="Times New Roman" w:hAnsi="Times New Roman"/>
          <w:sz w:val="12"/>
          <w:szCs w:val="12"/>
          <w:b w:val="1"/>
          <w:bCs w:val="1"/>
          <w:i w:val="1"/>
          <w:iCs w:val="1"/>
          <w:color w:val="auto"/>
        </w:rPr>
        <w:t>Exchange Act</w:t>
      </w:r>
      <w:r>
        <w:rPr>
          <w:rFonts w:ascii="Times New Roman" w:cs="Times New Roman" w:eastAsia="Times New Roman" w:hAnsi="Times New Roman"/>
          <w:sz w:val="12"/>
          <w:szCs w:val="12"/>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17"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On May 12, 2022, the Company posted on its website an updated slide presentation, which is attached as Exhibit 99.2 to this Current Report on</w:t>
      </w:r>
    </w:p>
    <w:p>
      <w:pPr>
        <w:spacing w:after="0" w:line="17" w:lineRule="exact"/>
        <w:rPr>
          <w:sz w:val="20"/>
          <w:szCs w:val="20"/>
          <w:color w:val="auto"/>
        </w:rPr>
      </w:pPr>
    </w:p>
    <w:p>
      <w:pPr>
        <w:ind w:left="840" w:right="859"/>
        <w:spacing w:after="0" w:line="260" w:lineRule="auto"/>
        <w:rPr>
          <w:sz w:val="20"/>
          <w:szCs w:val="20"/>
          <w:color w:val="auto"/>
        </w:rPr>
      </w:pPr>
      <w:r>
        <w:rPr>
          <w:rFonts w:ascii="Times New Roman" w:cs="Times New Roman" w:eastAsia="Times New Roman" w:hAnsi="Times New Roman"/>
          <w:sz w:val="12"/>
          <w:szCs w:val="12"/>
          <w:color w:val="auto"/>
        </w:rPr>
        <w:t>Form 8-K and is incorporated herein by reference. Representatives of the Company will use the presentation in various meetings with investors, analysts and other parties from time to time.</w:t>
      </w:r>
    </w:p>
    <w:p>
      <w:pPr>
        <w:spacing w:after="0" w:line="217"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 Exhibits</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Below is a list of exhibits included with this Current Report on Form 8-K.</w:t>
      </w:r>
    </w:p>
    <w:p>
      <w:pPr>
        <w:spacing w:after="0" w:line="14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6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34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Document</w:t>
            </w:r>
          </w:p>
        </w:tc>
        <w:tc>
          <w:tcPr>
            <w:tcW w:w="0" w:type="dxa"/>
            <w:vAlign w:val="bottom"/>
          </w:tcPr>
          <w:p>
            <w:pPr>
              <w:spacing w:after="0"/>
              <w:rPr>
                <w:sz w:val="1"/>
                <w:szCs w:val="1"/>
                <w:color w:val="auto"/>
              </w:rPr>
            </w:pPr>
          </w:p>
        </w:tc>
      </w:tr>
      <w:tr>
        <w:trPr>
          <w:trHeight w:val="115"/>
        </w:trPr>
        <w:tc>
          <w:tcPr>
            <w:tcW w:w="34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No.</w:t>
            </w:r>
          </w:p>
        </w:tc>
        <w:tc>
          <w:tcPr>
            <w:tcW w:w="340" w:type="dxa"/>
            <w:vAlign w:val="bottom"/>
          </w:tcPr>
          <w:p>
            <w:pPr>
              <w:spacing w:after="0"/>
              <w:rPr>
                <w:sz w:val="10"/>
                <w:szCs w:val="10"/>
                <w:color w:val="auto"/>
              </w:rPr>
            </w:pPr>
          </w:p>
        </w:tc>
        <w:tc>
          <w:tcPr>
            <w:tcW w:w="34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340" w:type="dxa"/>
            <w:vAlign w:val="bottom"/>
          </w:tcPr>
          <w:p>
            <w:pPr>
              <w:spacing w:after="0"/>
              <w:rPr>
                <w:sz w:val="15"/>
                <w:szCs w:val="15"/>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Press Release issued by Larimar Therapeutics, Inc. on May 12, 2022</w:t>
            </w:r>
            <w:r>
              <w:rPr>
                <w:rFonts w:ascii="Times New Roman" w:cs="Times New Roman" w:eastAsia="Times New Roman" w:hAnsi="Times New Roman"/>
                <w:sz w:val="12"/>
                <w:szCs w:val="12"/>
                <w:color w:val="000000"/>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340" w:type="dxa"/>
            <w:vAlign w:val="bottom"/>
          </w:tcPr>
          <w:p>
            <w:pPr>
              <w:spacing w:after="0"/>
              <w:rPr>
                <w:sz w:val="17"/>
                <w:szCs w:val="17"/>
                <w:color w:val="auto"/>
              </w:rPr>
            </w:pPr>
          </w:p>
        </w:tc>
        <w:tc>
          <w:tcPr>
            <w:tcW w:w="34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2"/>
                <w:szCs w:val="12"/>
                <w:color w:val="0000EE"/>
                <w:w w:val="99"/>
              </w:rPr>
              <w:t>Larimar Therapeutics, Inc. Corporate Presentation, dated May 12, 2022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840" w:right="3639" w:firstLine="22"/>
        <w:spacing w:after="0" w:line="420" w:lineRule="auto"/>
        <w:tabs>
          <w:tab w:leader="none" w:pos="1533"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(embedded within the Inline XBRL document) * Furnished herewith</w:t>
      </w:r>
    </w:p>
    <w:p>
      <w:pPr>
        <w:sectPr>
          <w:pgSz w:w="11900" w:h="16838" w:orient="portrait"/>
          <w:cols w:equalWidth="0" w:num="1">
            <w:col w:w="9019"/>
          </w:cols>
          <w:pgMar w:left="1440" w:top="242"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Larimar Therapeutics, Inc.</w:t>
      </w:r>
    </w:p>
    <w:p>
      <w:pPr>
        <w:spacing w:after="0" w:line="150" w:lineRule="exact"/>
        <w:rPr>
          <w:sz w:val="20"/>
          <w:szCs w:val="20"/>
          <w:color w:val="auto"/>
        </w:rPr>
      </w:pPr>
    </w:p>
    <w:tbl>
      <w:tblPr>
        <w:tblLayout w:type="fixed"/>
        <w:tblInd w:w="5240" w:type="dxa"/>
        <w:tblCellMar>
          <w:top w:w="0" w:type="dxa"/>
          <w:left w:w="0" w:type="dxa"/>
          <w:bottom w:w="0" w:type="dxa"/>
          <w:right w:w="0" w:type="dxa"/>
        </w:tblCellMar>
      </w:tblPr>
      <w:tr>
        <w:trPr>
          <w:trHeight w:val="155"/>
        </w:trPr>
        <w:tc>
          <w:tcPr>
            <w:tcW w:w="3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Carole S. Ben-Maimon, M.D.</w:t>
            </w:r>
          </w:p>
        </w:tc>
      </w:tr>
      <w:tr>
        <w:trPr>
          <w:trHeight w:val="129"/>
        </w:trPr>
        <w:tc>
          <w:tcPr>
            <w:tcW w:w="380" w:type="dxa"/>
            <w:vAlign w:val="bottom"/>
          </w:tcPr>
          <w:p>
            <w:pPr>
              <w:spacing w:after="0" w:line="129" w:lineRule="exact"/>
              <w:rPr>
                <w:sz w:val="20"/>
                <w:szCs w:val="20"/>
                <w:color w:val="auto"/>
              </w:rPr>
            </w:pPr>
            <w:r>
              <w:rPr>
                <w:rFonts w:ascii="Times New Roman" w:cs="Times New Roman" w:eastAsia="Times New Roman" w:hAnsi="Times New Roman"/>
                <w:sz w:val="12"/>
                <w:szCs w:val="12"/>
                <w:i w:val="1"/>
                <w:iCs w:val="1"/>
                <w:color w:val="auto"/>
              </w:rPr>
              <w:t>Name:</w:t>
            </w:r>
          </w:p>
        </w:tc>
        <w:tc>
          <w:tcPr>
            <w:tcW w:w="2560" w:type="dxa"/>
            <w:vAlign w:val="bottom"/>
          </w:tcPr>
          <w:p>
            <w:pPr>
              <w:spacing w:after="0" w:line="129" w:lineRule="exact"/>
              <w:rPr>
                <w:sz w:val="20"/>
                <w:szCs w:val="20"/>
                <w:color w:val="auto"/>
              </w:rPr>
            </w:pPr>
            <w:r>
              <w:rPr>
                <w:rFonts w:ascii="Times New Roman" w:cs="Times New Roman" w:eastAsia="Times New Roman" w:hAnsi="Times New Roman"/>
                <w:sz w:val="12"/>
                <w:szCs w:val="12"/>
                <w:i w:val="1"/>
                <w:iCs w:val="1"/>
                <w:color w:val="auto"/>
              </w:rPr>
              <w:t>Carole S. Ben-Maimon, M.D.</w:t>
            </w:r>
          </w:p>
        </w:tc>
      </w:tr>
      <w:tr>
        <w:trPr>
          <w:trHeight w:val="157"/>
        </w:trPr>
        <w:tc>
          <w:tcPr>
            <w:tcW w:w="3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Title:</w:t>
            </w:r>
          </w:p>
        </w:tc>
        <w:tc>
          <w:tcPr>
            <w:tcW w:w="25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President and Chief Executive Officer</w:t>
            </w:r>
          </w:p>
        </w:tc>
      </w:tr>
    </w:tbl>
    <w:p>
      <w:pPr>
        <w:spacing w:after="0" w:line="1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 May 12, 2022</w:t>
      </w:r>
    </w:p>
    <w:p>
      <w:pPr>
        <w:sectPr>
          <w:pgSz w:w="11900" w:h="16838" w:orient="portrait"/>
          <w:cols w:equalWidth="0" w:num="1">
            <w:col w:w="9019"/>
          </w:cols>
          <w:pgMar w:left="1440" w:top="242" w:right="1440" w:bottom="1440" w:gutter="0" w:footer="0" w:header="0"/>
        </w:sectPr>
      </w:pPr>
    </w:p>
    <w:bookmarkStart w:id="3" w:name="page4"/>
    <w:bookmarkEnd w:id="3"/>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116205</wp:posOffset>
            </wp:positionV>
            <wp:extent cx="1005840" cy="400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05840" cy="40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Larimar Therapeutics Reports First Quarter 2022 Operating and Financial Results</w:t>
      </w:r>
    </w:p>
    <w:p>
      <w:pPr>
        <w:spacing w:after="0" w:line="152" w:lineRule="exact"/>
        <w:rPr>
          <w:sz w:val="20"/>
          <w:szCs w:val="20"/>
          <w:color w:val="auto"/>
        </w:rPr>
      </w:pPr>
    </w:p>
    <w:p>
      <w:pPr>
        <w:ind w:left="1120" w:right="959"/>
        <w:spacing w:after="0" w:line="283" w:lineRule="auto"/>
        <w:rPr>
          <w:sz w:val="20"/>
          <w:szCs w:val="20"/>
          <w:color w:val="auto"/>
        </w:rPr>
      </w:pPr>
      <w:r>
        <w:rPr>
          <w:rFonts w:ascii="Times New Roman" w:cs="Times New Roman" w:eastAsia="Times New Roman" w:hAnsi="Times New Roman"/>
          <w:sz w:val="12"/>
          <w:szCs w:val="12"/>
          <w:i w:val="1"/>
          <w:iCs w:val="1"/>
          <w:color w:val="auto"/>
        </w:rPr>
        <w:t>-CTI-1601 Type C Meeting to discuss clinical hold has been granted by the U.S. Food and Drug Administration and is scheduled for early in the third quarter of 2022</w:t>
      </w:r>
    </w:p>
    <w:p>
      <w:pPr>
        <w:spacing w:after="0" w:line="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i w:val="1"/>
          <w:iCs w:val="1"/>
          <w:color w:val="auto"/>
        </w:rPr>
        <w:t>- Cash at March 31, 2022 of $62.6 million provides projected cash runway into the third quarter of 2023</w:t>
      </w:r>
    </w:p>
    <w:p>
      <w:pPr>
        <w:spacing w:after="0" w:line="148" w:lineRule="exact"/>
        <w:rPr>
          <w:sz w:val="20"/>
          <w:szCs w:val="20"/>
          <w:color w:val="auto"/>
        </w:rPr>
      </w:pPr>
    </w:p>
    <w:p>
      <w:pPr>
        <w:ind w:left="840" w:right="1159"/>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Bala Cynwyd, PA, </w:t>
      </w:r>
      <w:r>
        <w:rPr>
          <w:rFonts w:ascii="Times New Roman" w:cs="Times New Roman" w:eastAsia="Times New Roman" w:hAnsi="Times New Roman"/>
          <w:sz w:val="12"/>
          <w:szCs w:val="12"/>
          <w:color w:val="auto"/>
        </w:rPr>
        <w:t>May 12, 2022 – Larimar Therapeutics, Inc. (“Larimar”) (Nasdaq: LRMR), a clinical-stage biotechnology company focused 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developing treatments for complex rare diseases, today reported its first quarter 2022 operating and financial results.</w:t>
      </w:r>
    </w:p>
    <w:p>
      <w:pPr>
        <w:spacing w:after="0" w:line="107" w:lineRule="exact"/>
        <w:rPr>
          <w:sz w:val="20"/>
          <w:szCs w:val="20"/>
          <w:color w:val="auto"/>
        </w:rPr>
      </w:pPr>
    </w:p>
    <w:p>
      <w:pPr>
        <w:ind w:left="840" w:right="939"/>
        <w:spacing w:after="0" w:line="255" w:lineRule="auto"/>
        <w:rPr>
          <w:sz w:val="20"/>
          <w:szCs w:val="20"/>
          <w:color w:val="auto"/>
        </w:rPr>
      </w:pPr>
      <w:r>
        <w:rPr>
          <w:rFonts w:ascii="Times New Roman" w:cs="Times New Roman" w:eastAsia="Times New Roman" w:hAnsi="Times New Roman"/>
          <w:sz w:val="12"/>
          <w:szCs w:val="12"/>
          <w:color w:val="auto"/>
        </w:rPr>
        <w:t>“The FDA recently granted our request for a Type C meeting, which is expected to provide an important framework for interactions related to both the hold and our next proposed clinical trial,” said Carole Ben-Maimon, MD, President and Chief Executive Officer of Larimar. “There remains an urgent need for therapies that can slow or prevent the progression of Friedreich’s ataxia, which remains the key motivating factor behind our clinical development efforts. We believe our Phase 1 data demonstrate proof-of-concept for CTI-1601 as a frataxin replacement therapy and its differentiated mechanism of action (MOA). We believe this MOA leaves CTI-1601 uniquely positioned to address the urgent need for disease modifying therapies in Friedreich’s ataxia, as it is designed to address the root cause of this devastating disease. We look forward to its continued development and our upcoming interactions with the FDA.”</w:t>
      </w:r>
    </w:p>
    <w:p>
      <w:pPr>
        <w:spacing w:after="0" w:line="19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CTI-1601 Update</w:t>
      </w:r>
    </w:p>
    <w:p>
      <w:pPr>
        <w:spacing w:after="0" w:line="82" w:lineRule="exact"/>
        <w:rPr>
          <w:sz w:val="20"/>
          <w:szCs w:val="20"/>
          <w:color w:val="auto"/>
        </w:rPr>
      </w:pPr>
    </w:p>
    <w:p>
      <w:pPr>
        <w:ind w:left="840" w:right="859"/>
        <w:spacing w:after="0" w:line="254" w:lineRule="auto"/>
        <w:rPr>
          <w:sz w:val="20"/>
          <w:szCs w:val="20"/>
          <w:color w:val="auto"/>
        </w:rPr>
      </w:pPr>
      <w:r>
        <w:rPr>
          <w:rFonts w:ascii="Times New Roman" w:cs="Times New Roman" w:eastAsia="Times New Roman" w:hAnsi="Times New Roman"/>
          <w:sz w:val="12"/>
          <w:szCs w:val="12"/>
          <w:color w:val="auto"/>
        </w:rPr>
        <w:t>In February 2022, Larimar received feedback from the U.S. Food and Drug Administration (FDA) regarding the May 2021 clinical hold placed on the CTI-1601 program. The May 2021 hold followed the Company’s notification to the agency of mortalities which occurred at the highest dose levels in a 26-week non-human primate (NHP) toxicology study that was designed to support extended dosing of patients with CTI-1601. At the time the hold was placed, Larimar had no interventional clinical trials with patients enrolled or enrolling. In the feedback provided in February 2022, the FDA stated it was maintaining the clinical hold and that additional data are needed to resolve the clinical hold. This feedback followed Larimar’s submission of a complete response to the agency. Larimar subsequently submitted a request for an FDA Type C meeting, which has been granted and has been scheduled for early in the third quarter of 2022. Throughout the course of the interactions associated with the Type C meeting, Larimar intends to work with the FDA to resolve the CTI-1601 clinical hold and agree on the study design and timing of its next proposed clinical trial. The Company plans to provide a regulatory update on CTI-1601 following receipt of the minutes from the scheduled Type C meeting with the FDA.</w:t>
      </w:r>
    </w:p>
    <w:p>
      <w:pPr>
        <w:spacing w:after="0" w:line="19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First Quarter 2022 Financial Results</w:t>
      </w:r>
    </w:p>
    <w:p>
      <w:pPr>
        <w:spacing w:after="0" w:line="82" w:lineRule="exact"/>
        <w:rPr>
          <w:sz w:val="20"/>
          <w:szCs w:val="20"/>
          <w:color w:val="auto"/>
        </w:rPr>
      </w:pPr>
    </w:p>
    <w:p>
      <w:pPr>
        <w:ind w:left="840" w:right="859"/>
        <w:spacing w:after="0" w:line="279" w:lineRule="auto"/>
        <w:rPr>
          <w:sz w:val="20"/>
          <w:szCs w:val="20"/>
          <w:color w:val="auto"/>
        </w:rPr>
      </w:pPr>
      <w:r>
        <w:rPr>
          <w:rFonts w:ascii="Times New Roman" w:cs="Times New Roman" w:eastAsia="Times New Roman" w:hAnsi="Times New Roman"/>
          <w:sz w:val="12"/>
          <w:szCs w:val="12"/>
          <w:color w:val="auto"/>
        </w:rPr>
        <w:t>As of March 31, 2022, the Company had cash and cash equivalents totaling $62.6 million which provides projected cash runway into the third quarter of 2023.</w:t>
      </w:r>
    </w:p>
    <w:p>
      <w:pPr>
        <w:spacing w:after="0" w:line="111" w:lineRule="exact"/>
        <w:rPr>
          <w:sz w:val="20"/>
          <w:szCs w:val="20"/>
          <w:color w:val="auto"/>
        </w:rPr>
      </w:pPr>
    </w:p>
    <w:p>
      <w:pPr>
        <w:ind w:left="840" w:right="999"/>
        <w:spacing w:after="0" w:line="279" w:lineRule="auto"/>
        <w:rPr>
          <w:sz w:val="20"/>
          <w:szCs w:val="20"/>
          <w:color w:val="auto"/>
        </w:rPr>
      </w:pPr>
      <w:r>
        <w:rPr>
          <w:rFonts w:ascii="Times New Roman" w:cs="Times New Roman" w:eastAsia="Times New Roman" w:hAnsi="Times New Roman"/>
          <w:sz w:val="12"/>
          <w:szCs w:val="12"/>
          <w:color w:val="auto"/>
        </w:rPr>
        <w:t>The Company reported a net loss for the first quarter of 2022 of $8.9 million, or $0.49 per share, compared to a net loss of $12.1 million, or $0.76 per share, for the first quarter of 2021.</w:t>
      </w:r>
    </w:p>
    <w:p>
      <w:pPr>
        <w:spacing w:after="0" w:line="111" w:lineRule="exact"/>
        <w:rPr>
          <w:sz w:val="20"/>
          <w:szCs w:val="20"/>
          <w:color w:val="auto"/>
        </w:rPr>
      </w:pPr>
    </w:p>
    <w:p>
      <w:pPr>
        <w:ind w:left="840" w:right="939"/>
        <w:spacing w:after="0" w:line="283" w:lineRule="auto"/>
        <w:rPr>
          <w:sz w:val="20"/>
          <w:szCs w:val="20"/>
          <w:color w:val="auto"/>
        </w:rPr>
      </w:pPr>
      <w:r>
        <w:rPr>
          <w:rFonts w:ascii="Times New Roman" w:cs="Times New Roman" w:eastAsia="Times New Roman" w:hAnsi="Times New Roman"/>
          <w:sz w:val="11"/>
          <w:szCs w:val="11"/>
          <w:color w:val="auto"/>
        </w:rPr>
        <w:t>Research and development expenses for the first quarter of 2022 were $5.8 million compared to $9.0 million for the first quarter of 2021. The decrease in research and development expenses compared to the prior year period was primarily driven by lower clinical supply manufacturing costs of</w:t>
      </w:r>
    </w:p>
    <w:p>
      <w:pPr>
        <w:spacing w:after="0" w:line="1" w:lineRule="exact"/>
        <w:rPr>
          <w:sz w:val="20"/>
          <w:szCs w:val="20"/>
          <w:color w:val="auto"/>
        </w:rPr>
      </w:pPr>
    </w:p>
    <w:p>
      <w:pPr>
        <w:ind w:left="840" w:right="859"/>
        <w:spacing w:after="0" w:line="253" w:lineRule="auto"/>
        <w:rPr>
          <w:sz w:val="20"/>
          <w:szCs w:val="20"/>
          <w:color w:val="auto"/>
        </w:rPr>
      </w:pPr>
      <w:r>
        <w:rPr>
          <w:rFonts w:ascii="Times New Roman" w:cs="Times New Roman" w:eastAsia="Times New Roman" w:hAnsi="Times New Roman"/>
          <w:sz w:val="12"/>
          <w:szCs w:val="12"/>
          <w:color w:val="auto"/>
        </w:rPr>
        <w:t>$2.2 million and a decrease of $1.9 million in clinical trial costs, partially offset by an increase of $0.3 million in personnel related costs due to headcount additions in our research and development functions, higher non-clinical costs of $0.2 million, an increase of $0.2 million in professional fees primarily related to regulatory and clinical consulting services and an increase of $0.2 million in stock-based compensation expense associated with stock option grants made in 2021 and 2022.</w:t>
      </w:r>
    </w:p>
    <w:p>
      <w:pPr>
        <w:sectPr>
          <w:pgSz w:w="11900" w:h="16838" w:orient="portrait"/>
          <w:cols w:equalWidth="0" w:num="1">
            <w:col w:w="9019"/>
          </w:cols>
          <w:pgMar w:left="1440" w:top="125" w:right="1440" w:bottom="1440" w:gutter="0" w:footer="0" w:header="0"/>
        </w:sectPr>
      </w:pPr>
    </w:p>
    <w:bookmarkStart w:id="4" w:name="page5"/>
    <w:bookmarkEnd w:id="4"/>
    <w:p>
      <w:pPr>
        <w:jc w:val="both"/>
        <w:ind w:left="840" w:right="97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General and administrative expenses for the first quarter of 2022 and the first quarter of 2021 were both $3.1 million. Increases in stock compensation expense associated with stock option grants that were made throughout 2021 and in the first quarter of 2022 and higher personnel costs were offset by lower recruiting and consulting fees.</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Larimar Therapeutics</w:t>
      </w:r>
    </w:p>
    <w:p>
      <w:pPr>
        <w:spacing w:after="0" w:line="82" w:lineRule="exact"/>
        <w:rPr>
          <w:sz w:val="20"/>
          <w:szCs w:val="20"/>
          <w:color w:val="auto"/>
        </w:rPr>
      </w:pPr>
    </w:p>
    <w:p>
      <w:pPr>
        <w:ind w:left="840" w:right="859"/>
        <w:spacing w:after="0" w:line="260" w:lineRule="auto"/>
        <w:rPr>
          <w:sz w:val="20"/>
          <w:szCs w:val="20"/>
          <w:color w:val="auto"/>
        </w:rPr>
      </w:pPr>
      <w:r>
        <w:rPr>
          <w:rFonts w:ascii="Times New Roman" w:cs="Times New Roman" w:eastAsia="Times New Roman" w:hAnsi="Times New Roman"/>
          <w:sz w:val="12"/>
          <w:szCs w:val="12"/>
          <w:color w:val="auto"/>
        </w:rPr>
        <w:t xml:space="preserve">Larimar Therapeutics, Inc. (Nasdaq: LRMR), is a clinical-stage biotechnology company focused on developing treatments for complex rare diseases. Larimar’s lead compound, CTI-1601,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w:t>
      </w:r>
      <w:r>
        <w:rPr>
          <w:rFonts w:ascii="Times New Roman" w:cs="Times New Roman" w:eastAsia="Times New Roman" w:hAnsi="Times New Roman"/>
          <w:sz w:val="12"/>
          <w:szCs w:val="12"/>
          <w:u w:val="single" w:color="auto"/>
          <w:color w:val="auto"/>
        </w:rPr>
        <w:t>https://larimartx.com</w:t>
      </w:r>
      <w:r>
        <w:rPr>
          <w:rFonts w:ascii="Times New Roman" w:cs="Times New Roman" w:eastAsia="Times New Roman" w:hAnsi="Times New Roman"/>
          <w:sz w:val="12"/>
          <w:szCs w:val="12"/>
          <w:color w:val="auto"/>
        </w:rPr>
        <w:t>.</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82" w:lineRule="exact"/>
        <w:rPr>
          <w:sz w:val="20"/>
          <w:szCs w:val="20"/>
          <w:color w:val="auto"/>
        </w:rPr>
      </w:pPr>
    </w:p>
    <w:p>
      <w:pPr>
        <w:ind w:left="840" w:right="899"/>
        <w:spacing w:after="0" w:line="256" w:lineRule="auto"/>
        <w:rPr>
          <w:sz w:val="20"/>
          <w:szCs w:val="20"/>
          <w:color w:val="auto"/>
        </w:rPr>
      </w:pPr>
      <w:r>
        <w:rPr>
          <w:rFonts w:ascii="Times New Roman" w:cs="Times New Roman" w:eastAsia="Times New Roman" w:hAnsi="Times New Roman"/>
          <w:sz w:val="12"/>
          <w:szCs w:val="12"/>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expectations regarding its ability to resolve the clinical hold imposed by the FDA related to CTI-1601, Larimar’s ability to develop and commercialize CTI-1601 and other planned product candidates, Larimar’s planned research and development efforts, including the timing of its CTI-1601 clinical development plan and other matters regarding Larimar’s business strategies, use of capital, results of operations and financial position, and plans and objectives for future operations.</w:t>
      </w:r>
    </w:p>
    <w:p>
      <w:pPr>
        <w:spacing w:after="0" w:line="125" w:lineRule="exact"/>
        <w:rPr>
          <w:sz w:val="20"/>
          <w:szCs w:val="20"/>
          <w:color w:val="auto"/>
        </w:rPr>
      </w:pPr>
    </w:p>
    <w:p>
      <w:pPr>
        <w:ind w:left="840" w:right="859"/>
        <w:spacing w:after="0" w:line="251" w:lineRule="auto"/>
        <w:rPr>
          <w:sz w:val="20"/>
          <w:szCs w:val="20"/>
          <w:color w:val="auto"/>
        </w:rPr>
      </w:pPr>
      <w:r>
        <w:rPr>
          <w:rFonts w:ascii="Times New Roman" w:cs="Times New Roman" w:eastAsia="Times New Roman" w:hAnsi="Times New Roman"/>
          <w:sz w:val="12"/>
          <w:szCs w:val="12"/>
          <w:color w:val="auto"/>
        </w:rPr>
        <w:t xml:space="preserve">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Larimar’s ability to successfully engage with the FDA and satisfactorily respond to requests from the FDA for further information and data regarding CTI-1601, the timing and outcome of Larimar’s planned interactions with the FDA concerning the clinical hold on CTI-1601, the success, cost and timing of Larimar’s product development activities, nonclinical studies and clinical trials, including CTI-1601 clinical milestones; that preliminary clinical trial results may differ from final clinical trial results, that earlier non-clinical and clinical data and testing of CTI-1601 may not be predictive of the results or success of later clinical trials, and assessments; the ongoing impact of the COVID-19 pandemic on Larimar’s future clinical trials, manufacturing, regulatory and nonclinical study timelines, the ongoing impact of the COVID-19 pandemic and the potential impact of the Russian invasion of Ukraine on Larimar’s ability to raise additional capital and general economic conditions; Larimar’s ability and the ability of third-party manufacturers Larimar engages, to optimize and scale CTI-1601’s manufacturing process; Larimar’s ability to obtain regulatory approval for CTI-1601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48"/>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Investor Contact:</w:t>
            </w:r>
          </w:p>
        </w:tc>
        <w:tc>
          <w:tcPr>
            <w:tcW w:w="12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Company Contact:</w:t>
            </w:r>
          </w:p>
        </w:tc>
      </w:tr>
      <w:tr>
        <w:trPr>
          <w:trHeight w:val="144"/>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Joyce Allaire</w:t>
            </w:r>
          </w:p>
        </w:tc>
        <w:tc>
          <w:tcPr>
            <w:tcW w:w="1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Michael Celano</w:t>
            </w:r>
          </w:p>
        </w:tc>
      </w:tr>
      <w:tr>
        <w:trPr>
          <w:trHeight w:val="144"/>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LifeSci Advisors</w:t>
            </w:r>
          </w:p>
        </w:tc>
        <w:tc>
          <w:tcPr>
            <w:tcW w:w="1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28"/>
        </w:trPr>
        <w:tc>
          <w:tcPr>
            <w:tcW w:w="382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jallaire@lifesciadvisors.com</w:t>
            </w:r>
          </w:p>
        </w:tc>
        <w:tc>
          <w:tcPr>
            <w:tcW w:w="120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w w:val="98"/>
              </w:rPr>
              <w:t>mcelano@larimartx.com</w:t>
            </w:r>
          </w:p>
        </w:tc>
      </w:tr>
      <w:tr>
        <w:trPr>
          <w:trHeight w:val="151"/>
        </w:trPr>
        <w:tc>
          <w:tcPr>
            <w:tcW w:w="1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(212) 915-2569</w:t>
            </w:r>
          </w:p>
        </w:tc>
        <w:tc>
          <w:tcPr>
            <w:tcW w:w="2460" w:type="dxa"/>
            <w:vAlign w:val="bottom"/>
          </w:tcPr>
          <w:p>
            <w:pPr>
              <w:spacing w:after="0"/>
              <w:rPr>
                <w:sz w:val="13"/>
                <w:szCs w:val="13"/>
                <w:color w:val="auto"/>
              </w:rPr>
            </w:pPr>
          </w:p>
        </w:tc>
        <w:tc>
          <w:tcPr>
            <w:tcW w:w="1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(484) 414-2715</w:t>
            </w:r>
          </w:p>
        </w:tc>
        <w:tc>
          <w:tcPr>
            <w:tcW w:w="20" w:type="dxa"/>
            <w:vAlign w:val="bottom"/>
          </w:tcPr>
          <w:p>
            <w:pPr>
              <w:spacing w:after="0"/>
              <w:rPr>
                <w:sz w:val="13"/>
                <w:szCs w:val="13"/>
                <w:color w:val="auto"/>
              </w:rPr>
            </w:pPr>
          </w:p>
        </w:tc>
      </w:tr>
    </w:tbl>
    <w:p>
      <w:pPr>
        <w:sectPr>
          <w:pgSz w:w="11900" w:h="16838" w:orient="portrait"/>
          <w:cols w:equalWidth="0" w:num="1">
            <w:col w:w="9019"/>
          </w:cols>
          <w:pgMar w:left="1440" w:top="228"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Larimar Therapeutics,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Consolidated Balance Sheet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(Unaudited)</w:t>
      </w:r>
    </w:p>
    <w:p>
      <w:pPr>
        <w:spacing w:after="0" w:line="13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940" w:type="dxa"/>
            <w:vAlign w:val="bottom"/>
          </w:tcPr>
          <w:p>
            <w:pPr>
              <w:spacing w:after="0"/>
              <w:rPr>
                <w:sz w:val="10"/>
                <w:szCs w:val="10"/>
                <w:color w:val="auto"/>
              </w:rPr>
            </w:pPr>
          </w:p>
        </w:tc>
        <w:tc>
          <w:tcPr>
            <w:tcW w:w="760" w:type="dxa"/>
            <w:vAlign w:val="bottom"/>
            <w:gridSpan w:val="3"/>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6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59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0"/>
                <w:szCs w:val="10"/>
                <w:b w:val="1"/>
                <w:bCs w:val="1"/>
                <w:color w:val="auto"/>
              </w:rPr>
              <w:t>2022</w:t>
            </w:r>
          </w:p>
        </w:tc>
        <w:tc>
          <w:tcPr>
            <w:tcW w:w="2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r>
      <w:tr>
        <w:trPr>
          <w:trHeight w:val="124"/>
        </w:trPr>
        <w:tc>
          <w:tcPr>
            <w:tcW w:w="59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Assets</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594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62,564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70,097</w:t>
            </w:r>
          </w:p>
        </w:tc>
      </w:tr>
      <w:tr>
        <w:trPr>
          <w:trHeight w:val="144"/>
        </w:trPr>
        <w:tc>
          <w:tcPr>
            <w:tcW w:w="594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6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2,315</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2,107</w:t>
            </w:r>
          </w:p>
        </w:tc>
      </w:tr>
      <w:tr>
        <w:trPr>
          <w:trHeight w:val="20"/>
        </w:trPr>
        <w:tc>
          <w:tcPr>
            <w:tcW w:w="59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Total current assets</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64,879</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72,204</w:t>
            </w:r>
          </w:p>
        </w:tc>
      </w:tr>
      <w:tr>
        <w:trPr>
          <w:trHeight w:val="144"/>
        </w:trPr>
        <w:tc>
          <w:tcPr>
            <w:tcW w:w="594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6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1,067</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1,049</w:t>
            </w:r>
          </w:p>
        </w:tc>
      </w:tr>
      <w:tr>
        <w:trPr>
          <w:trHeight w:val="14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3,270</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3,406</w:t>
            </w:r>
          </w:p>
        </w:tc>
      </w:tr>
      <w:tr>
        <w:trPr>
          <w:trHeight w:val="144"/>
        </w:trPr>
        <w:tc>
          <w:tcPr>
            <w:tcW w:w="5940" w:type="dxa"/>
            <w:vAlign w:val="bottom"/>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6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1,339</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1,339</w:t>
            </w:r>
          </w:p>
        </w:tc>
      </w:tr>
      <w:tr>
        <w:trPr>
          <w:trHeight w:val="14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668</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669</w:t>
            </w:r>
          </w:p>
        </w:tc>
      </w:tr>
      <w:tr>
        <w:trPr>
          <w:trHeight w:val="154"/>
        </w:trPr>
        <w:tc>
          <w:tcPr>
            <w:tcW w:w="594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Total assets</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71,223</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78,667</w:t>
            </w:r>
          </w:p>
        </w:tc>
        <w:tc>
          <w:tcPr>
            <w:tcW w:w="80" w:type="dxa"/>
            <w:vAlign w:val="bottom"/>
          </w:tcPr>
          <w:p>
            <w:pPr>
              <w:spacing w:after="0"/>
              <w:rPr>
                <w:sz w:val="13"/>
                <w:szCs w:val="13"/>
                <w:color w:val="auto"/>
              </w:rPr>
            </w:pPr>
          </w:p>
        </w:tc>
      </w:tr>
      <w:tr>
        <w:trPr>
          <w:trHeight w:val="148"/>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94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Accounts payable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2,417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1,660</w:t>
            </w:r>
          </w:p>
        </w:tc>
      </w:tr>
      <w:tr>
        <w:trPr>
          <w:trHeight w:val="144"/>
        </w:trPr>
        <w:tc>
          <w:tcPr>
            <w:tcW w:w="594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Accrued expenses</w:t>
            </w:r>
          </w:p>
        </w:tc>
        <w:tc>
          <w:tcPr>
            <w:tcW w:w="6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5,840</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6,592</w:t>
            </w:r>
          </w:p>
        </w:tc>
      </w:tr>
      <w:tr>
        <w:trPr>
          <w:trHeight w:val="144"/>
        </w:trPr>
        <w:tc>
          <w:tcPr>
            <w:tcW w:w="5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Operating lease liabilities, current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616</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594</w:t>
            </w:r>
          </w:p>
        </w:tc>
      </w:tr>
      <w:tr>
        <w:trPr>
          <w:trHeight w:val="142"/>
        </w:trPr>
        <w:tc>
          <w:tcPr>
            <w:tcW w:w="594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8,873</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8,846</w:t>
            </w:r>
          </w:p>
        </w:tc>
        <w:tc>
          <w:tcPr>
            <w:tcW w:w="80" w:type="dxa"/>
            <w:vAlign w:val="bottom"/>
          </w:tcPr>
          <w:p>
            <w:pPr>
              <w:spacing w:after="0"/>
              <w:rPr>
                <w:sz w:val="12"/>
                <w:szCs w:val="12"/>
                <w:color w:val="auto"/>
              </w:rPr>
            </w:pPr>
          </w:p>
        </w:tc>
      </w:tr>
      <w:tr>
        <w:trPr>
          <w:trHeight w:val="144"/>
        </w:trPr>
        <w:tc>
          <w:tcPr>
            <w:tcW w:w="5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5,245</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5,408</w:t>
            </w:r>
          </w:p>
        </w:tc>
      </w:tr>
      <w:tr>
        <w:trPr>
          <w:trHeight w:val="142"/>
        </w:trPr>
        <w:tc>
          <w:tcPr>
            <w:tcW w:w="594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Total liabilities</w:t>
            </w: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14,118</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14,254</w:t>
            </w:r>
          </w:p>
        </w:tc>
        <w:tc>
          <w:tcPr>
            <w:tcW w:w="80" w:type="dxa"/>
            <w:vAlign w:val="bottom"/>
          </w:tcPr>
          <w:p>
            <w:pPr>
              <w:spacing w:after="0"/>
              <w:rPr>
                <w:sz w:val="12"/>
                <w:szCs w:val="12"/>
                <w:color w:val="auto"/>
              </w:rPr>
            </w:pPr>
          </w:p>
        </w:tc>
      </w:tr>
      <w:tr>
        <w:trPr>
          <w:trHeight w:val="14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Commitments and contingencies (See Note 9)</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94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3"/>
        </w:trPr>
        <w:tc>
          <w:tcPr>
            <w:tcW w:w="5940" w:type="dxa"/>
            <w:vAlign w:val="bottom"/>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Preferred stock; $0.001 par value per share; 5,000,000 shares authorized as of March 31, 2022 and December 31,</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5"/>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2021; no shares issued and outstanding as of March 31, 2022 and December 31, 2021</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594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Common stock, $0.001 par value per share; 115,000,000 shares authorized as of March 31, 2022 and</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5"/>
        </w:trPr>
        <w:tc>
          <w:tcPr>
            <w:tcW w:w="59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December 31, 2021; 17,710,450 shares issued and outstanding as of March 31, 2022 and December 31, 2021</w:t>
            </w:r>
          </w:p>
        </w:tc>
        <w:tc>
          <w:tcPr>
            <w:tcW w:w="6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w:t>
            </w:r>
          </w:p>
        </w:tc>
      </w:tr>
      <w:tr>
        <w:trPr>
          <w:trHeight w:val="14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182,280</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180,645</w:t>
            </w:r>
          </w:p>
        </w:tc>
      </w:tr>
      <w:tr>
        <w:trPr>
          <w:trHeight w:val="144"/>
        </w:trPr>
        <w:tc>
          <w:tcPr>
            <w:tcW w:w="5940" w:type="dxa"/>
            <w:vAlign w:val="bottom"/>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6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w w:val="93"/>
              </w:rPr>
              <w:t>(125,193)</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(116,250)</w:t>
            </w:r>
          </w:p>
        </w:tc>
      </w:tr>
      <w:tr>
        <w:trPr>
          <w:trHeight w:val="14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5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57,105</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64,413</w:t>
            </w:r>
          </w:p>
        </w:tc>
        <w:tc>
          <w:tcPr>
            <w:tcW w:w="80" w:type="dxa"/>
            <w:vAlign w:val="bottom"/>
          </w:tcPr>
          <w:p>
            <w:pPr>
              <w:spacing w:after="0"/>
              <w:rPr>
                <w:sz w:val="12"/>
                <w:szCs w:val="12"/>
                <w:color w:val="auto"/>
              </w:rPr>
            </w:pPr>
          </w:p>
        </w:tc>
      </w:tr>
      <w:tr>
        <w:trPr>
          <w:trHeight w:val="142"/>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71,223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78,667</w:t>
            </w:r>
          </w:p>
        </w:tc>
      </w:tr>
      <w:tr>
        <w:trPr>
          <w:trHeight w:val="27"/>
        </w:trPr>
        <w:tc>
          <w:tcPr>
            <w:tcW w:w="59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ectPr>
          <w:pgSz w:w="11900" w:h="16838" w:orient="portrait"/>
          <w:cols w:equalWidth="0" w:num="1">
            <w:col w:w="9019"/>
          </w:cols>
          <w:pgMar w:left="1440" w:top="224"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462915"/>
                    </a:xfrm>
                    <a:prstGeom prst="rect">
                      <a:avLst/>
                    </a:prstGeom>
                    <a:noFill/>
                  </pic:spPr>
                </pic:pic>
              </a:graphicData>
            </a:graphic>
          </wp:anchor>
        </w:drawing>
        <w:t>Larimar Therapeutics,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Consolidated Statements of Operations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(In thousands, except share and per share data)</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(Unaudited)</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5"/>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7"/>
              </w:rPr>
              <w:t>Three Months Ended March 31,</w:t>
            </w:r>
          </w:p>
        </w:tc>
      </w:tr>
      <w:tr>
        <w:trPr>
          <w:trHeight w:val="88"/>
        </w:trPr>
        <w:tc>
          <w:tcPr>
            <w:tcW w:w="572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14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34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14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CCEEFF"/>
            </w:tcBorders>
          </w:tcPr>
          <w:p>
            <w:pPr>
              <w:spacing w:after="0"/>
              <w:rPr>
                <w:sz w:val="7"/>
                <w:szCs w:val="7"/>
                <w:color w:val="auto"/>
              </w:rPr>
            </w:pPr>
          </w:p>
        </w:tc>
      </w:tr>
      <w:tr>
        <w:trPr>
          <w:trHeight w:val="124"/>
        </w:trPr>
        <w:tc>
          <w:tcPr>
            <w:tcW w:w="57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Operating expenses:</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57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Research and development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5,806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8,974</w:t>
            </w:r>
          </w:p>
        </w:tc>
      </w:tr>
      <w:tr>
        <w:trPr>
          <w:trHeight w:val="144"/>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3,081</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3,132</w:t>
            </w:r>
          </w:p>
        </w:tc>
      </w:tr>
      <w:tr>
        <w:trPr>
          <w:trHeight w:val="142"/>
        </w:trPr>
        <w:tc>
          <w:tcPr>
            <w:tcW w:w="572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Total operating expenses</w:t>
            </w: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8,887</w:t>
            </w:r>
          </w:p>
        </w:tc>
        <w:tc>
          <w:tcPr>
            <w:tcW w:w="3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12,106</w:t>
            </w:r>
          </w:p>
        </w:tc>
        <w:tc>
          <w:tcPr>
            <w:tcW w:w="80" w:type="dxa"/>
            <w:vAlign w:val="bottom"/>
          </w:tcPr>
          <w:p>
            <w:pPr>
              <w:spacing w:after="0"/>
              <w:rPr>
                <w:sz w:val="12"/>
                <w:szCs w:val="12"/>
                <w:color w:val="auto"/>
              </w:rPr>
            </w:pPr>
          </w:p>
        </w:tc>
      </w:tr>
      <w:tr>
        <w:trPr>
          <w:trHeight w:val="14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from operations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(8,887)</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(12,106)</w:t>
            </w:r>
          </w:p>
        </w:tc>
      </w:tr>
      <w:tr>
        <w:trPr>
          <w:trHeight w:val="144"/>
        </w:trPr>
        <w:tc>
          <w:tcPr>
            <w:tcW w:w="57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income, net</w:t>
            </w:r>
          </w:p>
        </w:tc>
        <w:tc>
          <w:tcPr>
            <w:tcW w:w="60" w:type="dxa"/>
            <w:vAlign w:val="bottom"/>
          </w:tcPr>
          <w:p>
            <w:pPr>
              <w:spacing w:after="0"/>
              <w:rPr>
                <w:sz w:val="12"/>
                <w:szCs w:val="12"/>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(56)</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w:t>
            </w:r>
          </w:p>
        </w:tc>
      </w:tr>
      <w:tr>
        <w:trPr>
          <w:trHeight w:val="20"/>
        </w:trPr>
        <w:tc>
          <w:tcPr>
            <w:tcW w:w="57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(8,943)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(12,088)</w:t>
            </w:r>
          </w:p>
        </w:tc>
      </w:tr>
      <w:tr>
        <w:trPr>
          <w:trHeight w:val="164"/>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Net loss per share, basic and diluted</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(0.49)</w:t>
            </w:r>
          </w:p>
        </w:tc>
        <w:tc>
          <w:tcPr>
            <w:tcW w:w="3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(0.76)</w:t>
            </w:r>
          </w:p>
        </w:tc>
        <w:tc>
          <w:tcPr>
            <w:tcW w:w="80" w:type="dxa"/>
            <w:vAlign w:val="bottom"/>
          </w:tcPr>
          <w:p>
            <w:pPr>
              <w:spacing w:after="0"/>
              <w:rPr>
                <w:sz w:val="14"/>
                <w:szCs w:val="14"/>
                <w:color w:val="auto"/>
              </w:rPr>
            </w:pPr>
          </w:p>
        </w:tc>
      </w:tr>
      <w:tr>
        <w:trPr>
          <w:trHeight w:val="14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 basic and diluted</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18,338,853</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15,996,133</w:t>
            </w:r>
          </w:p>
        </w:tc>
      </w:tr>
      <w:tr>
        <w:trPr>
          <w:trHeight w:val="27"/>
        </w:trPr>
        <w:tc>
          <w:tcPr>
            <w:tcW w:w="57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ectPr>
          <w:pgSz w:w="11900" w:h="16838" w:orient="portrait"/>
          <w:cols w:equalWidth="0" w:num="1">
            <w:col w:w="9019"/>
          </w:cols>
          <w:pgMar w:left="1440" w:top="998" w:right="1440" w:bottom="144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2"/>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2022-05-12T06:14:37Z</dcterms:created>
  <dcterms:modified xsi:type="dcterms:W3CDTF">2022-05-12T06:14:37Z</dcterms:modified>
</cp:coreProperties>
</file>