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Allen Patricia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ZAFGEN,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175 PORTLAND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ZAFGEN,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ZFGN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07/25/2016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80" w:type="dxa"/>
            <w:vAlign w:val="bottom"/>
            <w:tcBorders>
              <w:bottom w:val="single" w:sz="8" w:color="9A9A9A"/>
            </w:tcBorders>
          </w:tcPr>
          <w:p>
            <w:pPr>
              <w:spacing w:after="0"/>
              <w:rPr>
                <w:sz w:val="16"/>
                <w:szCs w:val="16"/>
                <w:color w:val="auto"/>
              </w:rPr>
            </w:pPr>
          </w:p>
        </w:tc>
        <w:tc>
          <w:tcPr>
            <w:tcW w:w="1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840" w:type="dxa"/>
            <w:vAlign w:val="bottom"/>
            <w:gridSpan w:val="6"/>
          </w:tcPr>
          <w:p>
            <w:pPr>
              <w:jc w:val="right"/>
              <w:ind w:right="196"/>
              <w:spacing w:after="0"/>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w w:val="92"/>
              </w:rPr>
              <w:t>BOSTON</w:t>
            </w:r>
          </w:p>
        </w:tc>
        <w:tc>
          <w:tcPr>
            <w:tcW w:w="1820" w:type="dxa"/>
            <w:vAlign w:val="bottom"/>
            <w:gridSpan w:val="2"/>
            <w:vMerge w:val="restart"/>
          </w:tcPr>
          <w:p>
            <w:pPr>
              <w:ind w:left="560"/>
              <w:spacing w:after="0"/>
              <w:rPr>
                <w:sz w:val="20"/>
                <w:szCs w:val="20"/>
                <w:color w:val="auto"/>
              </w:rPr>
            </w:pPr>
            <w:r>
              <w:rPr>
                <w:rFonts w:ascii="Arial" w:cs="Arial" w:eastAsia="Arial" w:hAnsi="Arial"/>
                <w:sz w:val="18"/>
                <w:szCs w:val="18"/>
                <w:color w:val="0000FF"/>
              </w:rPr>
              <w:t>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02114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3"/>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07/25/2016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7,800</w:t>
            </w:r>
          </w:p>
        </w:tc>
        <w:tc>
          <w:tcPr>
            <w:tcW w:w="700" w:type="dxa"/>
            <w:vAlign w:val="bottom"/>
            <w:tcBorders>
              <w:bottom w:val="single" w:sz="8" w:color="2C2C2C"/>
            </w:tcBorders>
          </w:tcPr>
          <w:p>
            <w:pPr>
              <w:jc w:val="right"/>
              <w:ind w:right="196"/>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2"/>
              </w:rPr>
              <w:t>$</w:t>
            </w:r>
            <w:r>
              <w:rPr>
                <w:rFonts w:ascii="Arial" w:cs="Arial" w:eastAsia="Arial" w:hAnsi="Arial"/>
                <w:sz w:val="18"/>
                <w:szCs w:val="18"/>
                <w:color w:val="0000FF"/>
                <w:w w:val="82"/>
              </w:rPr>
              <w:t>3.081</w:t>
            </w:r>
            <w:r>
              <w:rPr>
                <w:rFonts w:ascii="Arial" w:cs="Arial" w:eastAsia="Arial" w:hAnsi="Arial"/>
                <w:sz w:val="22"/>
                <w:szCs w:val="22"/>
                <w:color w:val="008000"/>
                <w:w w:val="82"/>
                <w:vertAlign w:val="superscript"/>
              </w:rPr>
              <w:t>(1)</w:t>
            </w:r>
          </w:p>
        </w:tc>
        <w:tc>
          <w:tcPr>
            <w:tcW w:w="124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11,593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07/26/2016</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8,200</w:t>
            </w:r>
          </w:p>
        </w:tc>
        <w:tc>
          <w:tcPr>
            <w:tcW w:w="700" w:type="dxa"/>
            <w:vAlign w:val="bottom"/>
            <w:tcBorders>
              <w:bottom w:val="single" w:sz="8" w:color="2C2C2C"/>
            </w:tcBorders>
          </w:tcPr>
          <w:p>
            <w:pPr>
              <w:jc w:val="right"/>
              <w:ind w:right="196"/>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jc w:val="center"/>
              <w:ind w:right="34"/>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3.15</w:t>
            </w:r>
            <w:r>
              <w:rPr>
                <w:rFonts w:ascii="Arial" w:cs="Arial" w:eastAsia="Arial" w:hAnsi="Arial"/>
                <w:sz w:val="22"/>
                <w:szCs w:val="22"/>
                <w:color w:val="008000"/>
                <w:w w:val="88"/>
                <w:vertAlign w:val="superscript"/>
              </w:rPr>
              <w:t>(3)</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19,793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0"/>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a price ranging from $3.05 to $3.11, inclusive. The reporting person undertakes to provide to Zafgen, Inc., any security holder of Zafgen, Inc., or the staff of the Securities and Exchange Commission,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a price ranging from $3.10 to $3.16, inclusive. The reporting person undertakes to provide to Zafgen, Inc., any security holder of Zafgen, Inc., or the staff of the Securities and Exchange Commission, upon request, full information regarding the number of shares sold at each separate price within the ranges set forth herein.</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2,500 shares acquired under Zafgen, Inc.'s 2014 Employee Stock Purchase Plan (the "Plan") on July 1, 2016; 200 shares acquired under the Plan on January 1, 2016; 585 shares acquired under the Plan on July 1, 2015; and 508 shares acquired under the Plan on January 1, 2015.</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Laurie Burlingame,</w:t>
            </w:r>
          </w:p>
        </w:tc>
        <w:tc>
          <w:tcPr>
            <w:tcW w:w="5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07/26/2016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8587"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2019-12-23T15:47:07Z</dcterms:created>
  <dcterms:modified xsi:type="dcterms:W3CDTF">2019-12-23T15:47:07Z</dcterms:modified>
</cp:coreProperties>
</file>