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13d-101)</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INFORMATION TO BE INCLUDED IN STATEMENTS FILED PURSUANT TO § 24.13d-1(a) AND AMENDMENTS THERETO FILED PURSUANT TO § 240.13d-2(a)</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David Clark</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Deerfield Management Company, 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780 Third Avenue, 37th Floor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New York, New York 10017</w:t>
      </w:r>
    </w:p>
    <w:p>
      <w:pPr>
        <w:spacing w:after="0" w:line="9" w:lineRule="exact"/>
        <w:rPr>
          <w:sz w:val="24"/>
          <w:szCs w:val="24"/>
          <w:color w:val="auto"/>
        </w:rPr>
      </w:pPr>
    </w:p>
    <w:p>
      <w:pPr>
        <w:jc w:val="both"/>
        <w:ind w:left="5060" w:right="5060" w:hanging="5"/>
        <w:spacing w:after="0" w:line="554" w:lineRule="auto"/>
        <w:tabs>
          <w:tab w:leader="none" w:pos="5486" w:val="left"/>
        </w:tabs>
        <w:numPr>
          <w:ilvl w:val="0"/>
          <w:numId w:val="1"/>
        </w:numPr>
        <w:rPr>
          <w:rFonts w:ascii="Arial" w:cs="Arial" w:eastAsia="Arial" w:hAnsi="Arial"/>
          <w:sz w:val="16"/>
          <w:szCs w:val="16"/>
          <w:color w:val="auto"/>
        </w:rPr>
      </w:pPr>
      <w:r>
        <w:rPr>
          <w:rFonts w:ascii="Arial" w:cs="Arial" w:eastAsia="Arial" w:hAnsi="Arial"/>
          <w:sz w:val="16"/>
          <w:szCs w:val="16"/>
          <w:color w:val="auto"/>
        </w:rPr>
        <w:t>551-1600 With a copy to:</w:t>
      </w:r>
    </w:p>
    <w:p>
      <w:pPr>
        <w:ind w:left="4700"/>
        <w:spacing w:after="0"/>
        <w:rPr>
          <w:sz w:val="20"/>
          <w:szCs w:val="20"/>
          <w:color w:val="auto"/>
        </w:rPr>
      </w:pPr>
      <w:r>
        <w:rPr>
          <w:rFonts w:ascii="Arial" w:cs="Arial" w:eastAsia="Arial" w:hAnsi="Arial"/>
          <w:sz w:val="18"/>
          <w:szCs w:val="18"/>
          <w:color w:val="auto"/>
        </w:rPr>
        <w:t>Todd J. Emmerman, Esq.</w:t>
      </w:r>
    </w:p>
    <w:p>
      <w:pPr>
        <w:spacing w:after="0" w:line="23"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Brown Rudnick LLP</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7 Times Square</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New York, NY 10036</w:t>
      </w:r>
    </w:p>
    <w:p>
      <w:pPr>
        <w:spacing w:after="0" w:line="9"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(212) 209-4888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right="20" w:firstLine="635"/>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ind w:firstLine="635"/>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170" w:lineRule="exact"/>
        <w:rPr>
          <w:sz w:val="24"/>
          <w:szCs w:val="24"/>
          <w:color w:val="auto"/>
        </w:rPr>
      </w:pPr>
    </w:p>
    <w:p>
      <w:pPr>
        <w:ind w:right="2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Deerfield Private Design Fund III, L.P.</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WC</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1,714,837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1,714,837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1,714,837</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11.17%</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2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Deerfield Healthcare Innovations Fund, L.P.</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WC</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1,714,850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1,714,850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1,714,850</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11.17%</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2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Deerfield Private Design Fund IV, L.P.</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WC</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1,714,852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1,714,852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1,714,852</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11.17%</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2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Deerfield Mgmt III, L.P.</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AF</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1,714,837 (1)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1,714,837 (1)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1,714,837 (1)</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11.17%</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8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Comprised of shares held by Deerfield Private Design Fund III, L.P. Deerfield Mgmt III, L.P. is the general partner of Deerfield Private Design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Deerfield Mgmt HIF, L.P.</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AF</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1,714,850 (2)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1,714,850 (2)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1,714,850 (2)</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11.17%</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Comprised of shares held by Deerfield Healthcare Innovations Fund, L.P. Deerfield Mgmt HIF, L.P. is the general partner of Deerfield Healthcare Innovations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Deerfield Mgmt IV, L.P.</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AF</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1,714,852 (3)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1,714,852 (3)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1,714,852 (3)</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11.17%</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Comprised of shares held by Deerfield Private Design Fund IV, L.P. Deerfield Mgmt IV, L.P. is the general partner of Deerfield Private Design Fund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Deerfield Management Company, L.P.</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AF</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Delaware</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5,144,539 (4)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5,144,539 (4)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5,144,539 (4)</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33.50%</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8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Comprised of shares held by Deerfield Private Design Fund III, L.P., Deerfield Private Design Fund IV, L.P. and Deerfield Healthcare Innovations Fund, L.P. Deerfield Management Company, L.P. is the investment manager of Deerfield Private Design Fund III, L.P., Deerfield Private Design Fund IV, L.P. and Deerfield Healthcare Innovations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6791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6791325"/>
                    </a:xfrm>
                    <a:prstGeom prst="rect">
                      <a:avLst/>
                    </a:prstGeom>
                    <a:noFill/>
                  </pic:spPr>
                </pic:pic>
              </a:graphicData>
            </a:graphic>
          </wp:anchor>
        </w:drawing>
      </w:r>
    </w:p>
    <w:p>
      <w:pPr>
        <w:spacing w:after="0" w:line="250" w:lineRule="exact"/>
        <w:rPr>
          <w:sz w:val="20"/>
          <w:szCs w:val="20"/>
          <w:color w:val="auto"/>
        </w:rPr>
      </w:pPr>
    </w:p>
    <w:p>
      <w:pPr>
        <w:ind w:left="2280" w:hanging="1190"/>
        <w:spacing w:after="0"/>
        <w:tabs>
          <w:tab w:leader="none" w:pos="22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James E. Flynn</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6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5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84"/>
              </w:rPr>
              <w:t>2</w:t>
            </w:r>
          </w:p>
        </w:tc>
        <w:tc>
          <w:tcPr>
            <w:tcW w:w="81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860" w:type="dxa"/>
            <w:vAlign w:val="bottom"/>
          </w:tcPr>
          <w:p>
            <w:pPr>
              <w:jc w:val="center"/>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26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SOURCE OF FUNDS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AF</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2(E)</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United States of America</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5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SHARES BENEFICIALLY</w:t>
            </w:r>
          </w:p>
        </w:tc>
        <w:tc>
          <w:tcPr>
            <w:tcW w:w="226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vMerge w:val="continue"/>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60" w:type="dxa"/>
            <w:vAlign w:val="bottom"/>
            <w:tcBorders>
              <w:left w:val="single" w:sz="8" w:color="auto"/>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18"/>
                <w:szCs w:val="18"/>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5,144,539 (5)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tcPr>
          <w:p>
            <w:pPr>
              <w:spacing w:after="0"/>
              <w:rPr>
                <w:sz w:val="7"/>
                <w:szCs w:val="7"/>
                <w:color w:val="auto"/>
              </w:rPr>
            </w:pPr>
          </w:p>
        </w:tc>
        <w:tc>
          <w:tcPr>
            <w:tcW w:w="5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60" w:type="dxa"/>
            <w:vAlign w:val="bottom"/>
            <w:tcBorders>
              <w:left w:val="single" w:sz="8" w:color="auto"/>
              <w:right w:val="single" w:sz="8" w:color="auto"/>
            </w:tcBorders>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20"/>
                <w:szCs w:val="20"/>
                <w:color w:val="auto"/>
              </w:rPr>
            </w:pPr>
          </w:p>
        </w:tc>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8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58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5,144,539 (5)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5,144,539 (5)</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 (See</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Instructions)</w:t>
            </w:r>
          </w:p>
        </w:tc>
        <w:tc>
          <w:tcPr>
            <w:tcW w:w="5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33.50%</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IN</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James E. Flynn is the managing member of the general partner of each of Deerfield Mgmt III, L.P., Deerfield Mgmt IV, L.P., Deerfield Mgmt HIF, L.P. and Deerfield Management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CUSIP No. 517125100</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Amendment No. 1 (this “</w:t>
      </w:r>
      <w:r>
        <w:rPr>
          <w:rFonts w:ascii="Arial" w:cs="Arial" w:eastAsia="Arial" w:hAnsi="Arial"/>
          <w:sz w:val="17"/>
          <w:szCs w:val="17"/>
          <w:u w:val="single" w:color="auto"/>
          <w:color w:val="auto"/>
        </w:rPr>
        <w:t>Amendment</w:t>
      </w:r>
      <w:r>
        <w:rPr>
          <w:rFonts w:ascii="Arial" w:cs="Arial" w:eastAsia="Arial" w:hAnsi="Arial"/>
          <w:sz w:val="17"/>
          <w:szCs w:val="17"/>
          <w:color w:val="auto"/>
        </w:rPr>
        <w:t>”) to Schedule 13D amends the Schedule 13D filed on June 8, 2020 by (i) Deerfield Private Design Fund III, L.P., (ii) Deerfield Healthcare Innovations Fund, L.P., (iii) Deerfield Private Design Fund IV, L.P., (iv) Deerfield Mgmt III, L.P., (v) Deerfield Mgmt HIF, L.P., (vi) Deerfield Mgmt IV, L.P., (vii) Deerfield Management Company, L.P. and (viii) James E. Flynn, a natural person (collectively,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with respect to the common stock of Larimar Therapeutics, Inc. Deerfield Private Design Fund III, L.P., Deerfield Healthcare Innovations Fund, L.P. and Deerfield Private Design Fund IV, L.P are collectively referred to herein as the “</w:t>
      </w:r>
      <w:r>
        <w:rPr>
          <w:rFonts w:ascii="Arial" w:cs="Arial" w:eastAsia="Arial" w:hAnsi="Arial"/>
          <w:sz w:val="17"/>
          <w:szCs w:val="17"/>
          <w:u w:val="single" w:color="auto"/>
          <w:color w:val="auto"/>
        </w:rPr>
        <w:t>Funds</w:t>
      </w:r>
      <w:r>
        <w:rPr>
          <w:rFonts w:ascii="Arial" w:cs="Arial" w:eastAsia="Arial" w:hAnsi="Arial"/>
          <w:sz w:val="17"/>
          <w:szCs w:val="17"/>
          <w:color w:val="auto"/>
        </w:rPr>
        <w:t>”.</w:t>
      </w:r>
    </w:p>
    <w:p>
      <w:pPr>
        <w:spacing w:after="0" w:line="17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Source and Amount of Funds or Other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3 is hereby amended and restated as follows: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Prior to the May 28, 2020 merger of the Company’s wholly-owned subsidiary with Chondrial Therapeutics, Inc. (“</w:t>
      </w:r>
      <w:r>
        <w:rPr>
          <w:rFonts w:ascii="Arial" w:cs="Arial" w:eastAsia="Arial" w:hAnsi="Arial"/>
          <w:sz w:val="18"/>
          <w:szCs w:val="18"/>
          <w:u w:val="single" w:color="auto"/>
          <w:color w:val="auto"/>
        </w:rPr>
        <w:t>Chondrial</w:t>
      </w:r>
      <w:r>
        <w:rPr>
          <w:rFonts w:ascii="Arial" w:cs="Arial" w:eastAsia="Arial" w:hAnsi="Arial"/>
          <w:sz w:val="18"/>
          <w:szCs w:val="18"/>
          <w:color w:val="auto"/>
        </w:rPr>
        <w:t>” and such merger, the “</w:t>
      </w:r>
      <w:r>
        <w:rPr>
          <w:rFonts w:ascii="Arial" w:cs="Arial" w:eastAsia="Arial" w:hAnsi="Arial"/>
          <w:sz w:val="18"/>
          <w:szCs w:val="18"/>
          <w:u w:val="single" w:color="auto"/>
          <w:color w:val="auto"/>
        </w:rPr>
        <w:t>Merger</w:t>
      </w:r>
      <w:r>
        <w:rPr>
          <w:rFonts w:ascii="Arial" w:cs="Arial" w:eastAsia="Arial" w:hAnsi="Arial"/>
          <w:sz w:val="18"/>
          <w:szCs w:val="18"/>
          <w:color w:val="auto"/>
        </w:rPr>
        <w:t>”), the Funds had participated in several rounds of equity financings involving Chondrial's parent company, Chondrial Therapeutics Holdings, LLC (“</w:t>
      </w:r>
      <w:r>
        <w:rPr>
          <w:rFonts w:ascii="Arial" w:cs="Arial" w:eastAsia="Arial" w:hAnsi="Arial"/>
          <w:sz w:val="18"/>
          <w:szCs w:val="18"/>
          <w:u w:val="single" w:color="auto"/>
          <w:color w:val="auto"/>
        </w:rPr>
        <w:t>Holdings</w:t>
      </w:r>
      <w:r>
        <w:rPr>
          <w:rFonts w:ascii="Arial" w:cs="Arial" w:eastAsia="Arial" w:hAnsi="Arial"/>
          <w:sz w:val="18"/>
          <w:szCs w:val="18"/>
          <w:color w:val="auto"/>
        </w:rPr>
        <w:t>”). Specifically: Deerfield Private Design Fund III, L.P. acquired 558,265 Series A Preferred Units of Holdings, 635 Bridge Units of Holdings and 481 Series B Bridge Units of Holdings, for an aggregate purchase price of $16,745,300; Deerfield Healthcare Innovations Fund, L.P. acquired 558,266 Series A Preferred Units of Holdings, 635 Bridge Units of Holdings and 481 Series B Bridge Units of Holdings, for an aggregate purchase price of $16,745,320; and Deerfield Private Design Fund IV, L.P. acquired 558,268 Series A Preferred Units of Holdings, 635 Bridge Units of Holdings and 481 Series B Bridge Units of Holdings, for an aggregate purchase price of $16,745,360. In each case, the working capital of the Funds was used to purchase such securities of Holdings.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26, 2020, Holdings distributed to its members all shares of Common Stock received by Holdings in the Merger, with the following number of shares of Common Stock being distributed to the Funds:</w:t>
      </w:r>
    </w:p>
    <w:p>
      <w:pPr>
        <w:spacing w:after="0" w:line="170" w:lineRule="exact"/>
        <w:rPr>
          <w:sz w:val="20"/>
          <w:szCs w:val="20"/>
          <w:color w:val="auto"/>
        </w:rPr>
      </w:pPr>
    </w:p>
    <w:tbl>
      <w:tblPr>
        <w:tblLayout w:type="fixed"/>
        <w:tblInd w:w="160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Deerfield Private Design Fund III, L.P.</w:t>
            </w:r>
          </w:p>
        </w:tc>
        <w:tc>
          <w:tcPr>
            <w:tcW w:w="1540" w:type="dxa"/>
            <w:vAlign w:val="bottom"/>
          </w:tcPr>
          <w:p>
            <w:pPr>
              <w:jc w:val="right"/>
              <w:spacing w:after="0"/>
              <w:rPr>
                <w:sz w:val="20"/>
                <w:szCs w:val="20"/>
                <w:color w:val="auto"/>
              </w:rPr>
            </w:pPr>
            <w:r>
              <w:rPr>
                <w:rFonts w:ascii="Arial" w:cs="Arial" w:eastAsia="Arial" w:hAnsi="Arial"/>
                <w:sz w:val="18"/>
                <w:szCs w:val="18"/>
                <w:color w:val="auto"/>
              </w:rPr>
              <w:t>1,714,837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Deerfield Healthcare Innovations Fund, L.P.</w:t>
            </w:r>
          </w:p>
        </w:tc>
        <w:tc>
          <w:tcPr>
            <w:tcW w:w="1540" w:type="dxa"/>
            <w:vAlign w:val="bottom"/>
          </w:tcPr>
          <w:p>
            <w:pPr>
              <w:jc w:val="right"/>
              <w:spacing w:after="0"/>
              <w:rPr>
                <w:sz w:val="20"/>
                <w:szCs w:val="20"/>
                <w:color w:val="auto"/>
              </w:rPr>
            </w:pPr>
            <w:r>
              <w:rPr>
                <w:rFonts w:ascii="Arial" w:cs="Arial" w:eastAsia="Arial" w:hAnsi="Arial"/>
                <w:sz w:val="18"/>
                <w:szCs w:val="18"/>
                <w:color w:val="auto"/>
              </w:rPr>
              <w:t>1,714,850</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Deerfield Private Design Fund IV, L.P.</w:t>
            </w:r>
          </w:p>
        </w:tc>
        <w:tc>
          <w:tcPr>
            <w:tcW w:w="1540" w:type="dxa"/>
            <w:vAlign w:val="bottom"/>
          </w:tcPr>
          <w:p>
            <w:pPr>
              <w:jc w:val="right"/>
              <w:spacing w:after="0"/>
              <w:rPr>
                <w:sz w:val="20"/>
                <w:szCs w:val="20"/>
                <w:color w:val="auto"/>
              </w:rPr>
            </w:pPr>
            <w:r>
              <w:rPr>
                <w:rFonts w:ascii="Arial" w:cs="Arial" w:eastAsia="Arial" w:hAnsi="Arial"/>
                <w:sz w:val="18"/>
                <w:szCs w:val="18"/>
                <w:color w:val="auto"/>
              </w:rPr>
              <w:t>1,714,852</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shares of Common Stock beneficially owned by the Reporting Persons may be held from time to time by the applicable Fund in margin accounts established with their respective brokers or banks. Common Stock positions held in margin accounts may be pledged as collateral security for the repayment of debit balances in the margin accounts to the extent that the purchase price of any future purchases of Common Stock are obtained through margin borrowing.</w:t>
      </w:r>
    </w:p>
    <w:p>
      <w:pPr>
        <w:spacing w:after="0" w:line="18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Interest in Securities of the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5 is hereby amended and restated as follows: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the purpose of calculating the percent of class, the Company’s issued and outstanding shares of Common Stock was 15,356,206 shares of Common Stock, as of June 26,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2240" w:hanging="1112"/>
        <w:spacing w:after="0"/>
        <w:tabs>
          <w:tab w:leader="none" w:pos="2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Deerfield Private Design Fund III, L.P.</w:t>
      </w:r>
    </w:p>
    <w:p>
      <w:pPr>
        <w:spacing w:after="0" w:line="225"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Number of shares:</w:t>
            </w:r>
          </w:p>
        </w:tc>
        <w:tc>
          <w:tcPr>
            <w:tcW w:w="1060" w:type="dxa"/>
            <w:vAlign w:val="bottom"/>
          </w:tcPr>
          <w:p>
            <w:pPr>
              <w:ind w:left="360"/>
              <w:spacing w:after="0"/>
              <w:rPr>
                <w:sz w:val="20"/>
                <w:szCs w:val="20"/>
                <w:color w:val="auto"/>
              </w:rPr>
            </w:pPr>
            <w:r>
              <w:rPr>
                <w:rFonts w:ascii="Arial" w:cs="Arial" w:eastAsia="Arial" w:hAnsi="Arial"/>
                <w:sz w:val="18"/>
                <w:szCs w:val="18"/>
                <w:color w:val="auto"/>
                <w:w w:val="84"/>
              </w:rPr>
              <w:t>1,714,837</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Percentage of shares:</w:t>
            </w:r>
          </w:p>
        </w:tc>
        <w:tc>
          <w:tcPr>
            <w:tcW w:w="1060" w:type="dxa"/>
            <w:vAlign w:val="bottom"/>
          </w:tcPr>
          <w:p>
            <w:pPr>
              <w:ind w:left="360"/>
              <w:spacing w:after="0"/>
              <w:rPr>
                <w:sz w:val="20"/>
                <w:szCs w:val="20"/>
                <w:color w:val="auto"/>
              </w:rPr>
            </w:pPr>
            <w:r>
              <w:rPr>
                <w:rFonts w:ascii="Arial" w:cs="Arial" w:eastAsia="Arial" w:hAnsi="Arial"/>
                <w:sz w:val="18"/>
                <w:szCs w:val="18"/>
                <w:color w:val="auto"/>
              </w:rPr>
              <w:t>11.17%</w:t>
            </w:r>
          </w:p>
        </w:tc>
      </w:tr>
    </w:tbl>
    <w:p>
      <w:pPr>
        <w:spacing w:after="0" w:line="202" w:lineRule="exact"/>
        <w:rPr>
          <w:sz w:val="20"/>
          <w:szCs w:val="20"/>
          <w:color w:val="auto"/>
        </w:rPr>
      </w:pPr>
    </w:p>
    <w:p>
      <w:pPr>
        <w:ind w:left="2240" w:hanging="1112"/>
        <w:spacing w:after="0"/>
        <w:tabs>
          <w:tab w:leader="none" w:pos="2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Deerfield Healthcare Innovations Fund, L.P.</w:t>
      </w:r>
    </w:p>
    <w:p>
      <w:pPr>
        <w:spacing w:after="0" w:line="225"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Number of shares:</w:t>
            </w:r>
          </w:p>
        </w:tc>
        <w:tc>
          <w:tcPr>
            <w:tcW w:w="1060" w:type="dxa"/>
            <w:vAlign w:val="bottom"/>
          </w:tcPr>
          <w:p>
            <w:pPr>
              <w:ind w:left="360"/>
              <w:spacing w:after="0"/>
              <w:rPr>
                <w:sz w:val="20"/>
                <w:szCs w:val="20"/>
                <w:color w:val="auto"/>
              </w:rPr>
            </w:pPr>
            <w:r>
              <w:rPr>
                <w:rFonts w:ascii="Arial" w:cs="Arial" w:eastAsia="Arial" w:hAnsi="Arial"/>
                <w:sz w:val="18"/>
                <w:szCs w:val="18"/>
                <w:color w:val="auto"/>
                <w:w w:val="84"/>
              </w:rPr>
              <w:t>1,714,850</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Percentage of shares:</w:t>
            </w:r>
          </w:p>
        </w:tc>
        <w:tc>
          <w:tcPr>
            <w:tcW w:w="1060" w:type="dxa"/>
            <w:vAlign w:val="bottom"/>
          </w:tcPr>
          <w:p>
            <w:pPr>
              <w:ind w:left="360"/>
              <w:spacing w:after="0"/>
              <w:rPr>
                <w:sz w:val="20"/>
                <w:szCs w:val="20"/>
                <w:color w:val="auto"/>
              </w:rPr>
            </w:pPr>
            <w:r>
              <w:rPr>
                <w:rFonts w:ascii="Arial" w:cs="Arial" w:eastAsia="Arial" w:hAnsi="Arial"/>
                <w:sz w:val="18"/>
                <w:szCs w:val="18"/>
                <w:color w:val="auto"/>
              </w:rPr>
              <w:t>11.17%</w:t>
            </w:r>
          </w:p>
        </w:tc>
      </w:tr>
    </w:tbl>
    <w:p>
      <w:pPr>
        <w:spacing w:after="0" w:line="202" w:lineRule="exact"/>
        <w:rPr>
          <w:sz w:val="20"/>
          <w:szCs w:val="20"/>
          <w:color w:val="auto"/>
        </w:rPr>
      </w:pPr>
    </w:p>
    <w:p>
      <w:pPr>
        <w:ind w:left="2240" w:hanging="1112"/>
        <w:spacing w:after="0"/>
        <w:tabs>
          <w:tab w:leader="none" w:pos="2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Deerfield Private Design Fund IV,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ind w:left="2240"/>
              <w:spacing w:after="0"/>
              <w:rPr>
                <w:sz w:val="20"/>
                <w:szCs w:val="20"/>
                <w:color w:val="auto"/>
              </w:rPr>
            </w:pPr>
            <w:r>
              <w:rPr>
                <w:rFonts w:ascii="Arial" w:cs="Arial" w:eastAsia="Arial" w:hAnsi="Arial"/>
                <w:sz w:val="18"/>
                <w:szCs w:val="18"/>
                <w:color w:val="auto"/>
              </w:rPr>
              <w:t>Number of shares:</w:t>
            </w:r>
          </w:p>
        </w:tc>
        <w:tc>
          <w:tcPr>
            <w:tcW w:w="7100" w:type="dxa"/>
            <w:vAlign w:val="bottom"/>
          </w:tcPr>
          <w:p>
            <w:pPr>
              <w:ind w:left="360"/>
              <w:spacing w:after="0"/>
              <w:rPr>
                <w:sz w:val="20"/>
                <w:szCs w:val="20"/>
                <w:color w:val="auto"/>
              </w:rPr>
            </w:pPr>
            <w:r>
              <w:rPr>
                <w:rFonts w:ascii="Arial" w:cs="Arial" w:eastAsia="Arial" w:hAnsi="Arial"/>
                <w:sz w:val="18"/>
                <w:szCs w:val="18"/>
                <w:color w:val="auto"/>
              </w:rPr>
              <w:t>1,714,852</w:t>
            </w:r>
          </w:p>
        </w:tc>
      </w:tr>
      <w:tr>
        <w:trPr>
          <w:trHeight w:val="230"/>
        </w:trPr>
        <w:tc>
          <w:tcPr>
            <w:tcW w:w="4140" w:type="dxa"/>
            <w:vAlign w:val="bottom"/>
          </w:tcPr>
          <w:p>
            <w:pPr>
              <w:ind w:left="2240"/>
              <w:spacing w:after="0"/>
              <w:rPr>
                <w:sz w:val="20"/>
                <w:szCs w:val="20"/>
                <w:color w:val="auto"/>
              </w:rPr>
            </w:pPr>
            <w:r>
              <w:rPr>
                <w:rFonts w:ascii="Arial" w:cs="Arial" w:eastAsia="Arial" w:hAnsi="Arial"/>
                <w:sz w:val="18"/>
                <w:szCs w:val="18"/>
                <w:color w:val="auto"/>
              </w:rPr>
              <w:t>Percentage of shares:</w:t>
            </w:r>
          </w:p>
        </w:tc>
        <w:tc>
          <w:tcPr>
            <w:tcW w:w="7100" w:type="dxa"/>
            <w:vAlign w:val="bottom"/>
          </w:tcPr>
          <w:p>
            <w:pPr>
              <w:ind w:left="360"/>
              <w:spacing w:after="0"/>
              <w:rPr>
                <w:sz w:val="20"/>
                <w:szCs w:val="20"/>
                <w:color w:val="auto"/>
              </w:rPr>
            </w:pPr>
            <w:r>
              <w:rPr>
                <w:rFonts w:ascii="Arial" w:cs="Arial" w:eastAsia="Arial" w:hAnsi="Arial"/>
                <w:sz w:val="18"/>
                <w:szCs w:val="18"/>
                <w:color w:val="auto"/>
              </w:rPr>
              <w:t>11.17%</w:t>
            </w:r>
          </w:p>
        </w:tc>
      </w:tr>
      <w:tr>
        <w:trPr>
          <w:trHeight w:val="358"/>
        </w:trPr>
        <w:tc>
          <w:tcPr>
            <w:tcW w:w="414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 w:name="page11"/>
    <w:bookmarkEnd w:id="10"/>
    <w:p>
      <w:pPr>
        <w:ind w:left="2240" w:hanging="1112"/>
        <w:spacing w:after="0"/>
        <w:tabs>
          <w:tab w:leader="none" w:pos="2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Deerfield Mgmt III, L.P.</w:t>
      </w:r>
    </w:p>
    <w:p>
      <w:pPr>
        <w:sectPr>
          <w:pgSz w:w="11900" w:h="16838" w:orient="portrait"/>
          <w:cols w:equalWidth="0" w:num="1">
            <w:col w:w="10940"/>
          </w:cols>
          <w:pgMar w:left="320" w:top="368" w:right="639" w:bottom="1440" w:gutter="0" w:footer="0" w:header="0"/>
        </w:sectPr>
      </w:pPr>
    </w:p>
    <w:p>
      <w:pPr>
        <w:spacing w:after="0" w:line="23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Number of shares:</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Percentage of shares: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1,714,837 (comprised of shares held by Deerfield Private Design Fund III,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11.17%</w:t>
      </w:r>
    </w:p>
    <w:p>
      <w:pPr>
        <w:spacing w:after="0" w:line="200" w:lineRule="exact"/>
        <w:rPr>
          <w:sz w:val="20"/>
          <w:szCs w:val="20"/>
          <w:color w:val="auto"/>
        </w:rPr>
      </w:pPr>
    </w:p>
    <w:p>
      <w:pPr>
        <w:sectPr>
          <w:pgSz w:w="11900" w:h="16838" w:orient="portrait"/>
          <w:cols w:equalWidth="0" w:num="2">
            <w:col w:w="3780" w:space="720"/>
            <w:col w:w="6440"/>
          </w:cols>
          <w:pgMar w:left="320" w:top="368" w:right="639" w:bottom="1440" w:gutter="0" w:footer="0" w:header="0"/>
          <w:type w:val="continuous"/>
        </w:sectPr>
      </w:pPr>
    </w:p>
    <w:p>
      <w:pPr>
        <w:spacing w:after="0" w:line="11" w:lineRule="exact"/>
        <w:rPr>
          <w:sz w:val="20"/>
          <w:szCs w:val="20"/>
          <w:color w:val="auto"/>
        </w:rPr>
      </w:pPr>
    </w:p>
    <w:p>
      <w:pPr>
        <w:ind w:left="2240" w:hanging="1112"/>
        <w:spacing w:after="0"/>
        <w:tabs>
          <w:tab w:leader="none" w:pos="2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Deerfield Mgmt HIF, L.P.</w:t>
      </w:r>
    </w:p>
    <w:p>
      <w:pPr>
        <w:sectPr>
          <w:pgSz w:w="11900" w:h="16838" w:orient="portrait"/>
          <w:cols w:equalWidth="0" w:num="1">
            <w:col w:w="10940"/>
          </w:cols>
          <w:pgMar w:left="320" w:top="368" w:right="639" w:bottom="1440" w:gutter="0" w:footer="0" w:header="0"/>
          <w:type w:val="continuous"/>
        </w:sectPr>
      </w:pPr>
    </w:p>
    <w:p>
      <w:pPr>
        <w:spacing w:after="0" w:line="248"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Number of shares:</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Percentage of shares: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1,714,850 (comprised of shares held by Deerfield Healthcare Innovations Fund,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11.17%</w:t>
      </w:r>
    </w:p>
    <w:p>
      <w:pPr>
        <w:spacing w:after="0" w:line="200" w:lineRule="exact"/>
        <w:rPr>
          <w:sz w:val="20"/>
          <w:szCs w:val="20"/>
          <w:color w:val="auto"/>
        </w:rPr>
      </w:pPr>
    </w:p>
    <w:p>
      <w:pPr>
        <w:sectPr>
          <w:pgSz w:w="11900" w:h="16838" w:orient="portrait"/>
          <w:cols w:equalWidth="0" w:num="2">
            <w:col w:w="3780" w:space="720"/>
            <w:col w:w="6440"/>
          </w:cols>
          <w:pgMar w:left="320" w:top="368" w:right="639" w:bottom="1440" w:gutter="0" w:footer="0" w:header="0"/>
          <w:type w:val="continuous"/>
        </w:sectPr>
      </w:pPr>
    </w:p>
    <w:p>
      <w:pPr>
        <w:spacing w:after="0" w:line="11" w:lineRule="exact"/>
        <w:rPr>
          <w:sz w:val="20"/>
          <w:szCs w:val="20"/>
          <w:color w:val="auto"/>
        </w:rPr>
      </w:pPr>
    </w:p>
    <w:p>
      <w:pPr>
        <w:ind w:left="2240" w:hanging="1112"/>
        <w:spacing w:after="0"/>
        <w:tabs>
          <w:tab w:leader="none" w:pos="2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Deerfield Mgmt IV, L.P.</w:t>
      </w:r>
    </w:p>
    <w:p>
      <w:pPr>
        <w:sectPr>
          <w:pgSz w:w="11900" w:h="16838" w:orient="portrait"/>
          <w:cols w:equalWidth="0" w:num="1">
            <w:col w:w="10940"/>
          </w:cols>
          <w:pgMar w:left="320" w:top="368" w:right="639" w:bottom="1440" w:gutter="0" w:footer="0" w:header="0"/>
          <w:type w:val="continuous"/>
        </w:sectPr>
      </w:pPr>
    </w:p>
    <w:p>
      <w:pPr>
        <w:spacing w:after="0" w:line="23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Number of shares:</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Percentage of shares: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1,714,852 (comprised of shares held by Deerfield Private Design Fund IV,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11.17%</w:t>
      </w:r>
    </w:p>
    <w:p>
      <w:pPr>
        <w:spacing w:after="0" w:line="200" w:lineRule="exact"/>
        <w:rPr>
          <w:sz w:val="20"/>
          <w:szCs w:val="20"/>
          <w:color w:val="auto"/>
        </w:rPr>
      </w:pPr>
    </w:p>
    <w:p>
      <w:pPr>
        <w:sectPr>
          <w:pgSz w:w="11900" w:h="16838" w:orient="portrait"/>
          <w:cols w:equalWidth="0" w:num="2">
            <w:col w:w="3780" w:space="720"/>
            <w:col w:w="6440"/>
          </w:cols>
          <w:pgMar w:left="320" w:top="368" w:right="639" w:bottom="1440" w:gutter="0" w:footer="0" w:header="0"/>
          <w:type w:val="continuous"/>
        </w:sectPr>
      </w:pPr>
    </w:p>
    <w:p>
      <w:pPr>
        <w:spacing w:after="0" w:line="11" w:lineRule="exact"/>
        <w:rPr>
          <w:sz w:val="20"/>
          <w:szCs w:val="20"/>
          <w:color w:val="auto"/>
        </w:rPr>
      </w:pPr>
    </w:p>
    <w:p>
      <w:pPr>
        <w:ind w:left="2240" w:hanging="1112"/>
        <w:spacing w:after="0"/>
        <w:tabs>
          <w:tab w:leader="none" w:pos="2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Deerfield Management Company, L.P.</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2340" w:type="dxa"/>
            <w:vAlign w:val="bottom"/>
          </w:tcPr>
          <w:p>
            <w:pPr>
              <w:ind w:left="440"/>
              <w:spacing w:after="0"/>
              <w:rPr>
                <w:sz w:val="20"/>
                <w:szCs w:val="20"/>
                <w:color w:val="auto"/>
              </w:rPr>
            </w:pPr>
            <w:r>
              <w:rPr>
                <w:rFonts w:ascii="Arial" w:cs="Arial" w:eastAsia="Arial" w:hAnsi="Arial"/>
                <w:sz w:val="18"/>
                <w:szCs w:val="18"/>
                <w:color w:val="auto"/>
              </w:rPr>
              <w:t>Number of shares:</w:t>
            </w:r>
          </w:p>
        </w:tc>
        <w:tc>
          <w:tcPr>
            <w:tcW w:w="6800" w:type="dxa"/>
            <w:vAlign w:val="bottom"/>
          </w:tcPr>
          <w:p>
            <w:pPr>
              <w:ind w:left="360"/>
              <w:spacing w:after="0"/>
              <w:rPr>
                <w:sz w:val="20"/>
                <w:szCs w:val="20"/>
                <w:color w:val="auto"/>
              </w:rPr>
            </w:pPr>
            <w:r>
              <w:rPr>
                <w:rFonts w:ascii="Arial" w:cs="Arial" w:eastAsia="Arial" w:hAnsi="Arial"/>
                <w:sz w:val="18"/>
                <w:szCs w:val="18"/>
                <w:color w:val="auto"/>
                <w:w w:val="91"/>
              </w:rPr>
              <w:t>5,144,539 (comprised of shares held by Deerfield Private Design Fund III, L.P., Deerfield</w:t>
            </w:r>
          </w:p>
        </w:tc>
      </w:tr>
      <w:tr>
        <w:trPr>
          <w:trHeight w:val="216"/>
        </w:trPr>
        <w:tc>
          <w:tcPr>
            <w:tcW w:w="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Private Design Fund IV, L.P. and Deerfield Healthcare Innovations Fund, L.P.)</w:t>
            </w:r>
          </w:p>
        </w:tc>
      </w:tr>
      <w:tr>
        <w:trPr>
          <w:trHeight w:val="230"/>
        </w:trPr>
        <w:tc>
          <w:tcPr>
            <w:tcW w:w="680" w:type="dxa"/>
            <w:vAlign w:val="bottom"/>
          </w:tcPr>
          <w:p>
            <w:pPr>
              <w:spacing w:after="0"/>
              <w:rPr>
                <w:sz w:val="20"/>
                <w:szCs w:val="20"/>
                <w:color w:val="auto"/>
              </w:rPr>
            </w:pPr>
          </w:p>
        </w:tc>
        <w:tc>
          <w:tcPr>
            <w:tcW w:w="2340" w:type="dxa"/>
            <w:vAlign w:val="bottom"/>
          </w:tcPr>
          <w:p>
            <w:pPr>
              <w:ind w:left="440"/>
              <w:spacing w:after="0"/>
              <w:rPr>
                <w:sz w:val="20"/>
                <w:szCs w:val="20"/>
                <w:color w:val="auto"/>
              </w:rPr>
            </w:pPr>
            <w:r>
              <w:rPr>
                <w:rFonts w:ascii="Arial" w:cs="Arial" w:eastAsia="Arial" w:hAnsi="Arial"/>
                <w:sz w:val="18"/>
                <w:szCs w:val="18"/>
                <w:color w:val="auto"/>
              </w:rPr>
              <w:t>Percentage of shares:</w:t>
            </w:r>
          </w:p>
        </w:tc>
        <w:tc>
          <w:tcPr>
            <w:tcW w:w="6800" w:type="dxa"/>
            <w:vAlign w:val="bottom"/>
          </w:tcPr>
          <w:p>
            <w:pPr>
              <w:ind w:left="360"/>
              <w:spacing w:after="0"/>
              <w:rPr>
                <w:sz w:val="20"/>
                <w:szCs w:val="20"/>
                <w:color w:val="auto"/>
              </w:rPr>
            </w:pPr>
            <w:r>
              <w:rPr>
                <w:rFonts w:ascii="Arial" w:cs="Arial" w:eastAsia="Arial" w:hAnsi="Arial"/>
                <w:sz w:val="18"/>
                <w:szCs w:val="18"/>
                <w:color w:val="auto"/>
              </w:rPr>
              <w:t>33.50%</w:t>
            </w:r>
          </w:p>
        </w:tc>
      </w:tr>
      <w:tr>
        <w:trPr>
          <w:trHeight w:val="432"/>
        </w:trPr>
        <w:tc>
          <w:tcPr>
            <w:tcW w:w="680" w:type="dxa"/>
            <w:vAlign w:val="bottom"/>
          </w:tcPr>
          <w:p>
            <w:pPr>
              <w:jc w:val="right"/>
              <w:ind w:right="370"/>
              <w:spacing w:after="0"/>
              <w:rPr>
                <w:sz w:val="20"/>
                <w:szCs w:val="20"/>
                <w:color w:val="auto"/>
              </w:rPr>
            </w:pPr>
            <w:r>
              <w:rPr>
                <w:rFonts w:ascii="Arial" w:cs="Arial" w:eastAsia="Arial" w:hAnsi="Arial"/>
                <w:sz w:val="18"/>
                <w:szCs w:val="18"/>
                <w:color w:val="auto"/>
                <w:w w:val="90"/>
              </w:rPr>
              <w:t>(8)</w:t>
            </w:r>
          </w:p>
        </w:tc>
        <w:tc>
          <w:tcPr>
            <w:tcW w:w="2340" w:type="dxa"/>
            <w:vAlign w:val="bottom"/>
          </w:tcPr>
          <w:p>
            <w:pPr>
              <w:ind w:left="440"/>
              <w:spacing w:after="0"/>
              <w:rPr>
                <w:sz w:val="20"/>
                <w:szCs w:val="20"/>
                <w:color w:val="auto"/>
              </w:rPr>
            </w:pPr>
            <w:r>
              <w:rPr>
                <w:rFonts w:ascii="Arial" w:cs="Arial" w:eastAsia="Arial" w:hAnsi="Arial"/>
                <w:sz w:val="18"/>
                <w:szCs w:val="18"/>
                <w:color w:val="auto"/>
              </w:rPr>
              <w:t>James E. Flynn</w:t>
            </w:r>
          </w:p>
        </w:tc>
        <w:tc>
          <w:tcPr>
            <w:tcW w:w="6800" w:type="dxa"/>
            <w:vAlign w:val="bottom"/>
          </w:tcPr>
          <w:p>
            <w:pPr>
              <w:spacing w:after="0"/>
              <w:rPr>
                <w:sz w:val="24"/>
                <w:szCs w:val="24"/>
                <w:color w:val="auto"/>
              </w:rPr>
            </w:pPr>
          </w:p>
        </w:tc>
      </w:tr>
      <w:tr>
        <w:trPr>
          <w:trHeight w:val="418"/>
        </w:trPr>
        <w:tc>
          <w:tcPr>
            <w:tcW w:w="680" w:type="dxa"/>
            <w:vAlign w:val="bottom"/>
          </w:tcPr>
          <w:p>
            <w:pPr>
              <w:spacing w:after="0"/>
              <w:rPr>
                <w:sz w:val="24"/>
                <w:szCs w:val="24"/>
                <w:color w:val="auto"/>
              </w:rPr>
            </w:pPr>
          </w:p>
        </w:tc>
        <w:tc>
          <w:tcPr>
            <w:tcW w:w="2340" w:type="dxa"/>
            <w:vAlign w:val="bottom"/>
          </w:tcPr>
          <w:p>
            <w:pPr>
              <w:ind w:left="440"/>
              <w:spacing w:after="0"/>
              <w:rPr>
                <w:sz w:val="20"/>
                <w:szCs w:val="20"/>
                <w:color w:val="auto"/>
              </w:rPr>
            </w:pPr>
            <w:r>
              <w:rPr>
                <w:rFonts w:ascii="Arial" w:cs="Arial" w:eastAsia="Arial" w:hAnsi="Arial"/>
                <w:sz w:val="18"/>
                <w:szCs w:val="18"/>
                <w:color w:val="auto"/>
              </w:rPr>
              <w:t>Number of shares:</w:t>
            </w:r>
          </w:p>
        </w:tc>
        <w:tc>
          <w:tcPr>
            <w:tcW w:w="6800" w:type="dxa"/>
            <w:vAlign w:val="bottom"/>
          </w:tcPr>
          <w:p>
            <w:pPr>
              <w:ind w:left="360"/>
              <w:spacing w:after="0"/>
              <w:rPr>
                <w:sz w:val="20"/>
                <w:szCs w:val="20"/>
                <w:color w:val="auto"/>
              </w:rPr>
            </w:pPr>
            <w:r>
              <w:rPr>
                <w:rFonts w:ascii="Arial" w:cs="Arial" w:eastAsia="Arial" w:hAnsi="Arial"/>
                <w:sz w:val="18"/>
                <w:szCs w:val="18"/>
                <w:color w:val="auto"/>
                <w:w w:val="91"/>
              </w:rPr>
              <w:t>5,144,539 (comprised of shares held by Deerfield Private Design Fund III, L.P., Deerfield</w:t>
            </w:r>
          </w:p>
        </w:tc>
      </w:tr>
      <w:tr>
        <w:trPr>
          <w:trHeight w:val="216"/>
        </w:trPr>
        <w:tc>
          <w:tcPr>
            <w:tcW w:w="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Private Design Fund IV, L.P. and Deerfield Healthcare Innovations Fund, L.P.)</w:t>
            </w:r>
          </w:p>
        </w:tc>
      </w:tr>
      <w:tr>
        <w:trPr>
          <w:trHeight w:val="230"/>
        </w:trPr>
        <w:tc>
          <w:tcPr>
            <w:tcW w:w="680" w:type="dxa"/>
            <w:vAlign w:val="bottom"/>
          </w:tcPr>
          <w:p>
            <w:pPr>
              <w:spacing w:after="0"/>
              <w:rPr>
                <w:sz w:val="20"/>
                <w:szCs w:val="20"/>
                <w:color w:val="auto"/>
              </w:rPr>
            </w:pPr>
          </w:p>
        </w:tc>
        <w:tc>
          <w:tcPr>
            <w:tcW w:w="2340" w:type="dxa"/>
            <w:vAlign w:val="bottom"/>
          </w:tcPr>
          <w:p>
            <w:pPr>
              <w:ind w:left="440"/>
              <w:spacing w:after="0"/>
              <w:rPr>
                <w:sz w:val="20"/>
                <w:szCs w:val="20"/>
                <w:color w:val="auto"/>
              </w:rPr>
            </w:pPr>
            <w:r>
              <w:rPr>
                <w:rFonts w:ascii="Arial" w:cs="Arial" w:eastAsia="Arial" w:hAnsi="Arial"/>
                <w:sz w:val="18"/>
                <w:szCs w:val="18"/>
                <w:color w:val="auto"/>
              </w:rPr>
              <w:t>Percentage of shares:</w:t>
            </w:r>
          </w:p>
        </w:tc>
        <w:tc>
          <w:tcPr>
            <w:tcW w:w="6800" w:type="dxa"/>
            <w:vAlign w:val="bottom"/>
          </w:tcPr>
          <w:p>
            <w:pPr>
              <w:ind w:left="360"/>
              <w:spacing w:after="0"/>
              <w:rPr>
                <w:sz w:val="20"/>
                <w:szCs w:val="20"/>
                <w:color w:val="auto"/>
              </w:rPr>
            </w:pPr>
            <w:r>
              <w:rPr>
                <w:rFonts w:ascii="Arial" w:cs="Arial" w:eastAsia="Arial" w:hAnsi="Arial"/>
                <w:sz w:val="18"/>
                <w:szCs w:val="18"/>
                <w:color w:val="auto"/>
              </w:rPr>
              <w:t>33.50%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2240" w:hanging="1112"/>
        <w:spacing w:after="0"/>
        <w:tabs>
          <w:tab w:leader="none" w:pos="2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Deerfield Private Design Fund III, L.P.</w:t>
      </w:r>
    </w:p>
    <w:p>
      <w:pPr>
        <w:spacing w:after="0" w:line="225"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1,714,837</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1,714,837</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2240" w:hanging="1112"/>
        <w:spacing w:after="0"/>
        <w:tabs>
          <w:tab w:leader="none" w:pos="2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Deerfield Healthcare Innovations Fund, L.P.</w:t>
      </w:r>
    </w:p>
    <w:p>
      <w:pPr>
        <w:spacing w:after="0" w:line="225"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1,714,850</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1,714,850</w:t>
      </w:r>
    </w:p>
    <w:p>
      <w:pPr>
        <w:spacing w:after="0" w:line="210" w:lineRule="exact"/>
        <w:rPr>
          <w:rFonts w:ascii="Arial" w:cs="Arial" w:eastAsia="Arial" w:hAnsi="Arial"/>
          <w:sz w:val="18"/>
          <w:szCs w:val="18"/>
          <w:color w:val="auto"/>
        </w:rPr>
      </w:pPr>
    </w:p>
    <w:p>
      <w:pPr>
        <w:ind w:left="2240" w:hanging="1112"/>
        <w:spacing w:after="0"/>
        <w:tabs>
          <w:tab w:leader="none" w:pos="2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Deerfield Private Design Fund IV, L.P.</w:t>
      </w:r>
    </w:p>
    <w:p>
      <w:pPr>
        <w:spacing w:after="0" w:line="225"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1,714,852</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1,714,852</w:t>
      </w:r>
    </w:p>
    <w:p>
      <w:pPr>
        <w:spacing w:after="0" w:line="210" w:lineRule="exact"/>
        <w:rPr>
          <w:rFonts w:ascii="Arial" w:cs="Arial" w:eastAsia="Arial" w:hAnsi="Arial"/>
          <w:sz w:val="18"/>
          <w:szCs w:val="18"/>
          <w:color w:val="auto"/>
        </w:rPr>
      </w:pPr>
    </w:p>
    <w:p>
      <w:pPr>
        <w:ind w:left="2240" w:hanging="1112"/>
        <w:spacing w:after="0"/>
        <w:tabs>
          <w:tab w:leader="none" w:pos="2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Deerfield Mgmt III, L.P.</w:t>
      </w:r>
    </w:p>
    <w:p>
      <w:pPr>
        <w:spacing w:after="0" w:line="225"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1,714,837</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1,714,837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68" w:right="639" w:bottom="1440" w:gutter="0" w:footer="0" w:header="0"/>
          <w:type w:val="continuous"/>
        </w:sectPr>
      </w:pPr>
    </w:p>
    <w:bookmarkStart w:id="11" w:name="page12"/>
    <w:bookmarkEnd w:id="11"/>
    <w:p>
      <w:pPr>
        <w:ind w:left="2240" w:hanging="1112"/>
        <w:spacing w:after="0"/>
        <w:tabs>
          <w:tab w:leader="none" w:pos="2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Deerfield Mgmt HIF, L.P.</w:t>
      </w:r>
    </w:p>
    <w:p>
      <w:pPr>
        <w:spacing w:after="0" w:line="225"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1,714,850</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1,714,850</w:t>
      </w:r>
    </w:p>
    <w:p>
      <w:pPr>
        <w:spacing w:after="0" w:line="210" w:lineRule="exact"/>
        <w:rPr>
          <w:rFonts w:ascii="Arial" w:cs="Arial" w:eastAsia="Arial" w:hAnsi="Arial"/>
          <w:sz w:val="18"/>
          <w:szCs w:val="18"/>
          <w:color w:val="auto"/>
        </w:rPr>
      </w:pPr>
    </w:p>
    <w:p>
      <w:pPr>
        <w:ind w:left="2240" w:hanging="1112"/>
        <w:spacing w:after="0"/>
        <w:tabs>
          <w:tab w:leader="none" w:pos="2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Deerfield Mgmt IV, L.P.</w:t>
      </w:r>
    </w:p>
    <w:p>
      <w:pPr>
        <w:spacing w:after="0" w:line="225"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1,714,852</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1,714,852</w:t>
      </w:r>
    </w:p>
    <w:p>
      <w:pPr>
        <w:spacing w:after="0" w:line="210" w:lineRule="exact"/>
        <w:rPr>
          <w:rFonts w:ascii="Arial" w:cs="Arial" w:eastAsia="Arial" w:hAnsi="Arial"/>
          <w:sz w:val="18"/>
          <w:szCs w:val="18"/>
          <w:color w:val="auto"/>
        </w:rPr>
      </w:pPr>
    </w:p>
    <w:p>
      <w:pPr>
        <w:ind w:left="2240" w:hanging="1112"/>
        <w:spacing w:after="0"/>
        <w:tabs>
          <w:tab w:leader="none" w:pos="2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Deerfield Management Company, L.P.</w:t>
      </w:r>
    </w:p>
    <w:p>
      <w:pPr>
        <w:spacing w:after="0" w:line="225"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5,144,539</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5,144,539</w:t>
      </w:r>
    </w:p>
    <w:p>
      <w:pPr>
        <w:spacing w:after="0" w:line="210" w:lineRule="exact"/>
        <w:rPr>
          <w:rFonts w:ascii="Arial" w:cs="Arial" w:eastAsia="Arial" w:hAnsi="Arial"/>
          <w:sz w:val="18"/>
          <w:szCs w:val="18"/>
          <w:color w:val="auto"/>
        </w:rPr>
      </w:pPr>
    </w:p>
    <w:p>
      <w:pPr>
        <w:ind w:left="2240" w:hanging="1112"/>
        <w:spacing w:after="0"/>
        <w:tabs>
          <w:tab w:leader="none" w:pos="2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James E. Flynn</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Sole power to vote or direct the vote: 0</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Shared power to vote or direct the vote: 5,144,539</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Sole power to dispose or to direct the disposition: 0</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Shared power to dispose or direct the disposition: 5,144,539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Deerfield Mgmt III, L.P. is the general partner of Deerfield Private Design Fund III,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Deerfield Mgmt IV, L.P. is the general partner of Deerfield Private Design Fund IV,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Deerfield Mgmt HIF, L.P. is the general partner of Deerfield Healthcare Innovations Fund, L.P.</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Deerfield Management Company, L.P. is the investment manager of each of Deerfield Private Design Fund III, L.P., Deerfield Private Design Fund IV, L.P. and Deerfield Healthcare Innovations Fund, L.P.</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James E. Flynn is the managing member of the general partner of each of Deerfield Mgmt III, L.P., Deerfield Mgmt IV, L.P., Deerfield Mgmt HIF, L.P. and Deerfield Management Company, L.P.</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Following the distribution by Holdings, each Reporting Person ceased to be a member of a “group” that may have existed for purposes of the Securities Exchange Act of 1934 with Holdings.</w:t>
      </w:r>
    </w:p>
    <w:p>
      <w:pPr>
        <w:spacing w:after="0" w:line="170"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Except as set forth in Item 3 of this Schedule 13D, no Reporting Person has effected any transactions in the Common Stock during the past 60 days.</w:t>
      </w:r>
    </w:p>
    <w:p>
      <w:pPr>
        <w:spacing w:after="0" w:line="46" w:lineRule="exact"/>
        <w:rPr>
          <w:rFonts w:ascii="Arial" w:cs="Arial" w:eastAsia="Arial" w:hAnsi="Arial"/>
          <w:sz w:val="16"/>
          <w:szCs w:val="16"/>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CUSIP No. 517125100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1, 2020</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DEERFIELD PRIVATE DESIGN FUND III, L.P.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Deerfield Mgmt III, L.P., General Partner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J.E. Flynn Capital III, LLC, General Partner</w:t>
            </w:r>
          </w:p>
        </w:tc>
      </w:tr>
      <w:tr>
        <w:trPr>
          <w:trHeight w:val="432"/>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860" w:type="dxa"/>
            <w:vAlign w:val="bottom"/>
          </w:tcPr>
          <w:p>
            <w:pPr>
              <w:ind w:left="6240"/>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11240" w:type="dxa"/>
            <w:vAlign w:val="bottom"/>
            <w:gridSpan w:val="2"/>
          </w:tcPr>
          <w:p>
            <w:pPr>
              <w:ind w:left="6240"/>
              <w:spacing w:after="0"/>
              <w:rPr>
                <w:sz w:val="20"/>
                <w:szCs w:val="20"/>
                <w:color w:val="auto"/>
              </w:rPr>
            </w:pPr>
            <w:r>
              <w:rPr>
                <w:rFonts w:ascii="Arial" w:cs="Arial" w:eastAsia="Arial" w:hAnsi="Arial"/>
                <w:sz w:val="18"/>
                <w:szCs w:val="18"/>
                <w:color w:val="auto"/>
              </w:rPr>
              <w:t>DEERFIELD HEALTHCARE INNOVATIONS FUND, L.P.</w:t>
            </w:r>
          </w:p>
        </w:tc>
      </w:tr>
      <w:tr>
        <w:trPr>
          <w:trHeight w:val="216"/>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Deerfield Mgmt HIF, L.P., General Partner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J.E. Flynn Capital HIF, LLC, General Partner</w:t>
            </w:r>
          </w:p>
        </w:tc>
      </w:tr>
      <w:tr>
        <w:trPr>
          <w:trHeight w:val="432"/>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224"/>
        </w:trPr>
        <w:tc>
          <w:tcPr>
            <w:tcW w:w="68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Jonathan Isler, Attorney-In-Fact</w:t>
            </w:r>
          </w:p>
        </w:tc>
      </w:tr>
      <w:tr>
        <w:trPr>
          <w:trHeight w:val="619"/>
        </w:trPr>
        <w:tc>
          <w:tcPr>
            <w:tcW w:w="11240" w:type="dxa"/>
            <w:vAlign w:val="bottom"/>
            <w:gridSpan w:val="2"/>
          </w:tcPr>
          <w:p>
            <w:pPr>
              <w:ind w:left="6240"/>
              <w:spacing w:after="0"/>
              <w:rPr>
                <w:sz w:val="20"/>
                <w:szCs w:val="20"/>
                <w:color w:val="auto"/>
              </w:rPr>
            </w:pPr>
            <w:r>
              <w:rPr>
                <w:rFonts w:ascii="Arial" w:cs="Arial" w:eastAsia="Arial" w:hAnsi="Arial"/>
                <w:sz w:val="18"/>
                <w:szCs w:val="18"/>
                <w:color w:val="auto"/>
              </w:rPr>
              <w:t>DEERFIELD PRIVATE DESIGN FUND IV, L.P.</w:t>
            </w:r>
          </w:p>
        </w:tc>
      </w:tr>
      <w:tr>
        <w:trPr>
          <w:trHeight w:val="216"/>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Deerfield Mgmt IV, L.P., General Partner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J.E. Flynn Capital IV, LLC, General Partner</w:t>
            </w:r>
          </w:p>
        </w:tc>
      </w:tr>
      <w:tr>
        <w:trPr>
          <w:trHeight w:val="432"/>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860" w:type="dxa"/>
            <w:vAlign w:val="bottom"/>
          </w:tcPr>
          <w:p>
            <w:pPr>
              <w:ind w:left="6240"/>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11240" w:type="dxa"/>
            <w:vAlign w:val="bottom"/>
            <w:gridSpan w:val="2"/>
          </w:tcPr>
          <w:p>
            <w:pPr>
              <w:ind w:left="6240"/>
              <w:spacing w:after="0"/>
              <w:rPr>
                <w:sz w:val="20"/>
                <w:szCs w:val="20"/>
                <w:color w:val="auto"/>
              </w:rPr>
            </w:pPr>
            <w:r>
              <w:rPr>
                <w:rFonts w:ascii="Arial" w:cs="Arial" w:eastAsia="Arial" w:hAnsi="Arial"/>
                <w:sz w:val="18"/>
                <w:szCs w:val="18"/>
                <w:color w:val="auto"/>
              </w:rPr>
              <w:t>DEERFIELD MGMT III, L.P.</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J.E. Flynn Capital III, LLC, General Partner</w:t>
            </w:r>
          </w:p>
        </w:tc>
      </w:tr>
      <w:tr>
        <w:trPr>
          <w:trHeight w:val="432"/>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860" w:type="dxa"/>
            <w:vAlign w:val="bottom"/>
          </w:tcPr>
          <w:p>
            <w:pPr>
              <w:ind w:left="6240"/>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11240" w:type="dxa"/>
            <w:vAlign w:val="bottom"/>
            <w:gridSpan w:val="2"/>
          </w:tcPr>
          <w:p>
            <w:pPr>
              <w:ind w:left="6240"/>
              <w:spacing w:after="0"/>
              <w:rPr>
                <w:sz w:val="20"/>
                <w:szCs w:val="20"/>
                <w:color w:val="auto"/>
              </w:rPr>
            </w:pPr>
            <w:r>
              <w:rPr>
                <w:rFonts w:ascii="Arial" w:cs="Arial" w:eastAsia="Arial" w:hAnsi="Arial"/>
                <w:sz w:val="18"/>
                <w:szCs w:val="18"/>
                <w:color w:val="auto"/>
              </w:rPr>
              <w:t>DEERFIELD MGMT HIF, L.P.</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J.E. Flynn Capital HIF, LLC, General Partner</w:t>
            </w:r>
          </w:p>
        </w:tc>
      </w:tr>
      <w:tr>
        <w:trPr>
          <w:trHeight w:val="432"/>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224"/>
        </w:trPr>
        <w:tc>
          <w:tcPr>
            <w:tcW w:w="68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Jonathan Isler, Attorney-in-Fact</w:t>
            </w:r>
          </w:p>
        </w:tc>
      </w:tr>
      <w:tr>
        <w:trPr>
          <w:trHeight w:val="619"/>
        </w:trPr>
        <w:tc>
          <w:tcPr>
            <w:tcW w:w="11240" w:type="dxa"/>
            <w:vAlign w:val="bottom"/>
            <w:gridSpan w:val="2"/>
          </w:tcPr>
          <w:p>
            <w:pPr>
              <w:ind w:left="6240"/>
              <w:spacing w:after="0"/>
              <w:rPr>
                <w:sz w:val="20"/>
                <w:szCs w:val="20"/>
                <w:color w:val="auto"/>
              </w:rPr>
            </w:pPr>
            <w:r>
              <w:rPr>
                <w:rFonts w:ascii="Arial" w:cs="Arial" w:eastAsia="Arial" w:hAnsi="Arial"/>
                <w:sz w:val="18"/>
                <w:szCs w:val="18"/>
                <w:color w:val="auto"/>
              </w:rPr>
              <w:t>DEERFIELD MGMT IV, L.P.</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J.E. Flynn Capital IV, LLC, General Partner</w:t>
            </w:r>
          </w:p>
        </w:tc>
      </w:tr>
      <w:tr>
        <w:trPr>
          <w:trHeight w:val="432"/>
        </w:trPr>
        <w:tc>
          <w:tcPr>
            <w:tcW w:w="6860" w:type="dxa"/>
            <w:vAlign w:val="bottom"/>
          </w:tcPr>
          <w:p>
            <w:pPr>
              <w:ind w:left="62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860" w:type="dxa"/>
            <w:vAlign w:val="bottom"/>
          </w:tcPr>
          <w:p>
            <w:pPr>
              <w:ind w:left="6240"/>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860" w:type="dxa"/>
            <w:vAlign w:val="bottom"/>
          </w:tcPr>
          <w:p>
            <w:pPr>
              <w:ind w:left="62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358"/>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3" w:name="page14"/>
    <w:bookmarkEnd w:id="13"/>
    <w:p>
      <w:pPr>
        <w:ind w:left="5080"/>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Pr>
          <w:p>
            <w:pPr>
              <w:spacing w:after="0"/>
              <w:rPr>
                <w:sz w:val="20"/>
                <w:szCs w:val="20"/>
                <w:color w:val="auto"/>
              </w:rPr>
            </w:pPr>
            <w:r>
              <w:rPr>
                <w:rFonts w:ascii="Arial" w:cs="Arial" w:eastAsia="Arial" w:hAnsi="Arial"/>
                <w:sz w:val="18"/>
                <w:szCs w:val="18"/>
                <w:color w:val="auto"/>
              </w:rPr>
              <w:t>Flynn Management LLC, General Partner</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Jonathan 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Jonathan Isler, Attorney-in-Fact</w:t>
      </w:r>
    </w:p>
    <w:sectPr>
      <w:pgSz w:w="11900" w:h="16838" w:orient="portrait"/>
      <w:cols w:equalWidth="0" w:num="1">
        <w:col w:w="10120"/>
      </w:cols>
      <w:pgMar w:left="144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212"/>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bullet"/>
      <w:start w:val="1"/>
    </w:lvl>
  </w:abstractNum>
  <w:abstractNum w:abstractNumId="3">
    <w:nsid w:val="7FDCC233"/>
    <w:multiLevelType w:val="hybridMultilevel"/>
    <w:lvl w:ilvl="0">
      <w:lvlJc w:val="left"/>
      <w:lvlText w:val="1"/>
      <w:numFmt w:val="bullet"/>
      <w:start w:val="1"/>
    </w:lvl>
  </w:abstractNum>
  <w:abstractNum w:abstractNumId="4">
    <w:nsid w:val="1BEFD79F"/>
    <w:multiLevelType w:val="hybridMultilevel"/>
    <w:lvl w:ilvl="0">
      <w:lvlJc w:val="left"/>
      <w:lvlText w:val="1"/>
      <w:numFmt w:val="bullet"/>
      <w:start w:val="1"/>
    </w:lvl>
  </w:abstractNum>
  <w:abstractNum w:abstractNumId="5">
    <w:nsid w:val="41A7C4C9"/>
    <w:multiLevelType w:val="hybridMultilevel"/>
    <w:lvl w:ilvl="0">
      <w:lvlJc w:val="left"/>
      <w:lvlText w:val="1"/>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1)"/>
      <w:numFmt w:val="decimal"/>
      <w:start w:val="2"/>
    </w:lvl>
  </w:abstractNum>
  <w:abstractNum w:abstractNumId="9">
    <w:nsid w:val="519B500D"/>
    <w:multiLevelType w:val="hybridMultilevel"/>
    <w:lvl w:ilvl="0">
      <w:lvlJc w:val="left"/>
      <w:lvlText w:val="1"/>
      <w:numFmt w:val="bullet"/>
      <w:start w:val="1"/>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1"/>
      <w:numFmt w:val="bullet"/>
      <w:start w:val="1"/>
    </w:lvl>
  </w:abstractNum>
  <w:abstractNum w:abstractNumId="12">
    <w:nsid w:val="7C83E458"/>
    <w:multiLevelType w:val="hybridMultilevel"/>
    <w:lvl w:ilvl="0">
      <w:lvlJc w:val="left"/>
      <w:lvlText w:val="(%1)"/>
      <w:numFmt w:val="decimal"/>
      <w:start w:val="4"/>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1)"/>
      <w:numFmt w:val="decimal"/>
      <w:start w:val="5"/>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1)"/>
      <w:numFmt w:val="decimal"/>
      <w:start w:val="3"/>
    </w:lvl>
  </w:abstractNum>
  <w:abstractNum w:abstractNumId="18">
    <w:nsid w:val="721DA317"/>
    <w:multiLevelType w:val="hybridMultilevel"/>
    <w:lvl w:ilvl="0">
      <w:lvlJc w:val="left"/>
      <w:lvlText w:val="(%1)"/>
      <w:numFmt w:val="decimal"/>
      <w:start w:val="4"/>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decimal"/>
      <w:start w:val="6"/>
    </w:lvl>
  </w:abstractNum>
  <w:abstractNum w:abstractNumId="21">
    <w:nsid w:val="6763845E"/>
    <w:multiLevelType w:val="hybridMultilevel"/>
    <w:lvl w:ilvl="0">
      <w:lvlJc w:val="left"/>
      <w:lvlText w:val="(%1)"/>
      <w:numFmt w:val="decimal"/>
      <w:start w:val="7"/>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5"/>
    </w:lvl>
  </w:abstractNum>
  <w:abstractNum w:abstractNumId="24">
    <w:nsid w:val="79838CB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2020-07-01T15:02:46Z</dcterms:created>
  <dcterms:modified xsi:type="dcterms:W3CDTF">2020-07-01T15:02:46Z</dcterms:modified>
</cp:coreProperties>
</file>