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60" w:right="1560" w:hanging="3643"/>
        <w:spacing w:after="0" w:line="303" w:lineRule="auto"/>
        <w:tabs>
          <w:tab w:leader="none" w:pos="53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000" w:right="1560" w:hanging="3983"/>
        <w:spacing w:after="0" w:line="344" w:lineRule="auto"/>
        <w:tabs>
          <w:tab w:leader="none" w:pos="5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____</w:t>
      </w:r>
    </w:p>
    <w:p>
      <w:pPr>
        <w:ind w:left="41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001-36510</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18"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216"/>
        </w:trPr>
        <w:tc>
          <w:tcPr>
            <w:tcW w:w="406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Bala Cynwyd, PA</w:t>
            </w:r>
          </w:p>
        </w:tc>
        <w:tc>
          <w:tcPr>
            <w:tcW w:w="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96"/>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7480" w:type="dxa"/>
            <w:vAlign w:val="bottom"/>
            <w:gridSpan w:val="4"/>
          </w:tcPr>
          <w:p>
            <w:pPr>
              <w:jc w:val="center"/>
              <w:ind w:left="36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250"/>
        </w:trPr>
        <w:tc>
          <w:tcPr>
            <w:tcW w:w="4060" w:type="dxa"/>
            <w:vAlign w:val="bottom"/>
          </w:tcPr>
          <w:p>
            <w:pPr>
              <w:spacing w:after="0"/>
              <w:rPr>
                <w:sz w:val="21"/>
                <w:szCs w:val="21"/>
                <w:color w:val="auto"/>
              </w:rPr>
            </w:pPr>
          </w:p>
        </w:tc>
        <w:tc>
          <w:tcPr>
            <w:tcW w:w="34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760" w:type="dxa"/>
            <w:vAlign w:val="bottom"/>
          </w:tcPr>
          <w:p>
            <w:pPr>
              <w:spacing w:after="0"/>
              <w:rPr>
                <w:sz w:val="21"/>
                <w:szCs w:val="21"/>
                <w:color w:val="auto"/>
              </w:rPr>
            </w:pPr>
          </w:p>
        </w:tc>
      </w:tr>
      <w:tr>
        <w:trPr>
          <w:trHeight w:val="147"/>
        </w:trPr>
        <w:tc>
          <w:tcPr>
            <w:tcW w:w="40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08"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84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28, 2024, there were 63,806,628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Statements made in this Quarterly Report on Form 10-Q that are not statements of historical or current facts are “forward-looking statements” within the meaning of the Private Securities Litigation Reform Act of 1995, as amended.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which are subject to risks, uncertainties and assumptions about us, may include projections of our future financial performance, our anticipated growth strategies and anticipated trends in our business.</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102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(“FDA”), European Medicines Agency ("EMA") and/or other comparable regulatory authorities for marketing approval for nomlabofusp (nomlabofusp is the International Nonproprietary Name and the United States Adopted Name for CTI-1601 ) or any other product candidates that we may develop in the future and unexpected costs that may result therefrom;</w:t>
      </w:r>
    </w:p>
    <w:p>
      <w:pPr>
        <w:spacing w:after="0" w:line="75"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ongoing open label extension study (“OLE”), including the timing of site initiations and rate of patient enrollment, and our ability to pursue dose escalation;</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participating in the FDA’s Support for Clinical Trials Advancing Rare Disease Therapeutics (“START”) pilot program for the development of nomlabofusp;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(“BLA”) submission for accelerated approval, including our ability to supply to the FDA all required data for the FDA to review and accept an accelerated application, or any other product candidates that we may develop in the future;</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recent and future financings,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71"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86" w:lineRule="exact"/>
        <w:rPr>
          <w:sz w:val="20"/>
          <w:szCs w:val="20"/>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89"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both approved and competing therapies and products for the treatment of FA, our ability to obtain and maintain designations or eligibility for expedited regulatory programs, and to commercialize current and future product candidates, if approved, (including the impact of potential barriers to entry if competitors are able to establish a strong market position before we are able to commercialize our products);</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monetary policy changes,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75"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2024 and our Quarterly Reports on Form 10-Q filed on May 9, 2024 and August 8, 2024.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20" w:type="dxa"/>
            <w:vAlign w:val="bottom"/>
            <w:tcBorders>
              <w:top w:val="single" w:sz="8" w:color="0000FF"/>
            </w:tcBorders>
            <w:gridSpan w:val="5"/>
          </w:tcPr>
          <w:p>
            <w:pPr>
              <w:spacing w:after="0"/>
              <w:rPr>
                <w:sz w:val="24"/>
                <w:szCs w:val="24"/>
                <w:color w:val="auto"/>
              </w:rPr>
            </w:pPr>
          </w:p>
        </w:tc>
        <w:tc>
          <w:tcPr>
            <w:tcW w:w="354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2024 and December 31,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 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5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7"/>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0000EE"/>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66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885"/>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320" w:type="dxa"/>
            <w:vAlign w:val="bottom"/>
            <w:gridSpan w:val="11"/>
          </w:tcPr>
          <w:p>
            <w:pPr>
              <w:jc w:val="center"/>
              <w:ind w:left="4150"/>
              <w:spacing w:after="0"/>
              <w:rPr>
                <w:sz w:val="20"/>
                <w:szCs w:val="20"/>
                <w:color w:val="auto"/>
              </w:rPr>
            </w:pPr>
            <w:r>
              <w:rPr>
                <w:rFonts w:ascii="Times New Roman" w:cs="Times New Roman" w:eastAsia="Times New Roman" w:hAnsi="Times New Roman"/>
                <w:sz w:val="18"/>
                <w:szCs w:val="18"/>
                <w:color w:val="auto"/>
                <w:w w:val="88"/>
              </w:rPr>
              <w:t>2</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219,021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September 30, 2024 and December 31, 2023; no shares issued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as of September 30, 2024 and December 31, 2023;</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63,806,628 and 43,909,069 shares issued and outstanding as of</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(240,334 )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(188,554 )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198,400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219,021</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-4345305</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-3402330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-3385820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6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10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Pr>
          <w:p>
            <w:pPr>
              <w:spacing w:after="0"/>
              <w:rPr>
                <w:sz w:val="20"/>
                <w:szCs w:val="20"/>
                <w:color w:val="auto"/>
              </w:rPr>
            </w:pPr>
          </w:p>
        </w:tc>
      </w:tr>
      <w:tr>
        <w:trPr>
          <w:trHeight w:val="241"/>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(18,264 )</w:t>
            </w:r>
          </w:p>
        </w:tc>
        <w:tc>
          <w:tcPr>
            <w:tcW w:w="2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(10,339 )</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(59,597 )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(27,596 )</w:t>
            </w:r>
          </w:p>
        </w:tc>
      </w:tr>
      <w:tr>
        <w:trPr>
          <w:trHeight w:val="239"/>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20"/>
                <w:szCs w:val="20"/>
                <w:color w:val="auto"/>
              </w:rPr>
            </w:pPr>
          </w:p>
        </w:tc>
      </w:tr>
      <w:tr>
        <w:trPr>
          <w:trHeight w:val="25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(15,499 )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(9,064 )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(51,780 )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(23,956 )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(0.55 )</w:t>
            </w: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63,806,158</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43,903,738</w:t>
            </w:r>
          </w:p>
        </w:tc>
        <w:tc>
          <w:tcPr>
            <w:tcW w:w="3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60,399,697</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43,899,670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(15,499 )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(9,064 )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(51,780 )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(23,956 )</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(14,991 )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(9,069 )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(51,503 )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(23,918 )</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-1996440</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-1996440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-1996440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-1353820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-1336675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-1353820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-1336675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-1353820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-1336675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-993775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-976630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-993775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-993775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-976630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-351155</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-351155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-351155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-24765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100" w:type="dxa"/>
            <w:vAlign w:val="bottom"/>
            <w:gridSpan w:val="3"/>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43,909,069</w:t>
            </w:r>
          </w:p>
        </w:tc>
        <w:tc>
          <w:tcPr>
            <w:tcW w:w="104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270,150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(188,554 )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19,736,842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153,750</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(106 )</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(14,654 )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(14,654 )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63,800,017</w:t>
            </w:r>
          </w:p>
        </w:tc>
        <w:tc>
          <w:tcPr>
            <w:tcW w:w="240" w:type="dxa"/>
            <w:vAlign w:val="bottom"/>
          </w:tcPr>
          <w:p>
            <w:pPr>
              <w:spacing w:after="0"/>
              <w:rPr>
                <w:sz w:val="20"/>
                <w:szCs w:val="20"/>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434,013</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(203,208 )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debt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(125 )</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(21,627 )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(21,627 )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63,802,517</w:t>
            </w: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436,325</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(224,835 )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211,404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(15,499 )</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(15,499 )</w:t>
            </w:r>
          </w:p>
        </w:tc>
        <w:tc>
          <w:tcPr>
            <w:tcW w:w="0" w:type="dxa"/>
            <w:vAlign w:val="bottom"/>
          </w:tcPr>
          <w:p>
            <w:pPr>
              <w:spacing w:after="0"/>
              <w:rPr>
                <w:sz w:val="1"/>
                <w:szCs w:val="1"/>
                <w:color w:val="auto"/>
              </w:rPr>
            </w:pPr>
          </w:p>
        </w:tc>
      </w:tr>
      <w:tr>
        <w:trPr>
          <w:trHeight w:val="20"/>
        </w:trPr>
        <w:tc>
          <w:tcPr>
            <w:tcW w:w="40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63,806,628</w:t>
            </w:r>
          </w:p>
        </w:tc>
        <w:tc>
          <w:tcPr>
            <w:tcW w:w="240" w:type="dxa"/>
            <w:vAlign w:val="bottom"/>
          </w:tcPr>
          <w:p>
            <w:pPr>
              <w:spacing w:after="0"/>
              <w:rPr>
                <w:sz w:val="20"/>
                <w:szCs w:val="20"/>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438,312</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(240,334 )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7"/>
        </w:trPr>
        <w:tc>
          <w:tcPr>
            <w:tcW w:w="4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-2845435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-2845435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-2845435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-2845435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-2845435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-1876425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-1859280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-1876425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-1859280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-1876425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-1859280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-1876425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-1859280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-1876425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-1859280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-1233805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-1233805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-1233805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-1233805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-1233805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100" w:type="dxa"/>
            <w:vAlign w:val="bottom"/>
            <w:gridSpan w:val="3"/>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2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1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0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1040" w:type="dxa"/>
            <w:vAlign w:val="bottom"/>
            <w:gridSpan w:val="2"/>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262,496</w:t>
            </w:r>
          </w:p>
        </w:tc>
        <w:tc>
          <w:tcPr>
            <w:tcW w:w="4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(151,605 )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(6,526 )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264,329</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(158,131 )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106,241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(8,366 )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24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266,372</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(166,497 )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99,930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628,403</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(9,064 )</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(9,064 )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43,905,903</w:t>
            </w: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268,223</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(175,561 )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92,712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-1636395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-1619250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-1636395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-1619250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-1636395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-1619250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-1636395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-1619250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-1636395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-1619250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-984885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-967740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-984885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-967740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-984885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-967740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-984885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-967740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-984885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-967740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3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(51,780 )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(23,956 )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(4,074 )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(1,210 )</w:t>
            </w:r>
          </w:p>
        </w:tc>
      </w:tr>
      <w:tr>
        <w:trPr>
          <w:trHeight w:val="241"/>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(6,164 )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(579 )</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(930 )</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(3,314 )</w:t>
            </w:r>
          </w:p>
        </w:tc>
      </w:tr>
      <w:tr>
        <w:trPr>
          <w:trHeight w:val="239"/>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36"/>
        </w:trPr>
        <w:tc>
          <w:tcPr>
            <w:tcW w:w="8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(48,945 )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(24,116 )</w:t>
            </w:r>
          </w:p>
        </w:tc>
      </w:tr>
      <w:tr>
        <w:trPr>
          <w:trHeight w:val="238"/>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(336 )</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(189,248 )</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(66,268 )</w:t>
            </w: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and sales of marketable securities</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(104,584 )</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w:t>
            </w:r>
          </w:p>
        </w:tc>
        <w:tc>
          <w:tcPr>
            <w:tcW w:w="100" w:type="dxa"/>
            <w:vAlign w:val="bottom"/>
          </w:tcPr>
          <w:p>
            <w:pPr>
              <w:spacing w:after="0"/>
              <w:rPr>
                <w:sz w:val="20"/>
                <w:szCs w:val="20"/>
                <w:color w:val="auto"/>
              </w:rPr>
            </w:pP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equity securities, net of issuance costs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161,847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100" w:type="dxa"/>
            <w:vAlign w:val="bottom"/>
          </w:tcPr>
          <w:p>
            <w:pPr>
              <w:spacing w:after="0"/>
              <w:rPr>
                <w:sz w:val="20"/>
                <w:szCs w:val="20"/>
                <w:color w:val="auto"/>
              </w:rPr>
            </w:pPr>
          </w:p>
        </w:tc>
      </w:tr>
      <w:tr>
        <w:trPr>
          <w:trHeight w:val="237"/>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36,406</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costs included in accrued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-2368550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-2368550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-1742440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-1742440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-1108075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-1108075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-465455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nomlabofusp (nomlabofusp is the International Nonproprietary Name and the United States Adopted Name for CTI-1601 ),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6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completed two phase 1 studies of nomlabofusp, a Phase 2 dose exploration study, and initiated an open label extension study (“OLE”) in patients with FA in January, 2024. This OLE study is ongoing and continues to enroll patients.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May 2021, after reporting positive top-line data from the Company’s Phase 1 FA program, the U.S. Food and Drug Administration (“FDA”) placed a clinical hold on the Company’s nomlabofusp clinical program after the Company notified the FDA of mortalities at the highest dose levels of a 26-week non-human primate toxicology study that was designed to support extended dosing of patients with nomlabofusp. In September 2022, the FDA lifted its full clinical hold on the nomlabofusp program and imposed a partial clinical hold.</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announced top-line data from its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w:t>
      </w:r>
    </w:p>
    <w:p>
      <w:pPr>
        <w:spacing w:after="0" w:line="6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June 2023, the Company met with the FDA. Following that meeting, the Company submitted a complete response to the FDA’s partial clinical hold that included unblinded safety, PK and frataxin data from the Phase 2 trial’s completed 25 mg cohort.</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July 2023, following the FDA’s review of the Company's complete response to the partial clinical hold, the FDA cleared initiation of a second cohort at 50 mg of our four-week, placebo-controlled, Phase 2 dose exploration trial and initiation of an OLE study with daily dosing of 25 mg.</w:t>
      </w:r>
    </w:p>
    <w:p>
      <w:pPr>
        <w:spacing w:after="0" w:line="5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February 2024, the Company reported positive top-line data and successful completion of their four-week, placebo-controlled Phase 2 dose exploration study of nomlabofusp in participants with FA.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In May 2024 the FDA removed the partial clinical hold on the development of nomlabofusp. Patients who completed treatment in the Company's Phase 2 dose exploration study or who previously completed a prior clinical trial of nomlabofusp are eligible to screen and possibly participate in the OLE study. Current patients in the OLE study either participated in the Phase 2 dose exploration study and/or a previous clinical trial.</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2024, the Company dosed the first patient in its OLE trial discussed above, evaluating daily subcutaneous injections of 25 mg of nomlabofusp self-administered or administered by a caregiver. This study is ongoing with seven sites activated and additional patients are continuing to be enrolled and dosed.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following the completion of enrollment, as well as at least one participant completing one year of dosing, clinical assessments collected during the study will be compared to data from a matched control arm derived from participants in the Friedreich’s Ataxia Clinical Outcome Measures Study ("FACOMS") database. Dose escalation to the 50 mg dose in the OLE study is currently planned following further characterization of the frataxin PD at the 25 mg dose.</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currently expects to provide a nomlabofusp development program update in mid-December 2024 that will include available safety, pharmacokinetic and frataxin data as well as available clinical outcome observations from patients currently receiving the daily 25 mg dose of nomlabofusp for approximately 30 to 180 days in the ongoing OLE study. An update on enrollment and plans on the OLE study will also be provided.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 w:name="page11"/>
    <w:bookmarkEnd w:id="10"/>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Separately, the Company has had discussions with the FDA regarding the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The Company intends to pursue an accelerated approval using FXN levels, supportive PD and clinical information, and safety data from the OLE study, along with additional non-clinical pharmacology information needed to support the novel surrogate endpoint approach.</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is on track to expand the nomlabofusp clinical program into adolescent (12-17 years old) and pediatric (2-11 years old) patients with FA. The Company expects to initiate a PK run-in study in adolescents by the end of this year and expects to transition these study participants into the ongoing OLE study after assessment of safety and exposure data in the adolescent cohort. The run-in-study will enroll 12-15 adolescent patients and 12-15 pediatric patients who will be randomized 2:1 to receive either nomlabofusp or placebo daily.</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is also planning the initiation of a global confirmatory/registration study by mid-2025 with potential sites in the U.S., Europe, the U.K., Canada and Australia. The Biologics License Application ("BLA") filing is targeted in the second half of 2025 to support potential accelerated approval.</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May 30, 2024, the Company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September 2024, the Company received the Medicines and Healthcare Regulatory Agency ("MHRA") Innovative Licensing and Access Pathway ("ILAP") aimed at potentially accelerating access and reducing the time to market in the United Kingdom.</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Generally Accepted Accounting Principles ("GAAP").</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the Company’s audited financial statements but does not include all disclosures required by GAAP. The accompanying unaudited condensed consolidated financial statements as of September 30, 2024 and for the three and nine months ended September 30,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2023 included in the Company’s Annual Report on Form 10-K filed with the SEC on March 14, 2024 and the Company's Quarterly Reports on Form 10-Q filed with the SEC on May 9, 2024 and August 8, 2024.</w:t>
      </w:r>
    </w:p>
    <w:p>
      <w:pPr>
        <w:spacing w:after="0" w:line="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September 30, 2024, condensed consolidated results of operations for the three and nine months ended September 30, 2024 and condensed consolidated statement of cash flows for the nine months ended September 30, 2024 have been made. The results of operations for the three and nine months ended September 30, 2024 are not necessarily indicative of the results of operations that may be expected for the year ending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$51.8 million and $24.0 million for the nine months ended September 30, 2024 and 2023, respectively. In addition, as of September 30, 2024, the Company had an accumulated deficit of $240.3 million. The Company expects to continue to generate operating losses for the foreseeable future. As of September 30, 2024, the Company had approximately $203.7 million of cash, cash equivalents and marketable securities available for use to fund its operations and capital requirements.</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and proceeds from the sale of prefunded warrants for the purchase of common stock, the acquisition in 2020 of cash, cash equivalents and marketable securities upon the merger with Zafgen, Inc. ("Zafgen") and, prior to the 2020 merger with Zafgen, capital contributions from Chondrial Holdings, LLC.</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these condensed consolidated financial statements are issued. As of the issuance date of these condensed consolidated financial statements, the Company expects its cash, cash equivalents and marketable securities will be sufficient to fund its forecasted operating expenses and capital expenditure requirements into 2026. If the timing of the Company's clinical assumptions are delayed, or if there are other forecasted assumption changes that negatively impact its operating plan, the Company could reduce expenditures in order to further extend cash resources.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that sales and marketing expenses will become significant and, as a result, that it will need additional capital to fund its future operating and capital requirements. Unless and until the Company can generate substantial revenue, management continuously evaluates different strategies to obtain the required funding for future operations. These strategies include seeking additional funding through a combination of public or private equity offerings, debt or royalty financings, collaborations and licensing arrangements, strategic partnerships with pharmaceutical and/or larger biotechnology companies,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rising interest rates, banking instability, monetary policy changes and the ability of the U.S. government to manage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federal debt limits as well as the potential impact of other health crises on the global financial markets may reduce the Company's ability to access capital, which could negatively affect its liquidity and ability to continue as a going concern.</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pre commercialization efforts and/or commercial operations, which could adversely affect its business prospects, or the Company may be unable to continue operations.</w:t>
      </w:r>
    </w:p>
    <w:p>
      <w:pPr>
        <w:spacing w:after="0" w:line="6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non-cash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 average number of common shares outstanding for the period. Prior to August 11, 2023, basic shares outstanding includes the weighted average effect of the Company’s prefunded warrants issued in June 2020, the exercise of which requires little or no consideration for the delivery of shares of common stock. These prefunded warrants were exercised on August 11, 2023 and the Company received cash proceeds of less than $0.1 million. Accordingly, the 628,403 shares were issued upon the exercise of these warrants and are included in issued and outstanding common stock.</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stock equivalents assuming the dilutive effect of outstanding stock options, outstanding restricted stock units, and unvested restricted common shares, as determined using the treasury stock method. For periods in which the Company has reported net losses (all periods since inception), diluted net loss per common share attributable to common stockholders is the same as basic net loss per common share attributable to common stockholders, since dilutive common stock equivalents are not assumed to have been issued if their effect is antidilutive.</w:t>
      </w:r>
    </w:p>
    <w:p>
      <w:pPr>
        <w:spacing w:after="0" w:line="7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6,990,827 and 5,100,997 common stock equivalents outstanding as of September 30, 2024 and 2023, respectively, from the computation of diluted net loss per share for the three and nine months ended September 30, 2024 and 2023 because they had an anti-dilutive impact due to the net loss incurred for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new guidance designed to improve reportable segment disclosure requirements, primarily through enhanced disclosures about significant expenses per segment. The new standard must be adopted on a retrospective basis. We intend to adopt the new guidance for the fiscal year ending December 31, 2024, and subsequent interim periods. Given that the accounting standard update affects disclosures exclusively, we do not anticipate that its adoption will have a material impact on our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new guidance designed to improve income tax disclosure requirements primarily through increased disaggregation disclosures within the effective tax rate reconciliation as well as enhanced disclosures on income taxes paid. The guidance is effective for all fiscal years beginning after December 15, 2024. The new standard can be adopted on a prospective basis with an option for it to be adopted retrospectively and early adoption is permitted. We are currently evaluating this guidance to determine its impact on our consolidated financial statements.</w:t>
      </w:r>
    </w:p>
    <w:p>
      <w:pPr>
        <w:spacing w:after="0" w:line="6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as of September 30, 2024 and December 31, 2023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20"/>
          </w:cols>
          <w:pgMar w:left="320" w:top="1440" w:right="359" w:bottom="1440" w:gutter="0" w:footer="0" w:header="0"/>
        </w:sect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56" w:lineRule="exact"/>
        <w:rPr>
          <w:sz w:val="20"/>
          <w:szCs w:val="20"/>
          <w:color w:val="auto"/>
        </w:rPr>
      </w:pPr>
    </w:p>
    <w:p>
      <w:pPr>
        <w:sectPr>
          <w:pgSz w:w="11900" w:h="16838" w:orient="portrait"/>
          <w:cols w:equalWidth="0" w:num="2">
            <w:col w:w="700" w:space="640"/>
            <w:col w:w="988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20"/>
        <w:spacing w:after="0" w:line="282"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81" w:lineRule="exact"/>
        <w:rPr>
          <w:sz w:val="20"/>
          <w:szCs w:val="20"/>
          <w:color w:val="auto"/>
        </w:rPr>
      </w:pPr>
    </w:p>
    <w:p>
      <w:pPr>
        <w:sectPr>
          <w:pgSz w:w="11900" w:h="16838" w:orient="portrait"/>
          <w:cols w:equalWidth="0" w:num="2">
            <w:col w:w="700" w:space="640"/>
            <w:col w:w="9880"/>
          </w:cols>
          <w:pgMar w:left="320" w:top="1440"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142" w:lineRule="exact"/>
        <w:rPr>
          <w:sz w:val="20"/>
          <w:szCs w:val="20"/>
          <w:color w:val="auto"/>
        </w:rPr>
      </w:pPr>
    </w:p>
    <w:p>
      <w:pPr>
        <w:sectPr>
          <w:pgSz w:w="11900" w:h="16838" w:orient="portrait"/>
          <w:cols w:equalWidth="0" w:num="2">
            <w:col w:w="700" w:space="640"/>
            <w:col w:w="9880"/>
          </w:cols>
          <w:pgMar w:left="320" w:top="1440" w:right="359" w:bottom="1440" w:gutter="0" w:footer="0" w:header="0"/>
          <w:type w:val="continuous"/>
        </w:sect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marketable securities, accounts payable and accrued liabilities. For accounts payable and accrued liabilities, the carrying amounts of these financial instruments as of September 30, 2024 and December 31, 2023 were considered representative of their fair values due to their short term to maturity.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tables summarize the Company’s cash equivalents and marketable securities as of September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8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157,696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199,978</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Money market funds invested in government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Treasury Bills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84,742</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42,035</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42,707</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-3063875</wp:posOffset>
            </wp:positionV>
            <wp:extent cx="102235"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-3063875</wp:posOffset>
            </wp:positionV>
            <wp:extent cx="93980" cy="196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-3063875</wp:posOffset>
            </wp:positionV>
            <wp:extent cx="9398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-3063875</wp:posOffset>
            </wp:positionV>
            <wp:extent cx="93980" cy="196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-2275205</wp:posOffset>
            </wp:positionV>
            <wp:extent cx="102235" cy="196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-2275205</wp:posOffset>
            </wp:positionV>
            <wp:extent cx="93980" cy="196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-2275205</wp:posOffset>
            </wp:positionV>
            <wp:extent cx="93980" cy="196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-2275205</wp:posOffset>
            </wp:positionV>
            <wp:extent cx="93980" cy="196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-1306195</wp:posOffset>
            </wp:positionV>
            <wp:extent cx="102235"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-1306195</wp:posOffset>
            </wp:positionV>
            <wp:extent cx="93980" cy="196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-1306195</wp:posOffset>
            </wp:positionV>
            <wp:extent cx="9398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-1306195</wp:posOffset>
            </wp:positionV>
            <wp:extent cx="93980" cy="196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-350520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$0.9 million and $0.3 million as of September 30, 2024 and December 31, 2023, respectively, and is included in prepaid expenses and other current assets on the condensed consolidated balance sheet.</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bills, which are valued based on quoted market prices in active markets with no valuation adjustment, as Level 1 assets within the fair value hierarchy.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right="380" w:firstLine="509"/>
        <w:spacing w:after="0" w:line="256" w:lineRule="auto"/>
        <w:rPr>
          <w:sz w:val="20"/>
          <w:szCs w:val="20"/>
          <w:color w:val="auto"/>
        </w:rPr>
      </w:pPr>
      <w:r>
        <w:rPr>
          <w:rFonts w:ascii="Times New Roman" w:cs="Times New Roman" w:eastAsia="Times New Roman" w:hAnsi="Times New Roman"/>
          <w:sz w:val="18"/>
          <w:szCs w:val="18"/>
          <w:color w:val="auto"/>
        </w:rPr>
        <w:t>The Company classifies its investments in U.S. government and agency securities, corporate commercial paper, and corporate bonds,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no allowances for credit losses for the Company’s investments were recorded. During the three and nine months ended September 30, 2024 and 2023, the Company did not recognize any impairment losses related to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September 30, 2024 and December 31,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157,345</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157,696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168,282</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-1139190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-1122045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-1302385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-1139190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-1122045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-1302385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-1139190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-1122045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-1302385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3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77"/>
        </w:trPr>
        <w:tc>
          <w:tcPr>
            <w:tcW w:w="4360" w:type="dxa"/>
            <w:vAlign w:val="bottom"/>
            <w:shd w:val="clear" w:color="auto" w:fill="CFF0FC"/>
          </w:tcPr>
          <w:p>
            <w:pPr>
              <w:spacing w:after="0"/>
              <w:rPr>
                <w:sz w:val="24"/>
                <w:szCs w:val="24"/>
                <w:color w:val="auto"/>
              </w:rPr>
            </w:pPr>
          </w:p>
        </w:tc>
        <w:tc>
          <w:tcPr>
            <w:tcW w:w="3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FF0FC"/>
          </w:tcPr>
          <w:p>
            <w:pPr>
              <w:spacing w:after="0"/>
              <w:rPr>
                <w:sz w:val="24"/>
                <w:szCs w:val="24"/>
                <w:color w:val="auto"/>
              </w:rPr>
            </w:pPr>
          </w:p>
        </w:tc>
      </w:tr>
      <w:tr>
        <w:trPr>
          <w:trHeight w:val="849"/>
        </w:trPr>
        <w:tc>
          <w:tcPr>
            <w:tcW w:w="4360" w:type="dxa"/>
            <w:vAlign w:val="bottom"/>
            <w:tcBorders>
              <w:top w:val="single" w:sz="8" w:color="CFF0FC"/>
            </w:tcBorders>
          </w:tcPr>
          <w:p>
            <w:pPr>
              <w:spacing w:after="0"/>
              <w:rPr>
                <w:sz w:val="24"/>
                <w:szCs w:val="24"/>
                <w:color w:val="auto"/>
              </w:rPr>
            </w:pPr>
          </w:p>
        </w:tc>
        <w:tc>
          <w:tcPr>
            <w:tcW w:w="336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-1070610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660" w:type="dxa"/>
            <w:vAlign w:val="bottom"/>
          </w:tcPr>
          <w:p>
            <w:pPr>
              <w:spacing w:after="0"/>
              <w:rPr>
                <w:sz w:val="16"/>
                <w:szCs w:val="16"/>
                <w:color w:val="auto"/>
              </w:rPr>
            </w:pP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158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4"/>
                <w:szCs w:val="14"/>
                <w:color w:val="auto"/>
              </w:rPr>
            </w:pPr>
          </w:p>
        </w:tc>
      </w:tr>
      <w:tr>
        <w:trPr>
          <w:trHeight w:val="243"/>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580" w:type="dxa"/>
            <w:vAlign w:val="bottom"/>
            <w:shd w:val="clear" w:color="auto" w:fill="CFF0FC"/>
          </w:tcPr>
          <w:p>
            <w:pPr>
              <w:jc w:val="center"/>
              <w:ind w:left="1734"/>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580" w:type="dxa"/>
            <w:vAlign w:val="bottom"/>
            <w:shd w:val="clear" w:color="auto" w:fill="CFF0FC"/>
          </w:tcPr>
          <w:p>
            <w:pPr>
              <w:jc w:val="center"/>
              <w:ind w:left="1734"/>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FF0FC"/>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jc w:val="center"/>
              <w:ind w:left="1734"/>
              <w:spacing w:after="0"/>
              <w:rPr>
                <w:sz w:val="20"/>
                <w:szCs w:val="20"/>
                <w:color w:val="auto"/>
              </w:rPr>
            </w:pPr>
            <w:r>
              <w:rPr>
                <w:rFonts w:ascii="Times New Roman" w:cs="Times New Roman" w:eastAsia="Times New Roman" w:hAnsi="Times New Roman"/>
                <w:sz w:val="18"/>
                <w:szCs w:val="18"/>
                <w:color w:val="auto"/>
                <w:w w:val="97"/>
              </w:rPr>
              <w:t>lease term</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r>
      <w:tr>
        <w:trPr>
          <w:trHeight w:val="237"/>
        </w:trPr>
        <w:tc>
          <w:tcPr>
            <w:tcW w:w="4660" w:type="dxa"/>
            <w:vAlign w:val="bottom"/>
            <w:shd w:val="clear" w:color="auto" w:fill="CFF0FC"/>
          </w:tcPr>
          <w:p>
            <w:pPr>
              <w:spacing w:after="0"/>
              <w:rPr>
                <w:sz w:val="20"/>
                <w:szCs w:val="20"/>
                <w:color w:val="auto"/>
              </w:rPr>
            </w:pPr>
          </w:p>
        </w:tc>
        <w:tc>
          <w:tcPr>
            <w:tcW w:w="3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(1,225 )</w:t>
            </w:r>
          </w:p>
        </w:tc>
      </w:tr>
      <w:tr>
        <w:trPr>
          <w:trHeight w:val="277"/>
        </w:trPr>
        <w:tc>
          <w:tcPr>
            <w:tcW w:w="4660" w:type="dxa"/>
            <w:vAlign w:val="bottom"/>
            <w:tcBorders>
              <w:bottom w:val="single" w:sz="8" w:color="CFF0FC"/>
            </w:tcBorders>
            <w:shd w:val="clear" w:color="auto" w:fill="CFF0FC"/>
          </w:tcPr>
          <w:p>
            <w:pPr>
              <w:spacing w:after="0"/>
              <w:rPr>
                <w:sz w:val="24"/>
                <w:szCs w:val="24"/>
                <w:color w:val="auto"/>
              </w:rPr>
            </w:pPr>
          </w:p>
        </w:tc>
        <w:tc>
          <w:tcPr>
            <w:tcW w:w="3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Depreciation expense was $0.1 million and $0.2 million for the three and nine months ended September 30, 2024, respectively. Depreciation expense was $0.1 million and $0.2 million for the three and nine months ended September 30, 2023, respectively. In addition, for the three and nine months ended September 30, 2024, there was less than $0.1 million of depreciation in each period related to sublet assets recorded as other expense. For the three and nine months ended September 30, 2023, there was less than $0.1 million and $0.1 million, respectively, of depreciation related to sublet assets recorded as other expense.</w:t>
      </w:r>
    </w:p>
    <w:p>
      <w:pPr>
        <w:spacing w:after="0" w:line="7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were exercisable at an exercise price of $0.01 and were exercisable indefinitely. In August 2023, the 628,403 shares of prefunded warrants were exercised and the Company received cash proceeds of six thousand two hundred and eighty-four dollars.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Company’s Ninth Amended and Restated Certificate of Incorporation, as amended, authorized the Company to issue up to 115,000,000 shares of common stock, par value $0.001 per share, of which 63,806,628 shares were issued and outstanding, and up to 5,000,000 shares of undesignated preferred stock, par value $0.001 per share,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the Company completed an underwritten public offering in which the Company issued and sold 19,736,842 shares of its common stock at a public offering price of $8.74 per share. The Company received net proceeds of approximately $161.8 million after deducting underwriting discounts, commissions and other offering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November 2022, the Company entered into a Sales Agreement (the "2022 ATM Agreement") with Guggenheim Securities, LLC as a sales agent in connection with the establishment of an “at-the-market” offering program under which the Company could sell up to an aggregate of $50 million of shares of common stock (the “2022 ATM Shares”) from time to time. In February 2024, in connection with the underwritten public offering described above, the Company terminated the 2022 ATM Agreement. No ATM Shares were ever sold pursuant to the 2022 ATM Agreement.</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"ATM Agreement") with Guggenheim Securities, LLC in connection with the establishment of an “at-the-market” offering program under which the Company could sell up to an aggregate of $100 million of shares of common stock (the “ATM Shares”) from time to time. To date, no sales of common stock have been made under this ATM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permitted by the 2020 Plan, the Company added 1,756,363 and 1,730,768 shares available for grant to the 2020 Plan on January 1, 2024 and January 1, 2023, respectively. As of September 30, 2024, 779,926 shares of common stock were available for grant under the 2020 Plan.</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2023, options to purchase 224,437 shares issued under the Prior Plans were cancelled and became available for grant under the 2020 Plan. During the nine months ended September 30, 2024, options to purchase 1,242 shares issued under the Prior Plans were cancelled and became available for grant under the 2020 Plan. At September 30, 2024, 344,683 options under the Prior Plans remained outstanding at prices ranging from $11.88 to $445.80, and, if unexercised, will return to the 2020 Plan no later than July 15, 2030.</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40" w:type="dxa"/>
            <w:vAlign w:val="bottom"/>
          </w:tcPr>
          <w:p>
            <w:pPr>
              <w:spacing w:after="0"/>
              <w:rPr>
                <w:sz w:val="15"/>
                <w:szCs w:val="15"/>
                <w:color w:val="auto"/>
              </w:rPr>
            </w:pPr>
          </w:p>
        </w:tc>
        <w:tc>
          <w:tcPr>
            <w:tcW w:w="20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9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4.12%</w:t>
            </w:r>
          </w:p>
        </w:tc>
      </w:tr>
      <w:tr>
        <w:trPr>
          <w:trHeight w:val="23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6.22</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96%</w:t>
            </w:r>
          </w:p>
        </w:tc>
      </w:tr>
      <w:tr>
        <w:trPr>
          <w:trHeight w:val="234"/>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2024 (amounts in millions, except for share, contractual term, and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(a)</w:t>
            </w: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4,273,502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2,082,377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(6,967 )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Options forfeited/expired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(57,088 )</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September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6,291,824</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as of September 30,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2,921,508</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as of September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6,291,824</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-385445</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-367665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1260" w:right="140" w:hanging="503"/>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Grants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options to purchase 2,082,377 shares of common stock to employees and directors under the 2020 Plan. The options have an exercise price equal to the closing stock price as of the grant date. Of the 2,082,377 options granted, 1,987,377 were granted to employees and vest over four years, with 25% vesting on the first anniversary of the grant and the remainder vesting in equal monthly installments thereafter. The remaining 95,000 options were annual grants to the Company's directors and vest one year from the grant date. The weighted-average grant date fair value of options granted under the 2020 Plan during the nine months ended September 30, 2024 was $4.15.</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related to unvested stock options granted under the 2020 Plan was $11.8 million, which is expected to be recognized over a weighted average period of 2.56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 Grant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inducement awards granted in the nine months ended September 30, 2024.</w:t>
      </w:r>
    </w:p>
    <w:p>
      <w:pPr>
        <w:spacing w:after="0" w:line="11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related to unvested inducement options granted was $0.8 million, which is expected to be recognized over a weighted average period of 2.53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RSUs were granted under the 2020 Plan to certain of the Company's employees in order to maintain retention of key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an RSU award is based on the Company's stock price on the date of grant. The shares underlying the RSUs are not issued until the RSUs vest.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Activity with respect to the Company's RSUs during the nine months ended September 30, 2024 was as follows (in millions, except share, contractual term,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6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Value (a)</w:t>
            </w: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(153,750 )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(7,619 )</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September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699,003</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and expected to vest as of September 30,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699,003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Grants</w:t>
      </w:r>
    </w:p>
    <w:p>
      <w:pPr>
        <w:spacing w:after="0" w:line="121" w:lineRule="exact"/>
        <w:rPr>
          <w:sz w:val="20"/>
          <w:szCs w:val="20"/>
          <w:color w:val="auto"/>
        </w:rPr>
      </w:pPr>
    </w:p>
    <w:p>
      <w:pPr>
        <w:jc w:val="both"/>
        <w:ind w:right="30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245,372 shares of RSUs to employees under the 2020 Plan. The RSUs vest annually over four years and have a weighted-average grant date fair value of $4.21 per unit.</w:t>
      </w:r>
    </w:p>
    <w:p>
      <w:pPr>
        <w:spacing w:after="0" w:line="54"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for RSUs was $2.6 million, which is expected to be recognized over a weighted-average period of 2.65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56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58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1,957</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768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nomlabofusp. Both agreements continue from their effective date through the last to date of expiration of the licensed patents, unless earlier terminated by either party in accordance with their terms.</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8"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October 2022, the Company initiated dosing of a Phase 2 study. Pursuant to the terms of both the WFUHS License and the IU License, the company recognized milestone expense of $0.3 million within research and development expenses.</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date of expiration of the licensed patents, unless earlier terminated by either party in accordance with their terms.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 Cynwyd Office Space</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immediate possession of the leased property and the lease term commenced on February 15, 2020.</w:t>
      </w:r>
    </w:p>
    <w:p>
      <w:pPr>
        <w:spacing w:after="0" w:line="68" w:lineRule="exact"/>
        <w:rPr>
          <w:sz w:val="20"/>
          <w:szCs w:val="20"/>
          <w:color w:val="auto"/>
        </w:rPr>
      </w:pPr>
    </w:p>
    <w:p>
      <w:pPr>
        <w:ind w:right="640" w:firstLine="509"/>
        <w:spacing w:after="0" w:line="312" w:lineRule="auto"/>
        <w:rPr>
          <w:sz w:val="20"/>
          <w:szCs w:val="20"/>
          <w:color w:val="auto"/>
        </w:rPr>
      </w:pPr>
      <w:r>
        <w:rPr>
          <w:rFonts w:ascii="Times New Roman" w:cs="Times New Roman" w:eastAsia="Times New Roman" w:hAnsi="Times New Roman"/>
          <w:sz w:val="17"/>
          <w:szCs w:val="17"/>
          <w:color w:val="auto"/>
        </w:rPr>
        <w:t>On March 9, 2023, the Company executed a lease extension agreement on its original 4,642 square footage of office space in Bala Cynwyd, Pennsylvania (which was set to expire in August 2023) and agreed to lease an additional 3,462 square feet of office space from the same landlord.</w:t>
      </w:r>
    </w:p>
    <w:p>
      <w:pPr>
        <w:spacing w:after="0" w:line="3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lease extension on the original 4,642 square footage commenced on September 1, 2023 and the Company recorded a right of use asset and lease liability of $0.5 million as of that date.</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new lease on 3,462 additional square footage commenced on October 1, 2023 and the Company recorded a right of use asset and lease liability of $0.3 million as of that date.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right of use assets and lease liabilities with both these leases are reflected in the financial statements as of September 30, 2024 as are the right of use asset and lease liability of the Company's Boston office space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Boston Office Lease</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2020 merger with Zafgen described in footnote 1, 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was later reduced to $0.6 million in October 2024,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"Impairment Testing: Long-Lived Assets Classified as Held and Used," and determined there was no impairment.</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 Space</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In September 2023, the Company extended this lease for an additional year with the option to terminate with four months' notice. On March 28, 2024, the Company gave the requisite notice and vacated the property in May 2024.</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operating lease for lab space in King of Prussia, Pennsylvania for a period of four years. Due to required tenant improvements to be completed by the landlord, the Company did not take immediate possession of the leased property. The actual lease term commenced on May 10, 2024. Upon commencement of the lease term, the Company recorded a right of use asset and lease liability of $0.5 million which are reflected in these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Expense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Expense arising from operating leases was $0.1 million and $0.4 million during the three and nine months ended September 30, 2024, respectively. Expense arising from operating leases was $0.1 million and $0.2 million during the three and nine months ended September 30, 2023, respectively. For operating leases, the weighted-average remaining lease term for leases at September 30, 2024 and December 31, 2023 was 4.7 and 5.5 years, respectively. For operating leases, the weighted average discount rate for leases at September 30, 2024 and December 31, 2023 was 11.0%. The Company has not entered into any financing leases.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September 30,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2024</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r>
      <w:tr>
        <w:trPr>
          <w:trHeight w:val="241"/>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00" w:type="dxa"/>
            <w:vAlign w:val="bottom"/>
            <w:shd w:val="clear" w:color="auto" w:fill="CFF0FC"/>
          </w:tcPr>
          <w:p>
            <w:pPr>
              <w:spacing w:after="0"/>
              <w:rPr>
                <w:sz w:val="20"/>
                <w:szCs w:val="20"/>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(1,452 )</w:t>
            </w:r>
          </w:p>
        </w:tc>
      </w:tr>
      <w:tr>
        <w:trPr>
          <w:trHeight w:val="277"/>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63"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2024, the Company entered into an agreement with the Friedreich’s Ataxia Research Alliance (FARA) to join the TRACK-FA Neuroimaging Consortium that includes pharmaceutical, biotechnology, academic and clinical partners. The consortium will conduct a natural history study designed to establish disease-specific neuroimaging biomarkers to track disease progression in the brain and spinal cord and provide a basis for utilizing these biomarkers in clinical trials. As an industry partner, the Company will help fund the study and contribute to the study design, research activities, and analysis. The Company will have access to all study data for use in its regulatory filings, as appropriate. During the three and nine months ended September 30, 2024, the Company incurred less than $0.1 million and $0.8 million of costs related to the Track-FA program and will fund future costs going forward. One of the Company’s Directors is also a director of FARA.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2023 included in our Annual Report on Form 10-K filed with the Securities and Exchange Commission (“SEC”) on March 14, 2024 (the "2023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2023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("CPP") technology platform. Our lead product candidate, nomlabofusp (nomlabofusp is the International Nonproprietary Name and the United States Adopted Name for CTI-1601), is a subcutaneously administered, recombinant fusion protein intended to deliver tissue frataxin ("FXN"), an essential protein, to the mitochondria of patients with Friedreich's ataxia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increase FXN levels in patients with FA.</w:t>
      </w:r>
    </w:p>
    <w:p>
      <w:pPr>
        <w:spacing w:after="0" w:line="7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Nomlabofusp Program Update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completed two Phase 1 clinical trials, a Phase 2 dose exploration trial, and recently initiated an open label extension study (“OLE”) in patients with FA. This OLE study is ongoing.</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May 2021, after reporting positive top-line data from our Phase 1 FA program, the U.S. Food and Drug Administration (“FDA”) placed a clinical hold on our nomlabofusp clinical program after we notified the FDA of mortalities at the highest dose levels of a 26-week non-human primate toxicology study that was designed to support extended dosing of patients with nomlabofusp. In September 2022, the FDA lifted its full clinical hold on the nomlabofusp program and imposed a partial clinical hold.</w:t>
      </w:r>
    </w:p>
    <w:p>
      <w:pPr>
        <w:spacing w:after="0" w:line="72"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In May 2023, we announced top-line data from our completed 25 mg cohort of a Phase 2, four-week, dose exploration trial of nomlabofusp in patients with FA and provided a complete response to the FDA in June 2023, which included unblinded safety, pharmacokinetic ("PK"), and pharmacodynamic ("PD") data from the Phase 2 trial’s completed 25 mg cohort.</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June 2023, we met with the FDA. Following that meeting, we submitted a complete response to the FDA’s partial clinical hold that included unblinded safety, PK and frataxin data from the Phase 2 trial’s completed 25 mg cohort.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8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July 2023, following the FDA’s review of the complete response to the partial clinical hold, the FDA cleared initiation of a second cohort at 50 mg of our four-week, placebo-controlled, Phase 2 dose exploration trial and initiation of an OLE study with daily dosing of 25 mg.</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February 2024, we reported positive top-line data and successful completion of their four-week, placebo-controlled Phase 2 dose exploration study of nomlabofusp in participants with FA. Nomlabofusp was generally well tolerated throughout the four-week treatment periods, had a predictable pharmacokinetic profile and led to dose dependent increases in FXN levels in all evaluated tissues (skin and buccal cells) after daily dosing of 14 days followed by every other day dosing until day 28 in the 25 mg and 50 mg cohorts. Participants in the 25 mg (n=13) and 50 mg (n=15) cohorts were randomized 2:1 to receive subcutaneous injections of nomlabofusp or placebo. In May 2024 the FDA removed the partial clinical hold on the development of nomlabofusp. Patients who completed treatment in our Phase 2 dose exploration study or who previously completed a prior clinical trial of nomlabofusp are eligible to screen and possibly participate in the OLE study. Current patients in the OLE study either participated in the Phase 2 dose exploration study and/or a previous clinical trial.</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March 2024, we dosed the first patient in our OLE trial discussed above, evaluating daily subcutaneous injections of 25 mg of nomlabofusp self-administered or administered by a caregiver. This study is ongoing with seven sites activated and additional patients are continuing to be enrolled and dosed. Participants who completed treatment in the Phase 2 dose exploration study, or who previously completed a prior clinical trial of nomlabofusp, are potentially eligible to screen for the OLE study. The OLE study will evaluate the safety and tolerability, pharmacokinetics, and frataxin levels in peripheral tissues as well as other exploratory pharmacodynamic markers (lipid profiles and gene expression data) following long-term subcutaneous administration of nomlabofusp. In addition, clinical assessments collected during the study will be compared to data from a matched control arm derived from participants in the Friedreich’s Ataxia Clinical Outcome Measures Study ("FACOMS") database. Dose escalation to the 50 mg dose in the OLE study is currently planned following further characterization of the frataxin pharmacodynamics ("PD") at the 25 mg dose.</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currently expect to provide a nomlabofusp development program update in mid-December 2024 that will include available safety, pharmacokinetic and frataxin data as well as available clinical outcome observations from patients currently receiving the daily 25 mg dose of nomlabofusp for approximately 30 to 180 days in the ongoing OLE study. An update on enrollment in the OLE study will also be provided.</w:t>
      </w:r>
    </w:p>
    <w:p>
      <w:pPr>
        <w:spacing w:after="0" w:line="6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Separately, we have had discussions with the FDA regarding the use of tissue FXN levels as a novel surrogate endpoint. The FDA acknowledged that frataxin deficiency appears to be critical to the pathogenic mechanism of FA, and that there continues to be an unmet need for treatments for FA patients that address the underlying disease pathophysiology. We intend to pursue an accelerated approval using FXN levels, supportive PD and clinical information, and safety data from the OLE study, along with additional non-clinical pharmacology information needed to support the novel surrogate endpoint approach.</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on track to expand the nomlabofusp clinical program into adolescent (12-17 years old) and pediatric (2-11 years old) patients with FA. We expect to initiate a PK run-in study in adolescents by the end of this year and expect to transition these study participants into the ongoing OLE study after assessment of safety and exposure data in the adolescent cohort. The run-in-study will enroll 12-15 adolescent patients and 12-15 pediatric patients who will be randomized 2:1 to receive either nomlabofusp or placebo daily.</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also planning the initiation of a global confirmatory/registration study by mid-2025 with potential sites in the U.S., Europe, the U.K., Canada and Australia. The Biologics License Application ("BLA") filing is targeted in the second half of 2025 to support potential accelerated approval.</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May 30, 2024, we announced that the FDA's Center for Drug Evaluation and Research ("CDER") had selected nomlabofusp as one of a few programs for participation in the Support for Clinical Trials Advancing Rare Disease Therapeutics ("START") Pilot Program. The objective of the program is to accelerate the development of drugs for rare diseases that lead to significant disability or death by facilitating frequent advice and regular communication with the FDA staff to expedite the review process of biologics and drugs.</w:t>
      </w:r>
    </w:p>
    <w:p>
      <w:pPr>
        <w:spacing w:after="0" w:line="72"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In September 2024, we received the Medicines and Healthcare Regulatory Agency ("MHRA") Innovative Licensing and Access Pathway ("ILAP")for the treatment of adults and children with FA aimed to facilitate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(EU), Fast Track and Rare Pediatric Disease designations in the U.S., PRIME designation in the EU, and selected to be in the START pilot program by the FDA.</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risks and uncertainties common to pre-commercial companies in the biotechnology industry, including, but not limited to, development and commercialization by competitors of new technological innovations, dependence on key personnel, protection of proprietary technology, compliance with governmental regulations,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failure to secure regulatory approval for our drug candidates or any other product candidates and the ability to secure additional capital to fund our operations. Product candidates under development will require extensive non-clinical and clinical testing and regulatory approval prior to commercialization. These efforts require significant amounts of additional capital, adequate personnel, infrastructure and extensive compliance-reporting capabilities. Even if our drug development efforts are successful, it is uncertain when, if ever, it will realize significant revenue from product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including Recent Material Financings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at a public offering price of $8.74 per share. We received net proceeds of approximately $161.8 million after deducting underwriting discounts, commissions and other offering expenses.</w:t>
      </w:r>
    </w:p>
    <w:p>
      <w:pPr>
        <w:spacing w:after="0" w:line="6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Sales Agreement (the "ATM Agreement") with Guggenheim Securities, LLC in connection with the establishment of an “at-the-market” offering program providing for the sale of up to an aggregate of $100 million of shares of our common stock from time to time. To date, we have made no sales under this ATM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We expect to increase our investment in research and development in order to advance nomlabofusp through additional clinical trials. As a result, we expect that our research and development expenses will increase in the foreseeable future as we pursue clinical development of nomlabofusp and/or any other product candidates we develop.</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 Expense</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measure all stock-based awards granted to employees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and thus are inherently subjective. If factors change and different assumptions are used, our stock-based compensation expense could be materially different in the future.</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Prior to January 1, 2023, we estimated our expected common stock price volatility solely based on the historical volatility of publicly traded peer companies with comparable characteristics including enterprise value, risk profiles and position within the industry. Beginning on January 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2023, we began blending our historical data starting in June 2020 (following our merger with Zafgen in 2020) with our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8"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activities, and general and administrative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nomlabofusp, or any other product candidates we develop. We are also unable to predict when, if ever, material net cash inflows will commence from sales of our product candidates. The duration, costs, and timing of clinical trials and development of nomlabofusp or any other product candidates we develop will depend on a variety of factors, including:</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8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 or other regulatory authorities on our clinical trial design and timing;</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1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66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(18,264 )</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(10,339 )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(7,925 )</w:t>
            </w:r>
          </w:p>
        </w:tc>
      </w:tr>
      <w:tr>
        <w:trPr>
          <w:trHeight w:val="243"/>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(6,435 )</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-505460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-505460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2024 increased $7.3 million compared to the three months ended September 30, 2023. The increase in research and development expenses was primarily driven by an increase of $3.8 million in nomlabofusp manufacturing costs including lyophilization development, production scaling costs and manufacturing costs related to producing doses to be used in ongoing and planned clinical trials, an increase of $1.1 million in personnel expense due to increased headcount, an increase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$0.9 million in assay development costs, an increase of $0.6 million in clinical costs primarily associated with the OLE study which began dosing patients in the first quarter of 2024, an increase of $0.3 million of professional fees related to consulting costs, an increase of $0.2 million in stock compensation costs associated with 2024 grants and an increase of $0.2 million in internal lab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for the three months ended September 30, 2024 increased $0.6 million compared to the three months ended September 30, 2023. The increase in general and administrative expenses was primarily driven by an increase of $0.4 million in personnel expense and an increase of $0.2 million in professional fees primarily related to consulting costs related to commercial activity and other public company related expenses.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$2.8 million income in the three months ended September 30, 2024 compared to $1.3 million income in the three months ended September 30, 2023. The increase primarily relates to interest income earned on a higher investment base.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59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29,518</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20"/>
                <w:szCs w:val="20"/>
                <w:color w:val="auto"/>
              </w:rPr>
            </w:pPr>
          </w:p>
        </w:tc>
      </w:tr>
      <w:tr>
        <w:trPr>
          <w:trHeight w:val="23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(59,597 )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(27,596 )</w:t>
            </w: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(32,001 )</w:t>
            </w:r>
          </w:p>
        </w:tc>
      </w:tr>
      <w:tr>
        <w:trPr>
          <w:trHeight w:val="243"/>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(23,956 )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(27,824 )</w:t>
            </w:r>
          </w:p>
        </w:tc>
      </w:tr>
      <w:tr>
        <w:trPr>
          <w:trHeight w:val="20"/>
        </w:trPr>
        <w:tc>
          <w:tcPr>
            <w:tcW w:w="5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-505460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-505460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2024 increased $29.5 million compared to the nine months ended September 30, 2023. The increase in research and development expenses was primarily driven by an increase of $20.2 million in nomlabofusp manufacturing costs including lyophilization development, production scaling costs and manufacturing costs related to producing doses to be used in ongoing and planned clinical trials, an increase of $3.2 million in personnel expense due to increased headcount, an increase of $2.9 million in clinical costs primarily associated with the OLE study which began dosing patients in the first quarter of 2024, an increase of $0.9 million in assay development costs, an increase of $0.8 million related to the Track-FA program discussed above, an increase of $0.5 million in stock compensation costs associated with 2024 grants, an increase of $0.5 million in internal lab costs and an increase of $0.3 million of professional fees related to consulting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2024 increased $2.5 million compared to the nine months ended September 30, 2023. The increase in general and administrative expenses was primarily driven by an increase of $1.0 million in personnel expense, an increase of $1.0 million in professional fees primarily related to consulting costs related to commercial activity and other public company related expenses, an increase of $0.3 million of other expense related to computer software, information technology services and recruiting and an increase of $0.2 million in stock compensation costs associated with 2024 grants.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was $7.8 million income in the nine months ended September 30, 2024 compared to $3.6 million income in the nine months ended September 30, 2023. The increase primarily relates to interest income earned on a higher investment base.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nomlabofusp, building our intellectual property portfolio, developing third-party manufacturing capabilities, business planning, capital raising, and providing general and administrative support for such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9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(48,945 )</w:t>
            </w:r>
          </w:p>
        </w:tc>
        <w:tc>
          <w:tcPr>
            <w:tcW w:w="44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(24,116 )</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Pr>
          <w:p>
            <w:pPr>
              <w:spacing w:after="0"/>
              <w:rPr>
                <w:sz w:val="20"/>
                <w:szCs w:val="20"/>
                <w:color w:val="auto"/>
              </w:rPr>
            </w:pP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(104,584 )</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35,982</w:t>
            </w:r>
          </w:p>
        </w:tc>
        <w:tc>
          <w:tcPr>
            <w:tcW w:w="100" w:type="dxa"/>
            <w:vAlign w:val="bottom"/>
          </w:tcPr>
          <w:p>
            <w:pPr>
              <w:spacing w:after="0"/>
              <w:rPr>
                <w:sz w:val="20"/>
                <w:szCs w:val="20"/>
                <w:color w:val="auto"/>
              </w:rPr>
            </w:pPr>
          </w:p>
        </w:tc>
      </w:tr>
      <w:tr>
        <w:trPr>
          <w:trHeight w:val="243"/>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161,847</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20" w:type="dxa"/>
            <w:vAlign w:val="bottom"/>
          </w:tcPr>
          <w:p>
            <w:pPr>
              <w:spacing w:after="0"/>
              <w:rPr>
                <w:sz w:val="20"/>
                <w:szCs w:val="20"/>
                <w:color w:val="auto"/>
              </w:rPr>
            </w:pPr>
          </w:p>
        </w:tc>
        <w:tc>
          <w:tcPr>
            <w:tcW w:w="4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$48.9 million of cash, resulting from our net loss of $51.8 million, adjusted for noncash expenses of $2.4 million and changes in our operating assets and liabilities resulting in a source of cash of $0.4 million. Our net loss was primarily attributed to research and development activities related to our nomlabofusp program and our general and administrative expenses as described above. Noncash expenses primarily relate to stock-based compensation expenses. The change in operating assets and liabilities was primarily due to an increase in accrued expenses and accounts payable driven primarily by the increase in R&amp;D activities discussed as well as an increase in prepaid expense.</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operating activities used $24.1 million of cash, resulting from our net loss of $24.0 million, adjusted for noncash expenses of $4.7 million and changes in our operating assets and liabilities resulting in a source of cash of $4.8 million. Our net loss was primarily attributed to research and development activities related to our nomlabofusp program and our general and administrative expenses as described above. Noncash expenses are primarily stock-based compensation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investing activities used $104.6 million of cash to purchase $189.2 million of marketable securities, partially offset by $85 million of cash provided by maturities of marketable securities.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investing activities provided $36.0 million of cash, including $102.3 million from maturities of marketable securities partially offset by $66.3 million in purchases of marketable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financing activities provided $161.8 million of cash flows primarily from an offering of common stock.</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financing activities provided less than $0.1 million of cash from the exercise of stock options and warrants.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9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$51.8 million and $24.0 million for the nine months ended September 30, 2024 and 2023, respectively. As of September 30, 2024, we had an accumulated deficit of $240.3 million and cash, cash equivalents and marketable securities of $203.7 million, excluding restricted cash of $1.3 million.</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nomlabofusp and our operations. We expect to incur significant expenses and operating losses for the foreseeable future as we expect to continue to incur expenses in connection with our ongoing activities, if and as we:</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nomlabofusp through additional clinical trials, including related manufacturing costs;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nomlabofusp and other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commercialization efforts and our operations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2024, we completed an underwritten public offering in which we issued and sold 19,736,842 shares of our common stock and received net proceeds of approximately $161.8 million after deducting underwriting discounts, commissions and other offering expenses. We anticipate that our current cash, cash equivalents and marketable securities will fund operations into 2026.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debt/royalty financings, collaborations, strategic alliances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strategic alliances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rising interest rates, banking instability, monetary policy changes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and/or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 if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With respect to the quarter ended September 30, 2024,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2024 which have materially affected, or are reasonably likely to materially affect, our internal control over financial reporting.</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during the nine months ended September 30, 2024,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in our 2023 Annual Report under the caption “Item 1A. Risk Factors.” The risks described in our 2023 Annual Report are not the only risks facing our company. Additional risks and uncertainties not currently known to us or that we currently deem to be immaterial also may materially adversely affect our business, financial condition or future results. There have been no material changes in our risk factors disclosed in our 2023 Annual Report and Quarterly Reports on Form 10-Q filed on May 9, 2024 and August 8,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4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34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4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2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6460" w:type="dxa"/>
            <w:vAlign w:val="bottom"/>
            <w:gridSpan w:val="5"/>
          </w:tcPr>
          <w:p>
            <w:pPr>
              <w:spacing w:after="0" w:line="20" w:lineRule="exact"/>
              <w:rPr>
                <w:sz w:val="1"/>
                <w:szCs w:val="1"/>
                <w:color w:val="auto"/>
              </w:rPr>
            </w:pPr>
          </w:p>
        </w:tc>
      </w:tr>
      <w:tr>
        <w:trPr>
          <w:trHeight w:val="39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 re embedded</w:t>
            </w:r>
          </w:p>
        </w:tc>
      </w:tr>
      <w:tr>
        <w:trPr>
          <w:trHeight w:val="234"/>
        </w:trPr>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279" w:lineRule="exact"/>
        <w:rPr>
          <w:sz w:val="20"/>
          <w:szCs w:val="20"/>
          <w:color w:val="auto"/>
        </w:rPr>
      </w:pPr>
    </w:p>
    <w:p>
      <w:pPr>
        <w:ind w:left="1300" w:hanging="1279"/>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LARIMAR THERAPEUTICS, INC.</w:t>
            </w:r>
          </w:p>
        </w:tc>
      </w:tr>
      <w:tr>
        <w:trPr>
          <w:trHeight w:val="43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30,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189"/>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Carole S. Ben-Maimon, M.D.</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30, 2024</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189"/>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Celano</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864"/>
        </w:trPr>
        <w:tc>
          <w:tcPr>
            <w:tcW w:w="3560" w:type="dxa"/>
            <w:vAlign w:val="bottom"/>
          </w:tcPr>
          <w:p>
            <w:pPr>
              <w:spacing w:after="0"/>
              <w:rPr>
                <w:sz w:val="24"/>
                <w:szCs w:val="24"/>
                <w:color w:val="auto"/>
              </w:rPr>
            </w:pPr>
          </w:p>
        </w:tc>
        <w:tc>
          <w:tcPr>
            <w:tcW w:w="2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w:t>
            </w:r>
          </w:p>
        </w:tc>
        <w:tc>
          <w:tcPr>
            <w:tcW w:w="528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77"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7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90"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1375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Celano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21" w:lineRule="exact"/>
        <w:rPr>
          <w:sz w:val="20"/>
          <w:szCs w:val="20"/>
          <w:color w:val="auto"/>
        </w:rPr>
      </w:pPr>
    </w:p>
    <w:p>
      <w:pPr>
        <w:ind w:left="1500" w:right="80" w:hanging="743"/>
        <w:spacing w:after="0" w:line="282" w:lineRule="auto"/>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2024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80" w:hanging="743"/>
        <w:spacing w:after="0" w:line="282" w:lineRule="auto"/>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20"/>
        <w:spacing w:after="0"/>
        <w:tabs>
          <w:tab w:leader="none" w:pos="62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Michael Celano</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decimal"/>
      <w:start w:val="9"/>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lvl w:ilvl="1">
      <w:lvlJc w:val="left"/>
      <w:lvlText w:val="%2"/>
      <w:numFmt w:val="decimal"/>
      <w:start w:val="104"/>
    </w:lvl>
  </w:abstractNum>
  <w:abstractNum w:abstractNumId="19">
    <w:nsid w:val="333AB105"/>
    <w:multiLevelType w:val="hybridMultilevel"/>
    <w:lvl w:ilvl="0">
      <w:lvlJc w:val="left"/>
      <w:lvlText w:val="**"/>
      <w:numFmt w:val="bullet"/>
      <w:start w:val="1"/>
    </w:lvl>
    <w:lvl w:ilvl="1">
      <w:lvlJc w:val="left"/>
      <w:lvlText w:val="%2"/>
      <w:numFmt w:val="decimal"/>
      <w:start w:val="1"/>
    </w:lvl>
  </w:abstractNum>
  <w:abstractNum w:abstractNumId="20">
    <w:nsid w:val="721DA317"/>
    <w:multiLevelType w:val="hybridMultilevel"/>
    <w:lvl w:ilvl="0">
      <w:lvlJc w:val="left"/>
      <w:lvlText w:val="%1."/>
      <w:numFmt w:val="decimal"/>
      <w:start w:val="1"/>
    </w:lvl>
    <w:lvl w:ilvl="1">
      <w:lvlJc w:val="left"/>
      <w:lvlText w:val="%2."/>
      <w:numFmt w:val="decimal"/>
      <w:start w:val="1"/>
    </w:lvl>
  </w:abstractNum>
  <w:abstractNum w:abstractNumId="21">
    <w:nsid w:val="2443A858"/>
    <w:multiLevelType w:val="hybridMultilevel"/>
    <w:lvl w:ilvl="0">
      <w:lvlJc w:val="left"/>
      <w:lvlText w:val="%1."/>
      <w:numFmt w:val="decimal"/>
      <w:start w:val="1"/>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2024-10-30T16:24:19Z</dcterms:created>
  <dcterms:modified xsi:type="dcterms:W3CDTF">2024-10-30T16:24:19Z</dcterms:modified>
</cp:coreProperties>
</file>