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0024d8k.htm"/>
      <w:bookmarkStart w:id="1" w:name="ksd78002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February 14,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Larimar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20-3857670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Bala Plaza East, Suite 506</w:t>
            </w:r>
          </w:p>
          <w:p>
            <w:pPr>
              <w:pStyle w:val="TableContents"/>
              <w:bidi w:val="0"/>
              <w:spacing w:before="0" w:after="20"/>
              <w:jc w:val="center"/>
              <w:rPr>
                <w:rFonts w:ascii="Times New Roman" w:hAnsi="Times New Roman"/>
                <w:b/>
                <w:sz w:val="20"/>
              </w:rPr>
            </w:pPr>
            <w:r>
              <w:rPr>
                <w:rFonts w:ascii="Times New Roman" w:hAnsi="Times New Roman"/>
                <w:b/>
                <w:sz w:val="20"/>
              </w:rPr>
              <w:t>Bala Cynwyd, Pennsylvania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19004</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(844) 511-9056</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4145"/>
        <w:gridCol w:w="60"/>
        <w:gridCol w:w="740"/>
        <w:gridCol w:w="60"/>
        <w:gridCol w:w="21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LRMR</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February 14, 2024, Larimar Therapeutics, Inc. (the “</w:t>
      </w:r>
      <w:r>
        <w:rPr>
          <w:rFonts w:ascii="Times New Roman" w:hAnsi="Times New Roman"/>
          <w:b/>
          <w:i/>
          <w:sz w:val="20"/>
        </w:rPr>
        <w:t>Company</w:t>
      </w:r>
      <w:r>
        <w:rPr>
          <w:rFonts w:ascii="Times New Roman" w:hAnsi="Times New Roman"/>
          <w:sz w:val="20"/>
        </w:rPr>
        <w:t>”) entered into an underwriting agreement (the “</w:t>
      </w:r>
      <w:r>
        <w:rPr>
          <w:rFonts w:ascii="Times New Roman" w:hAnsi="Times New Roman"/>
          <w:b/>
          <w:i/>
          <w:sz w:val="20"/>
        </w:rPr>
        <w:t>Underwriting Agreement</w:t>
      </w:r>
      <w:r>
        <w:rPr>
          <w:rFonts w:ascii="Times New Roman" w:hAnsi="Times New Roman"/>
          <w:sz w:val="20"/>
        </w:rPr>
        <w:t>”) with Leerink Partners LLC, Citigroup Global Markets Inc. and Guggenheim Securities, LLC, as representatives of the several underwriters named therein (the “</w:t>
      </w:r>
      <w:r>
        <w:rPr>
          <w:rFonts w:ascii="Times New Roman" w:hAnsi="Times New Roman"/>
          <w:b/>
          <w:i/>
          <w:sz w:val="20"/>
        </w:rPr>
        <w:t>Underwriters</w:t>
      </w:r>
      <w:r>
        <w:rPr>
          <w:rFonts w:ascii="Times New Roman" w:hAnsi="Times New Roman"/>
          <w:sz w:val="20"/>
        </w:rPr>
        <w:t>”), relating to an underwritten public offering (the “</w:t>
      </w:r>
      <w:r>
        <w:rPr>
          <w:rFonts w:ascii="Times New Roman" w:hAnsi="Times New Roman"/>
          <w:b/>
          <w:i/>
          <w:sz w:val="20"/>
        </w:rPr>
        <w:t>Offering</w:t>
      </w:r>
      <w:r>
        <w:rPr>
          <w:rFonts w:ascii="Times New Roman" w:hAnsi="Times New Roman"/>
          <w:sz w:val="20"/>
        </w:rPr>
        <w:t>”) of 17,162,472 shares (the “</w:t>
      </w:r>
      <w:r>
        <w:rPr>
          <w:rFonts w:ascii="Times New Roman" w:hAnsi="Times New Roman"/>
          <w:b/>
          <w:i/>
          <w:sz w:val="20"/>
        </w:rPr>
        <w:t>Shares</w:t>
      </w:r>
      <w:r>
        <w:rPr>
          <w:rFonts w:ascii="Times New Roman" w:hAnsi="Times New Roman"/>
          <w:sz w:val="20"/>
        </w:rPr>
        <w:t>”) of the common stock, par value $0.001 per share (the “</w:t>
      </w:r>
      <w:r>
        <w:rPr>
          <w:rFonts w:ascii="Times New Roman" w:hAnsi="Times New Roman"/>
          <w:b/>
          <w:i/>
          <w:sz w:val="20"/>
        </w:rPr>
        <w:t>Common Stock</w:t>
      </w:r>
      <w:r>
        <w:rPr>
          <w:rFonts w:ascii="Times New Roman" w:hAnsi="Times New Roman"/>
          <w:sz w:val="20"/>
        </w:rPr>
        <w:t>”), of the Company at a public offering price of $8.74 per share, less the underwriting discounts and commissions. Pursuant to the terms of the Underwriting Agreement, the Company granted the Underwriters an option, exercisable for 30 days following the date of the Underwriting Agreement, to purchase up to an additional 2,574,370 shares of Common Stock (the “</w:t>
      </w:r>
      <w:r>
        <w:rPr>
          <w:rFonts w:ascii="Times New Roman" w:hAnsi="Times New Roman"/>
          <w:b/>
          <w:i/>
          <w:sz w:val="20"/>
        </w:rPr>
        <w:t>Additional Shares</w:t>
      </w:r>
      <w:r>
        <w:rPr>
          <w:rFonts w:ascii="Times New Roman" w:hAnsi="Times New Roman"/>
          <w:sz w:val="20"/>
        </w:rPr>
        <w:t xml:space="preserve">”) at the same price, which the Underwriters exercised on February 14, 2024. </w:t>
      </w:r>
    </w:p>
    <w:p>
      <w:pPr>
        <w:pStyle w:val="TextBody"/>
        <w:bidi w:val="0"/>
        <w:spacing w:before="240" w:after="0"/>
        <w:jc w:val="left"/>
        <w:rPr>
          <w:rFonts w:ascii="Times New Roman" w:hAnsi="Times New Roman"/>
          <w:sz w:val="20"/>
        </w:rPr>
      </w:pPr>
      <w:r>
        <w:rPr>
          <w:rFonts w:ascii="Times New Roman" w:hAnsi="Times New Roman"/>
          <w:sz w:val="20"/>
        </w:rPr>
        <w:t xml:space="preserve">Giving effect to the sale of the Additional Shares, the net proceeds to the Company from the Offering were approximately $161.8 million, after deducting underwriting discounts and commissions and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Citigroup Global Markets Inc. and Guggenheim Securities, LLC acted as joint bookrunning managers for the Offering. The Offering closed on February 16, 2024. All of the shares of Common Stock in the Offering were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effective shelf registration statement on Form S-3 (Registration No. 333-268312), filed with the Securities and Exchange Commission on November 11, 2022 and declared effective on November 21, 2022.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is filed as Exhibit 1.1 to this Current Report on Form 8-K and is incorporated herein by reference. The foregoing description of the terms of the Underwriting Agreement is qualified in its entirety by reference to such exhibit.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and consent of Goodwin Procter LLP relating to the legality of the issuance and sale of the Shares and Additional Shares in the Offering is attached as Exhibit 5.1 to this Current Report on Form 8-K.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120" w:after="0"/>
        <w:jc w:val="left"/>
        <w:rPr>
          <w:rFonts w:ascii="Times New Roman" w:hAnsi="Times New Roman"/>
          <w:sz w:val="20"/>
        </w:rPr>
      </w:pPr>
      <w:r>
        <w:rPr>
          <w:rFonts w:ascii="Times New Roman" w:hAnsi="Times New Roman"/>
          <w:sz w:val="20"/>
        </w:rPr>
        <w:t xml:space="preserve">Below is a list of exhibits included with this Current Report on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left"/>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Document</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0024dex11.htm">
              <w:r>
                <w:rPr>
                  <w:rStyle w:val="InternetLink"/>
                </w:rPr>
                <w:t xml:space="preserve">Underwriting Agreement, dated February 14, 2024, by and among the Company, Leerink Partners LLC, Citigroup Global Markets Inc. and Guggenheim Securities, LLC, as representatives of the several underwriters named therin*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0024dex51.htm">
              <w:r>
                <w:rPr>
                  <w:rStyle w:val="InternetLink"/>
                </w:rPr>
                <w:t xml:space="preserve">Opinion of Goodwin Procter LLP*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780024dex51.htm">
              <w:r>
                <w:rPr>
                  <w:rStyle w:val="InternetLink"/>
                </w:rPr>
                <w:t xml:space="preserve">Consent of Goodwin Procter LLP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80"/>
        <w:gridCol w:w="60"/>
        <w:gridCol w:w="362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pPr>
            <w:r>
              <w:rPr/>
              <w:t>Larimar Therapeutics, Inc.</w:t>
            </w:r>
          </w:p>
        </w:tc>
      </w:tr>
      <w:tr>
        <w:trPr/>
        <w:tc>
          <w:tcPr>
            <w:tcW w:w="68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Carole S. Ben-Maimon, M.D.</w:t>
            </w:r>
          </w:p>
        </w:tc>
      </w:tr>
      <w:tr>
        <w:trPr/>
        <w:tc>
          <w:tcPr>
            <w:tcW w:w="680" w:type="dxa"/>
            <w:tcBorders/>
            <w:vAlign w:val="center"/>
          </w:tcPr>
          <w:p>
            <w:pPr>
              <w:pStyle w:val="TableContents"/>
              <w:bidi w:val="0"/>
              <w:spacing w:before="0" w:after="283"/>
              <w:jc w:val="left"/>
              <w:rPr>
                <w:i/>
              </w:rPr>
            </w:pPr>
            <w:r>
              <w:rPr>
                <w:i/>
              </w:rPr>
              <w:t>Name:</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Carole S. Ben-Maimon, M.D.</w:t>
            </w:r>
          </w:p>
        </w:tc>
      </w:tr>
      <w:tr>
        <w:trPr/>
        <w:tc>
          <w:tcPr>
            <w:tcW w:w="680" w:type="dxa"/>
            <w:tcBorders/>
            <w:vAlign w:val="center"/>
          </w:tcPr>
          <w:p>
            <w:pPr>
              <w:pStyle w:val="TableContents"/>
              <w:bidi w:val="0"/>
              <w:spacing w:before="0" w:after="283"/>
              <w:jc w:val="left"/>
              <w:rPr>
                <w:i/>
              </w:rPr>
            </w:pPr>
            <w:r>
              <w:rPr>
                <w:i/>
              </w:rPr>
              <w:t>Title:</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i/>
              </w:rPr>
            </w:pPr>
            <w:r>
              <w:rPr>
                <w:i/>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February 16, 2024 </w:t>
      </w:r>
    </w:p>
    <w:p>
      <w:pPr>
        <w:pStyle w:val="TextBody"/>
        <w:bidi w:val="0"/>
        <w:spacing w:before="0" w:after="0"/>
        <w:jc w:val="right"/>
        <w:rPr>
          <w:rFonts w:ascii="Times New Roman" w:hAnsi="Times New Roman"/>
          <w:b/>
          <w:sz w:val="20"/>
        </w:rPr>
      </w:pPr>
      <w:bookmarkStart w:id="2" w:name="d780024dex11.htm"/>
      <w:bookmarkStart w:id="3" w:name="ksd780024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17,162,472 Shares of Common Stock </w:t>
      </w:r>
    </w:p>
    <w:p>
      <w:pPr>
        <w:pStyle w:val="TextBody"/>
        <w:bidi w:val="0"/>
        <w:spacing w:before="24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14, 2024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LEERINK PARTNERS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CITIGROUP GLOBAL MARKETS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b/>
          <w:sz w:val="20"/>
        </w:rPr>
        <w:t xml:space="preserve">Introductory. </w:t>
      </w:r>
      <w:r>
        <w:rPr>
          <w:rFonts w:ascii="Times New Roman" w:hAnsi="Times New Roman"/>
          <w:sz w:val="20"/>
        </w:rPr>
        <w:t>Larimar Therapeutics, Inc., a Delaware corporation (the </w:t>
      </w:r>
      <w:r>
        <w:rPr>
          <w:rFonts w:ascii="Times New Roman" w:hAnsi="Times New Roman"/>
          <w:b/>
          <w:sz w:val="20"/>
        </w:rPr>
        <w:t>Company</w:t>
      </w:r>
      <w:r>
        <w:rPr>
          <w:rFonts w:ascii="Times New Roman" w:hAnsi="Times New Roman"/>
          <w:sz w:val="20"/>
        </w:rPr>
        <w:t xml:space="preserve">), proposes, subject to the terms and conditions stated herein, to issue and sell to the several underwriters named in </w:t>
      </w:r>
      <w:r>
        <w:rPr>
          <w:rFonts w:ascii="Times New Roman" w:hAnsi="Times New Roman"/>
          <w:sz w:val="20"/>
          <w:u w:val="single"/>
        </w:rPr>
        <w:t>Schedule A</w:t>
      </w:r>
      <w:r>
        <w:rPr>
          <w:rFonts w:ascii="Times New Roman" w:hAnsi="Times New Roman"/>
          <w:sz w:val="20"/>
        </w:rPr>
        <w:t xml:space="preserve"> (the </w:t>
      </w:r>
      <w:r>
        <w:rPr>
          <w:rFonts w:ascii="Times New Roman" w:hAnsi="Times New Roman"/>
          <w:b/>
          <w:sz w:val="20"/>
        </w:rPr>
        <w:t>Underwriters</w:t>
      </w:r>
      <w:r>
        <w:rPr>
          <w:rFonts w:ascii="Times New Roman" w:hAnsi="Times New Roman"/>
          <w:sz w:val="20"/>
        </w:rPr>
        <w:t>) an aggregate of 17,162,472 shares of its common stock, par value $0.001 per share (the </w:t>
      </w:r>
      <w:r>
        <w:rPr>
          <w:rFonts w:ascii="Times New Roman" w:hAnsi="Times New Roman"/>
          <w:b/>
          <w:sz w:val="20"/>
        </w:rPr>
        <w:t>Shares</w:t>
      </w:r>
      <w:r>
        <w:rPr>
          <w:rFonts w:ascii="Times New Roman" w:hAnsi="Times New Roman"/>
          <w:sz w:val="20"/>
        </w:rPr>
        <w:t>). The 17,162,472 Shares to be sold by the Company are called the </w:t>
      </w:r>
      <w:r>
        <w:rPr>
          <w:rFonts w:ascii="Times New Roman" w:hAnsi="Times New Roman"/>
          <w:b/>
          <w:sz w:val="20"/>
        </w:rPr>
        <w:t>Firm Shares</w:t>
      </w:r>
      <w:r>
        <w:rPr>
          <w:rFonts w:ascii="Times New Roman" w:hAnsi="Times New Roman"/>
          <w:sz w:val="20"/>
        </w:rPr>
        <w:t>. In addition, the Company has granted to the Underwriters an option to purchase up to an additional 2,574,370 Shares as provided in Section 2. The additional 2,574,370 Shares to be sold by the Company pursuant to such option are collectively called the </w:t>
      </w:r>
      <w:r>
        <w:rPr>
          <w:rFonts w:ascii="Times New Roman" w:hAnsi="Times New Roman"/>
          <w:b/>
          <w:sz w:val="20"/>
        </w:rPr>
        <w:t>Optional Shares</w:t>
      </w:r>
      <w:r>
        <w:rPr>
          <w:rFonts w:ascii="Times New Roman" w:hAnsi="Times New Roman"/>
          <w:sz w:val="20"/>
        </w:rPr>
        <w:t>. The Firm Shares and, if and to the extent such option is exercised, the Optional Shares are called the </w:t>
      </w:r>
      <w:r>
        <w:rPr>
          <w:rFonts w:ascii="Times New Roman" w:hAnsi="Times New Roman"/>
          <w:b/>
          <w:sz w:val="20"/>
        </w:rPr>
        <w:t>Offered Shares</w:t>
      </w:r>
      <w:r>
        <w:rPr>
          <w:rFonts w:ascii="Times New Roman" w:hAnsi="Times New Roman"/>
          <w:sz w:val="20"/>
        </w:rPr>
        <w:t>. Leerink Partners LLC (</w:t>
      </w:r>
      <w:r>
        <w:rPr>
          <w:rFonts w:ascii="Times New Roman" w:hAnsi="Times New Roman"/>
          <w:b/>
          <w:sz w:val="20"/>
        </w:rPr>
        <w:t>Leerink Partners</w:t>
      </w:r>
      <w:r>
        <w:rPr>
          <w:rFonts w:ascii="Times New Roman" w:hAnsi="Times New Roman"/>
          <w:sz w:val="20"/>
        </w:rPr>
        <w:t>), Citigroup Global Markets Inc. (</w:t>
      </w:r>
      <w:r>
        <w:rPr>
          <w:rFonts w:ascii="Times New Roman" w:hAnsi="Times New Roman"/>
          <w:b/>
          <w:sz w:val="20"/>
        </w:rPr>
        <w:t>Citi</w:t>
      </w:r>
      <w:r>
        <w:rPr>
          <w:rFonts w:ascii="Times New Roman" w:hAnsi="Times New Roman"/>
          <w:sz w:val="20"/>
        </w:rPr>
        <w:t>) and Guggenheim Securities, LLC (</w:t>
      </w:r>
      <w:r>
        <w:rPr>
          <w:rFonts w:ascii="Times New Roman" w:hAnsi="Times New Roman"/>
          <w:b/>
          <w:sz w:val="20"/>
        </w:rPr>
        <w:t>Guggenheim</w:t>
      </w:r>
      <w:r>
        <w:rPr>
          <w:rFonts w:ascii="Times New Roman" w:hAnsi="Times New Roman"/>
          <w:sz w:val="20"/>
        </w:rPr>
        <w:t>)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Offered Shares. To the extent there are no additional underwriters listed on </w:t>
      </w:r>
      <w:r>
        <w:rPr>
          <w:rFonts w:ascii="Times New Roman" w:hAnsi="Times New Roman"/>
          <w:sz w:val="20"/>
          <w:u w:val="single"/>
        </w:rPr>
        <w:t>Schedule A</w:t>
      </w:r>
      <w:r>
        <w:rPr>
          <w:rFonts w:ascii="Times New Roman" w:hAnsi="Times New Roman"/>
          <w:sz w:val="20"/>
        </w:rPr>
        <w:t xml:space="preserve">, the term Representatives as used herein shall mean you, as Underwriters, and the term Underwriters shall mean either the singular or the plural, as the context requires.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shelf registration statement on Form S-3, File No. 333-268312, including a base prospectus (the </w:t>
      </w:r>
      <w:r>
        <w:rPr>
          <w:rFonts w:ascii="Times New Roman" w:hAnsi="Times New Roman"/>
          <w:b/>
          <w:sz w:val="20"/>
        </w:rPr>
        <w:t>Base Prospectus</w:t>
      </w:r>
      <w:r>
        <w:rPr>
          <w:rFonts w:ascii="Times New Roman" w:hAnsi="Times New Roman"/>
          <w:sz w:val="20"/>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all documents incorporated or deemed to be incorporated by reference therein and any information deemed to be a part thereof at the time of effectiveness pursuant to Rule 430B under the Securities Act, is called the </w:t>
      </w:r>
      <w:r>
        <w:rPr>
          <w:rFonts w:ascii="Times New Roman" w:hAnsi="Times New Roman"/>
          <w:b/>
          <w:sz w:val="20"/>
        </w:rPr>
        <w:t>Registration Statement</w:t>
      </w:r>
      <w:r>
        <w:rPr>
          <w:rFonts w:ascii="Times New Roman" w:hAnsi="Times New Roman"/>
          <w:sz w:val="20"/>
        </w:rPr>
        <w:t xml:space="preserve">. Any registration statement filed by the Company pursuant to Rule 462(b)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 the Securities Act in connection with the offer and sale of the Offered Shares is called the </w:t>
      </w:r>
      <w:r>
        <w:rPr>
          <w:rFonts w:ascii="Times New Roman" w:hAnsi="Times New Roman"/>
          <w:b/>
          <w:sz w:val="20"/>
        </w:rPr>
        <w:t>Rule 462(b) Registration Statement</w:t>
      </w:r>
      <w:r>
        <w:rPr>
          <w:rFonts w:ascii="Times New Roman" w:hAnsi="Times New Roman"/>
          <w:sz w:val="20"/>
        </w:rPr>
        <w:t>, and from and after the date and time of filing of any such Rule 462(b) Registration Statement the term Registration Statement shall include the Rule 462(b) Registration Statement. The preliminary prospectus supplement, dated February 13, 2024, describing the Offered Shares and the offering thereof (the </w:t>
      </w:r>
      <w:r>
        <w:rPr>
          <w:rFonts w:ascii="Times New Roman" w:hAnsi="Times New Roman"/>
          <w:b/>
          <w:sz w:val="20"/>
        </w:rPr>
        <w:t>Preliminary Prospectus Supplement</w:t>
      </w:r>
      <w:r>
        <w:rPr>
          <w:rFonts w:ascii="Times New Roman" w:hAnsi="Times New Roman"/>
          <w:sz w:val="20"/>
        </w:rPr>
        <w:t>), together with the Base Prospectus, is called the </w:t>
      </w:r>
      <w:r>
        <w:rPr>
          <w:rFonts w:ascii="Times New Roman" w:hAnsi="Times New Roman"/>
          <w:b/>
          <w:sz w:val="20"/>
        </w:rPr>
        <w:t>Preliminary Prospectus</w:t>
      </w:r>
      <w:r>
        <w:rPr>
          <w:rFonts w:ascii="Times New Roman" w:hAnsi="Times New Roman"/>
          <w:sz w:val="20"/>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 w:hAnsi="Times New Roman"/>
          <w:b/>
          <w:sz w:val="20"/>
        </w:rPr>
        <w:t>preliminary prospectus</w:t>
      </w:r>
      <w:r>
        <w:rPr>
          <w:rFonts w:ascii="Times New Roman" w:hAnsi="Times New Roman"/>
          <w:sz w:val="20"/>
        </w:rPr>
        <w:t>. As used herein, the term </w:t>
      </w:r>
      <w:r>
        <w:rPr>
          <w:rFonts w:ascii="Times New Roman" w:hAnsi="Times New Roman"/>
          <w:b/>
          <w:sz w:val="20"/>
        </w:rPr>
        <w:t>Prospectus</w:t>
      </w:r>
      <w:r>
        <w:rPr>
          <w:rFonts w:ascii="Times New Roman" w:hAnsi="Times New Roman"/>
          <w:sz w:val="20"/>
        </w:rPr>
        <w:t> shall mean the final prospectus supplement to the Base Prospectus that describes the Offered Shares and the offering thereof (the </w:t>
      </w:r>
      <w:r>
        <w:rPr>
          <w:rFonts w:ascii="Times New Roman" w:hAnsi="Times New Roman"/>
          <w:b/>
          <w:sz w:val="20"/>
        </w:rPr>
        <w:t>Final Prospectus Supplement</w:t>
      </w:r>
      <w:r>
        <w:rPr>
          <w:rFonts w:ascii="Times New Roman" w:hAnsi="Times New Roman"/>
          <w:sz w:val="20"/>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 w:hAnsi="Times New Roman"/>
          <w:b/>
          <w:sz w:val="20"/>
        </w:rPr>
        <w:t>Applicable Time</w:t>
      </w:r>
      <w:r>
        <w:rPr>
          <w:rFonts w:ascii="Times New Roman" w:hAnsi="Times New Roman"/>
          <w:sz w:val="20"/>
        </w:rPr>
        <w:t> is 6:30 a.m., New York City time, on February 14, 2024. As used herein, </w:t>
      </w:r>
      <w:r>
        <w:rPr>
          <w:rFonts w:ascii="Times New Roman" w:hAnsi="Times New Roman"/>
          <w:b/>
          <w:sz w:val="20"/>
        </w:rPr>
        <w:t>free writing prospectus</w:t>
      </w:r>
      <w:r>
        <w:rPr>
          <w:rFonts w:ascii="Times New Roman" w:hAnsi="Times New Roman"/>
          <w:sz w:val="20"/>
        </w:rPr>
        <w:t> has the meaning set forth in Rule 405 under the Securities Act, and </w:t>
      </w:r>
      <w:r>
        <w:rPr>
          <w:rFonts w:ascii="Times New Roman" w:hAnsi="Times New Roman"/>
          <w:b/>
          <w:sz w:val="20"/>
        </w:rPr>
        <w:t>Time of Sale Prospectus</w:t>
      </w:r>
      <w:r>
        <w:rPr>
          <w:rFonts w:ascii="Times New Roman" w:hAnsi="Times New Roman"/>
          <w:sz w:val="20"/>
        </w:rPr>
        <w:t xml:space="preserve"> means the Preliminary Prospectus, as amended or supplemented immediately prior to the Applicable Time, together with the free writing prospectuses, if any, identified in </w:t>
      </w:r>
      <w:r>
        <w:rPr>
          <w:rFonts w:ascii="Times New Roman" w:hAnsi="Times New Roman"/>
          <w:sz w:val="20"/>
          <w:u w:val="single"/>
        </w:rPr>
        <w:t>Schedule B</w:t>
      </w:r>
      <w:r>
        <w:rPr>
          <w:rFonts w:ascii="Times New Roman" w:hAnsi="Times New Roman"/>
          <w:sz w:val="20"/>
        </w:rPr>
        <w:t xml:space="preserve"> hereto. As used herein, </w:t>
      </w:r>
      <w:r>
        <w:rPr>
          <w:rFonts w:ascii="Times New Roman" w:hAnsi="Times New Roman"/>
          <w:b/>
          <w:sz w:val="20"/>
        </w:rPr>
        <w:t>Road Show</w:t>
      </w:r>
      <w:r>
        <w:rPr>
          <w:rFonts w:ascii="Times New Roman" w:hAnsi="Times New Roman"/>
          <w:sz w:val="20"/>
        </w:rPr>
        <w:t xml:space="preserve"> means a road show (as defined in Rule 433 under the Securities Act) relating to the offering of the Offered Shares contemplated hereby that is a written communication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and (ii) the Prospectus shall be deemed to include any electronic Prospectus provided for use in connection with the offering of the Offered Shares as contemplated by Section 3(n)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has only one subsidiary, then all references herein to subsidiaries of the Company shall be deemed to refer to such single subsidiary,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w:t>
      </w:r>
      <w:r>
        <w:rPr>
          <w:rFonts w:ascii="Times New Roman" w:hAnsi="Times New Roman"/>
          <w:b/>
          <w:sz w:val="20"/>
        </w:rPr>
        <w:t xml:space="preserve">of the Company. </w:t>
      </w:r>
      <w:r>
        <w:rPr>
          <w:rFonts w:ascii="Times New Roman" w:hAnsi="Times New Roman"/>
          <w:sz w:val="20"/>
        </w:rPr>
        <w:t xml:space="preserve">The Company hereby represents, warrants and covenants to each Underwriter, as of the date of this Agreement, as of the First Closing Date (as hereinafter defined) and as of each Option Closing Date (as hereinafter defined), if any, as follows: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Effectiveness of Registration Statement.</w:t>
      </w:r>
      <w:r>
        <w:rPr>
          <w:rFonts w:ascii="Times New Roman" w:hAnsi="Times New Roman"/>
          <w:sz w:val="20"/>
        </w:rPr>
        <w:t xml:space="preserve"> The Registration Statement has been declared effective by the Commission under the Securities Act. The Company has complied, to the Commissions satisfaction, with all requests of the Commission for additional or supplemental information, if any. No stop order suspending the effectiveness of either Registration Statement is in effect and no proceedings for such purpose have been instituted or are pending or, to the Companys knowledge, are contemplated or threatened by the Commission. At the time the Registration Statement was originally filed with the Commission, the Company met the then-applicable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Compliance with Registration Requirements.</w:t>
      </w:r>
      <w:r>
        <w:rPr>
          <w:rFonts w:ascii="Times New Roman" w:hAnsi="Times New Roman"/>
          <w:sz w:val="20"/>
        </w:rPr>
        <w:t xml:space="preserve"> Each of the Registration Statement, any Rule 462(b) Registration Statement and any post-effective amendment thereto, as of the applicable Effective Date, complied and, until such time as the Underwriters are no longer required to deliver a Prospectus in order to confirm sales of the Shares, will comply in all material respects with the Securities Act and the rules and regulations of the Commission thereunder (the </w:t>
      </w:r>
      <w:r>
        <w:rPr>
          <w:rFonts w:ascii="Times New Roman" w:hAnsi="Times New Roman"/>
          <w:b/>
          <w:sz w:val="20"/>
        </w:rPr>
        <w:t>Rules and Regulations</w:t>
      </w:r>
      <w:r>
        <w:rPr>
          <w:rFonts w:ascii="Times New Roman" w:hAnsi="Times New Roman"/>
          <w:sz w:val="20"/>
        </w:rPr>
        <w:t xml:space="preserve">). The Preliminary Prospectus and the Prospectus, at the time each was filed with the Commission, complied in all material respects with the requirements of the Securities Act and the Rules and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 xml:space="preserve">Registration Statement Disclosure. </w:t>
      </w:r>
      <w:r>
        <w:rPr>
          <w:rFonts w:ascii="Times New Roman" w:hAnsi="Times New Roman"/>
          <w:sz w:val="20"/>
        </w:rPr>
        <w:t xml:space="preserve">The Registration Statement, when it became effective, did not and, as amended or supplemented, if applicable, will not (i) contain, as of the date of such amendment or supplement, an untrue statement of a material fact, or (ii) omit to state a material fact required to be stated therein or necessary to make the statements therein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information contained in or omitted from the Registration Statement or any amendment thereto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 Each forward-looking statement (within the meaning of Section 27A of the Securities Act or Section 21E of the Exchange Act) contained or incorporated by reference in the Registration Statement, the Preliminary Prospectus or the Prospectus has been made or reaffirmed with a reasonable basis and has been disclosed in good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Prospectus Disclosure.</w:t>
      </w:r>
      <w:r>
        <w:rPr>
          <w:rFonts w:ascii="Times New Roman" w:hAnsi="Times New Roman"/>
          <w:sz w:val="20"/>
        </w:rPr>
        <w:t xml:space="preserve"> The Time of Sale Prospectus, as of the Applicable Time, did not contain an untrue statement of a material fact or omit to state a material fact necessary in order to make the statements therein, in the light of the circumstances under which they were made, not misleading. The Prospectus will not, as of its date, as of the First Closing Date or as of any Option Closing Date, contain an untrue statement of a material fact or omit to state a material fact necessary in order to make the statements therein, in the light of the circumstances under which they were made, not misleading. Each free writing prospectus (i) complies in all material respects with the applicable provisions of the Securities Act and the Rules and Regulations, (ii) does not conflict with the information contained in the Registration Statement, the Time of Sale Prospectus or the Prospectus and (iii) does not contain an untrue statement of a material fact or omit to state a material fact necessary in order to make the statements therein, in the light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circumstances in which they were made, not misleading. No representation and warranty is made in this Section 1(d) with respect to any information contained in or omitted from the Time of Sale Prospectus or the Prospectus in reliance upon and in conformity with information furnished in writing to the Company by or on behalf of any Underwriter through the Representative specifically for use therein. The parties hereto agree that such information provided by or on behalf of any Underwriter through the Representative consists solely of the material referred to in Section 9(b) hereof.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Ineligible Issuer.</w:t>
      </w:r>
      <w:r>
        <w:rPr>
          <w:rFonts w:ascii="Times New Roman" w:hAnsi="Times New Roman"/>
          <w:sz w:val="20"/>
        </w:rPr>
        <w:t xml:space="preserve"> At the earliest time (i) after the filing of the Registration Statement that the Company or another offering participant made a bona fide offer (within the meaning of Rule 164(h)(2) of the Securities Act) of the Shares and (ii) at the date hereof, the Company was not and is not an ineligible issuer, as defined in Rule 405 of the Securities Act, including (but not limited to) the Company or any subsidiary in the preceding three years not having been convicted of a felony or misdemeanor or having been made the subject of a judicial or administrative decree or order as described in Rule 405 of the Securities Act.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 xml:space="preserve">Free Writing Prospectuses. </w:t>
      </w:r>
      <w:r>
        <w:rPr>
          <w:rFonts w:ascii="Times New Roman" w:hAnsi="Times New Roman"/>
          <w:sz w:val="20"/>
        </w:rPr>
        <w:t xml:space="preserve">Each free writing prospectus conformed or will conform in all material respects to the requirements of the Securities Act and the Rules and Regulations on the date of first use, and the Company has complied with the requirements of Rule 433 under the Securities Act with respect to each free writing prospectus including, without limitation, all prospectus delivery, filing, record retention and legending requirements applicable to any such free writing prospectus. The Company has not (i) distributed any offering material in connection with the Offering other than any Preliminary Prospectus, the Prospectus, and any free writing prospectus set forth on </w:t>
      </w:r>
      <w:r>
        <w:rPr>
          <w:rFonts w:ascii="Times New Roman" w:hAnsi="Times New Roman"/>
          <w:sz w:val="20"/>
          <w:u w:val="single"/>
        </w:rPr>
        <w:t>Schedule B</w:t>
      </w:r>
      <w:r>
        <w:rPr>
          <w:rFonts w:ascii="Times New Roman" w:hAnsi="Times New Roman"/>
          <w:sz w:val="20"/>
        </w:rPr>
        <w:t xml:space="preserve"> hereto, or (ii) filed, referred to, approved, used or authorized the use of any free writing prospectus as defined in Rule 405 under the Securities Act with respect to the Offering or the Shares, except for any free writing prospectus set forth in </w:t>
      </w:r>
      <w:r>
        <w:rPr>
          <w:rFonts w:ascii="Times New Roman" w:hAnsi="Times New Roman"/>
          <w:sz w:val="20"/>
          <w:u w:val="single"/>
        </w:rPr>
        <w:t>Schedule B</w:t>
      </w:r>
      <w:r>
        <w:rPr>
          <w:rFonts w:ascii="Times New Roman" w:hAnsi="Times New Roman"/>
          <w:sz w:val="20"/>
        </w:rPr>
        <w:t xml:space="preserve"> hereto and any electronic Road Show previously approved by the Representative. The Company has retained in accordance with the Securities Act and the Rules and Regulations all free writing prospectuses that were not required to be filed pursuant to the Securities Act and the Rules and Regulations.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 xml:space="preserve">Independent Accountants. </w:t>
      </w:r>
      <w:r>
        <w:rPr>
          <w:rFonts w:ascii="Times New Roman" w:hAnsi="Times New Roman"/>
          <w:sz w:val="20"/>
        </w:rPr>
        <w:t>PricewaterhouseCoopers LLP, which has expressed its opinion with respect to the financial statements (which term as used in this Agreement includes the related notes thereto) filed with the Commission as a part of the Registration Statement, the Time of Sale Prospectus or the Prospectus, is an independent registered public accounting firm as required by the Securities Act, the Exchange Act, and the rules of the Public Company Accounting Oversight Board (</w:t>
      </w:r>
      <w:r>
        <w:rPr>
          <w:rFonts w:ascii="Times New Roman" w:hAnsi="Times New Roman"/>
          <w:b/>
          <w:sz w:val="20"/>
        </w:rPr>
        <w:t>PCAOB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 xml:space="preserve">No Material Adverse Effect. </w:t>
      </w:r>
      <w:r>
        <w:rPr>
          <w:rFonts w:ascii="Times New Roman" w:hAnsi="Times New Roman"/>
          <w:sz w:val="20"/>
        </w:rPr>
        <w:t xml:space="preserve">Since the date of the latest audited financial statements included in the Registration Statement, the Time of Sale Prospectus and the Prospectus, and, except as disclosed in the Registration Statement, the Time of Sale Prospectus and the Prospectus, (A) neither the Company nor any of its subsidiaries listed in </w:t>
      </w:r>
      <w:r>
        <w:rPr>
          <w:rFonts w:ascii="Times New Roman" w:hAnsi="Times New Roman"/>
          <w:sz w:val="20"/>
          <w:u w:val="single"/>
        </w:rPr>
        <w:t>Exhibit A</w:t>
      </w:r>
      <w:r>
        <w:rPr>
          <w:rFonts w:ascii="Times New Roman" w:hAnsi="Times New Roman"/>
          <w:sz w:val="20"/>
        </w:rPr>
        <w:t xml:space="preserve"> hereto (</w:t>
      </w:r>
      <w:r>
        <w:rPr>
          <w:rFonts w:ascii="Times New Roman" w:hAnsi="Times New Roman"/>
          <w:b/>
          <w:sz w:val="20"/>
        </w:rPr>
        <w:t>Subsidiaries</w:t>
      </w:r>
      <w:r>
        <w:rPr>
          <w:rFonts w:ascii="Times New Roman" w:hAnsi="Times New Roman"/>
          <w:sz w:val="20"/>
        </w:rPr>
        <w:t xml:space="preserve">)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the Time of Sale Prospectus and the Prospectus),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(B) there has not been any change in the share capital, long-term debt, net current assets or short-term debt of the Company or any of its Subsidiaries or any adverse change, or any development involving a prospective adverse change, in or affecting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(financial or otherwise), results of operations, shareholders equity, properties, management, business or prospects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 xml:space="preserve">Capitalization and Other Capital Stock Matters. </w:t>
      </w:r>
      <w:r>
        <w:rPr>
          <w:rFonts w:ascii="Times New Roman" w:hAnsi="Times New Roman"/>
          <w:sz w:val="20"/>
        </w:rPr>
        <w:t>The Company has an authorized capitalization as set forth in the Registration Statement, Time of Sale Prospectus and the Prospectus, and all of the issued shares of the Company have been duly authorized and validly issued, are fully paid and non-assessable, conform in all material respects to the description thereof contained in the Registration Statement, the Time of Sale Prospectus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the Time of Sale Prospectus and the Prospectus. All of the issued shares of capital stock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 </w:t>
      </w:r>
      <w:r>
        <w:rPr>
          <w:rFonts w:ascii="Times New Roman" w:hAnsi="Times New Roman"/>
          <w:b/>
          <w:sz w:val="20"/>
        </w:rPr>
        <w:t>Material Adverse Effect</w:t>
      </w:r>
      <w:r>
        <w:rPr>
          <w:rFonts w:ascii="Times New Roman" w:hAnsi="Times New Roman"/>
          <w:sz w:val="20"/>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Subsidiaries taken as a whole, or (ii) the ability of the Company to perform its obligations under this Agreement, including this issuance and sale of the Shares, or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 xml:space="preserve">Authorization of the Offered Shares. </w:t>
      </w:r>
      <w:r>
        <w:rPr>
          <w:rFonts w:ascii="Times New Roman" w:hAnsi="Times New Roman"/>
          <w:sz w:val="20"/>
        </w:rPr>
        <w:t xml:space="preserve">The Shares to be delivered on the First Closing Date and any Option Closing Date, if any, have been duly authorized and, when issued and delivered in accordance with this Agreement, will be validly issued, fully paid and non-assessable, will conform in all material respects to the description thereof contained in the Registration Statement, the Time of Sale Prospectus and the Prospectus, will be issued in compliance with federal and state securities laws and will be free of statutory and contractual preemptive rights, rights of first refusal and similar rights.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 xml:space="preserve">Incorporation and Good Standing of the Company and Subsidiaries. </w:t>
      </w:r>
      <w:r>
        <w:rPr>
          <w:rFonts w:ascii="Times New Roman" w:hAnsi="Times New Roman"/>
          <w:sz w:val="20"/>
        </w:rPr>
        <w:t xml:space="preserve">The Company and each of its Subsidiaries have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Prospectus and the Prospectus, except where the failure to be so qualified or in good standing or have such power or authority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 xml:space="preserve">Non-Contravention of Existing Instruments. </w:t>
      </w:r>
      <w:r>
        <w:rPr>
          <w:rFonts w:ascii="Times New Roman" w:hAnsi="Times New Roman"/>
          <w:sz w:val="20"/>
        </w:rPr>
        <w:t xml:space="preserve">The issue and sale of the Shares, the execution, delivery and performance of this Agreement by the Company, the consummation of the transactions contemplated hereby and the application of the proceeds from the sale of the Shares as described under Use of Proceeds in the Registration Statement, the Time of Sale Prospectus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 xml:space="preserve">Government Consents. </w:t>
      </w:r>
      <w:r>
        <w:rPr>
          <w:rFonts w:ascii="Times New Roman" w:hAnsi="Times New Roman"/>
          <w:sz w:val="20"/>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the Time of Sale Prospectus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hAnsi="Times New Roman"/>
          <w:b/>
          <w:sz w:val="20"/>
        </w:rPr>
        <w:t>FINRA</w:t>
      </w:r>
      <w:r>
        <w:rPr>
          <w:rFonts w:ascii="Times New Roman" w:hAnsi="Times New Roman"/>
          <w:sz w:val="20"/>
        </w:rPr>
        <w:t>) in connection with the sale of the Shares by the Underwriters; and (iii) the inclusion of the Shares on The Nasdaq Global Market (</w:t>
      </w:r>
      <w:r>
        <w:rPr>
          <w:rFonts w:ascii="Times New Roman" w:hAnsi="Times New Roman"/>
          <w:b/>
          <w:sz w:val="20"/>
        </w:rPr>
        <w:t>Nasdaq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 xml:space="preserve">Corporate Power. </w:t>
      </w:r>
      <w:r>
        <w:rPr>
          <w:rFonts w:ascii="Times New Roman" w:hAnsi="Times New Roman"/>
          <w:sz w:val="20"/>
        </w:rPr>
        <w:t xml:space="preserve">The Company has all requisite corporate power and authority to execute, deliver and perform its obligations under this Agreement. This Agreement has been duly and validly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 xml:space="preserve">Corporate Documents. </w:t>
      </w:r>
      <w:r>
        <w:rPr>
          <w:rFonts w:ascii="Times New Roman" w:hAnsi="Times New Roman"/>
          <w:sz w:val="20"/>
        </w:rPr>
        <w:t xml:space="preserve">Neither the Company nor any of its Subsidiaries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 xml:space="preserve">No Material Actions or Proceedings. </w:t>
      </w:r>
      <w:r>
        <w:rPr>
          <w:rFonts w:ascii="Times New Roman" w:hAnsi="Times New Roman"/>
          <w:sz w:val="20"/>
        </w:rPr>
        <w:t xml:space="preserve">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and to the Companys knowledge, no such proceedings are threatened in writing by governmental authorities or others.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 xml:space="preserve">Financial Statements. </w:t>
      </w:r>
      <w:r>
        <w:rPr>
          <w:rFonts w:ascii="Times New Roman" w:hAnsi="Times New Roman"/>
          <w:sz w:val="20"/>
        </w:rPr>
        <w:t>The historical financial statements (including the related notes and supporting schedules) included or incorporated by reference, in the Registration Statement, the Time of Sale Prospectus, and the Prospectus comply as to form in all material respects with the requirements of Regulation S-X under the Securities Act (</w:t>
      </w:r>
      <w:r>
        <w:rPr>
          <w:rFonts w:ascii="Times New Roman" w:hAnsi="Times New Roman"/>
          <w:b/>
          <w:sz w:val="20"/>
        </w:rPr>
        <w:t>Regulation S-X</w:t>
      </w:r>
      <w:r>
        <w:rPr>
          <w:rFonts w:ascii="Times New Roman" w:hAnsi="Times New Roman"/>
          <w:sz w:val="20"/>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throughout the periods involved (except (i) as may be otherwise indicated in such financial statements or the notes thereto, or (ii) in the case of unaudited interim statements, to the extent they may exclude footnotes and are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normal and recurring year-end adjustments that are not reasonably expected to be material in amount). All disclosures contained in the Registration Statement, the Time of Sale Prospectus and Prospectus regarding non-GAAP financial measures (as such term is defined by the rules and regulations of the Commission) comply with Regulation G of the Exchange Act and Item 10 of Regulation S-K of the Securities Act, to the extent applicable. There are no financial statements (historical or pro forma) that are required to be included in the Registration Statement, the Time of Sale Prospectus or the Prospectus that are not so included as required. The interactive data in eXtensible Business Reporting Language included or incorporated by reference in the Registration Statement, the Time of Sale Prospectus and the Prospectus fairly present the information called for in all material respects and have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 xml:space="preserve">Material Contracts. </w:t>
      </w:r>
      <w:r>
        <w:rPr>
          <w:rFonts w:ascii="Times New Roman" w:hAnsi="Times New Roman"/>
          <w:sz w:val="20"/>
        </w:rPr>
        <w:t xml:space="preserve">There are no contracts or other documents required to be described in the Registration Statement, the Time of Sale Prospectus or the Prospectus or to be filed as exhibits to the Registration Statement that are not described and filed as required. The statements made in the Registration Statement, the Time of Sale Prospectus and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 xml:space="preserve">Internal Controls Over Financial Reporting. </w:t>
      </w:r>
      <w:r>
        <w:rPr>
          <w:rFonts w:ascii="Times New Roman" w:hAnsi="Times New Roman"/>
          <w:sz w:val="20"/>
        </w:rPr>
        <w:t>The Company and each of its Subsidiaries maintain a system of internal controls over financial reporting (as defined in Rule 13a-15(f) of the Exchange Act) designed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 the information called for in all material respects and are prepared in accordance with the Commissions rules and guidelines applicable thereto. As of the date of the most recent balance sheet of the Company and its consolidated Subsidiaries audited by PricewaterhouseCoopers LLP, there were no material weaknesses (as defined by the PCAOB) in the Companys internal controls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hAnsi="Times New Roman"/>
          <w:b/>
          <w:sz w:val="20"/>
        </w:rPr>
        <w:t>Exchange Rules</w:t>
      </w:r>
      <w:r>
        <w:rPr>
          <w:rFonts w:ascii="Times New Roman" w:hAnsi="Times New Roman"/>
          <w:sz w:val="20"/>
        </w:rPr>
        <w:t xml:space="preserve">),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 xml:space="preserve">Disclosure Controls and Procedures. </w:t>
      </w:r>
      <w:r>
        <w:rPr>
          <w:rFonts w:ascii="Times New Roman" w:hAnsi="Times New Roman"/>
          <w:sz w:val="20"/>
        </w:rPr>
        <w:t xml:space="preserve">The Company and its Subsidiaries 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 xml:space="preserve">Critical Accounting Policies. </w:t>
      </w:r>
      <w:r>
        <w:rPr>
          <w:rFonts w:ascii="Times New Roman" w:hAnsi="Times New Roman"/>
          <w:sz w:val="20"/>
        </w:rPr>
        <w:t>The section entitled Critical Accounting Policies and Significant Judgments and Estimates incorporated by reference in the Registration Statement, the Time of Sale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hAnsi="Times New Roman"/>
          <w:b/>
          <w:sz w:val="20"/>
        </w:rPr>
        <w:t>Critical Accounting Policies</w:t>
      </w:r>
      <w:r>
        <w:rPr>
          <w:rFonts w:ascii="Times New Roman" w:hAnsi="Times New Roman"/>
          <w:sz w:val="20"/>
        </w:rPr>
        <w:t xml:space="preserve">); (ii) the judgments and uncertainties affecting the application of Critical Accounting Policies; and (iii) the likelihood that materially different amounts would be reported under different conditions or using different assumptions, and an explanation thereof.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Compliance with Sarbanes Oxley Act</w:t>
      </w:r>
      <w:r>
        <w:rPr>
          <w:rFonts w:ascii="Times New Roman" w:hAnsi="Times New Roman"/>
          <w:sz w:val="20"/>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hAnsi="Times New Roman"/>
          <w:b/>
          <w:sz w:val="20"/>
        </w:rPr>
        <w:t>Sarbanes Oxley Act</w:t>
      </w:r>
      <w:r>
        <w:rPr>
          <w:rFonts w:ascii="Times New Roman" w:hAnsi="Times New Roman"/>
          <w:sz w:val="20"/>
        </w:rPr>
        <w:t xml:space="preserve">) that are applicable to the Company or its directors or officers in their capacities as directors or officers of the Company.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 xml:space="preserve">Registration. </w:t>
      </w:r>
      <w:r>
        <w:rPr>
          <w:rFonts w:ascii="Times New Roman" w:hAnsi="Times New Roman"/>
          <w:sz w:val="20"/>
        </w:rPr>
        <w:t xml:space="preserve">The shares of Common Stock are registered pursuant to Section 12(b) of the Exchange Act and listed on Nasdaq;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 xml:space="preserve">Related-Party Transactions. </w:t>
      </w:r>
      <w:r>
        <w:rPr>
          <w:rFonts w:ascii="Times New Roman" w:hAnsi="Times New Roman"/>
          <w:sz w:val="20"/>
        </w:rPr>
        <w:t xml:space="preserve">No relationship, direct or indirect, exists between or among the Company, on the one hand, and the directors, officers, shareholders, customers or suppliers of the Company, on the other hand, that is required to be described in the Registration Statement, the Time of Sale Prospectus or the Prospectus which is not so described.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 xml:space="preserve">No Price Stabilization or Manipulation; Compliance with Regulation M. </w:t>
      </w:r>
      <w:r>
        <w:rPr>
          <w:rFonts w:ascii="Times New Roman" w:hAnsi="Times New Roman"/>
          <w:sz w:val="20"/>
        </w:rPr>
        <w:t xml:space="preserve">The Company has not taken and will not take, directly or indirectly, any action designed to, or which might reasonably be expected to cause or result in, or which constitutes: (i) the stabilization or manipulation of the price of the Common Stock or any other security of the Company to facilitate the sale or resale of the Shares or (ii) a violation of Regulation M.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 xml:space="preserve">No Integration. </w:t>
      </w:r>
      <w:r>
        <w:rPr>
          <w:rFonts w:ascii="Times New Roman" w:hAnsi="Times New Roman"/>
          <w:sz w:val="20"/>
        </w:rPr>
        <w:t xml:space="preserve">The Company has not sold or issued any securities that would be integrated with the offering and sale of the Shares contemplated by this Agreement pursuant to the Securities Act or the interpretations thereof by the Commission.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 xml:space="preserve">FINRA Matters. </w:t>
      </w:r>
      <w:r>
        <w:rPr>
          <w:rFonts w:ascii="Times New Roman" w:hAnsi="Times New Roman"/>
          <w:sz w:val="20"/>
        </w:rPr>
        <w:t xml:space="preserve">All of the information provided to the Underwriters or to counsel for the Underwriters by the Company and, to the Companys knowledge, its officers, directors and the holders of any securities (debt or equity) or options to acquire any securities of the Company in connection with the offering of the Shares is true, complete and correct in all material respects and compliant with FINRA rules and, to the Companys knowledge, any letters, filings or other supplemental information provided to FINRA pursuant to FINRA Rules or NASD Conduct Rules is true, complete and correct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 xml:space="preserve">Accuracy of Description of Capital Stock, Risk Factors and Underwriting Disclosure. </w:t>
      </w:r>
      <w:r>
        <w:rPr>
          <w:rFonts w:ascii="Times New Roman" w:hAnsi="Times New Roman"/>
          <w:sz w:val="20"/>
        </w:rPr>
        <w:t xml:space="preserve">The statements set forth in the Time of Sale Prospectus and the Prospectus under the caption Description of Capital Stock, insofar as it purports to constitute a summary of the terms of the Common Stock, and under the captions Risk Factors and Underwriting, insofar as they purport to describe the provisions of the laws and documents referred to therein, are accurate and complete in all material respects.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 xml:space="preserve">Company Not an Investment Company. </w:t>
      </w:r>
      <w:r>
        <w:rPr>
          <w:rFonts w:ascii="Times New Roman" w:hAnsi="Times New Roman"/>
          <w:sz w:val="20"/>
        </w:rPr>
        <w:t xml:space="preserve">The Company is not and, at all times up to and including consummation of the transactions contemplated by this Agreement, and after giving effect to application of the net proceeds of the Offering as described in the Time of Sale Prospectus and the Prospectus, will not be, required to register as an investment company under the Investment Company Act of 1940, as amended, and is not and will not be an entity controlled by an investment company within the meaning of such act.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 xml:space="preserve">Brokers. </w:t>
      </w:r>
      <w:r>
        <w:rPr>
          <w:rFonts w:ascii="Times New Roman" w:hAnsi="Times New Roman"/>
          <w:sz w:val="20"/>
        </w:rPr>
        <w:t xml:space="preserve">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 xml:space="preserve">Title to Property. </w:t>
      </w:r>
      <w:r>
        <w:rPr>
          <w:rFonts w:ascii="Times New Roman" w:hAnsi="Times New Roman"/>
          <w:sz w:val="20"/>
        </w:rPr>
        <w:t xml:space="preserve">The Company and each of its Subsidiaries have good and marketable title in fee simple to all real property and good 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Subsidiaries. All assets held under lease by the Company and its Subsidiaries, that are material to the business of the Company, are held by them under valid, subsisting and enforceable leases, with such exceptions as do not materially interfere with the use made and proposed to be made of such assets by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 xml:space="preserve">Intellectual Property Rights. </w:t>
      </w:r>
      <w:r>
        <w:rPr>
          <w:rFonts w:ascii="Times New Roman" w:hAnsi="Times New Roman"/>
          <w:sz w:val="20"/>
        </w:rPr>
        <w:t xml:space="preserve">The Company and each of its Subsidiaries owns, possesses, or can acquire on reasonable terms, all Intellectual Property necessary for the conduct of the Companys and its Subsidiaries business as now conducted or as proposed to be conducted, as described in the Registration Statement, the Time of Sale Prospectus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any of its Subsidiaries rights in or to any such Intellectual Property, and the Company is unaware of any facts which would form a reasonable basis for any such claim; (C) the Intellectual Property owned by the Company and its Subsidiaries, and to the knowledge of the Company, the Intellectual Property licensed to the Company and its Subsidiaries, in each case that is necessary for the conduct of the Companys and its Subsidiaries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and the Company is unaware of any other fact which would form a reasonable basis for any such claim; (E) to the Companys knowledge, no employee of the Company or any of its Subsidiaries is in or has ever been in material violation of any employment contract, patent disclosure agreement, invention assignment agreement, non-competition agreement, non-solicitation agreement, nondisclosure agreement or any restrictive covenant to or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former employer where the basis of such violation relates to such employees employment with the Company nor any of its Subsidiaries or actions undertaken by the employee while employed with the Company or any of its Subsidiaries; (F) with respect to the Intellectual Property that is necessary for the conduct of the Companys and its Subsidiaries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Subsidiaries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its Subsidiaries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 subsidiaries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Intellectual Property shall mean all patents, patent applications, trade and service marks, trade and service mark registrations, trade names, copyrights, licenses, inventions, trade secrets, domain names, technology, know-how and other intellectual property in the United States and foreign jurisdictions.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 xml:space="preserve">All Necessary Permits, etc. </w:t>
      </w:r>
      <w:r>
        <w:rPr>
          <w:rFonts w:ascii="Times New Roman" w:hAnsi="Times New Roman"/>
          <w:sz w:val="20"/>
        </w:rPr>
        <w:t>The Company has submitted and possesses, or qualifies for 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hAnsi="Times New Roman"/>
          <w:b/>
          <w:sz w:val="20"/>
        </w:rPr>
        <w:t>Permits</w:t>
      </w:r>
      <w:r>
        <w:rPr>
          <w:rFonts w:ascii="Times New Roman" w:hAnsi="Times New Roman"/>
          <w:sz w:val="20"/>
        </w:rPr>
        <w:t>), including, without limitation, all such Permits required by the U.S. Food and Drug Administration (the </w:t>
      </w:r>
      <w:r>
        <w:rPr>
          <w:rFonts w:ascii="Times New Roman" w:hAnsi="Times New Roman"/>
          <w:b/>
          <w:sz w:val="20"/>
        </w:rPr>
        <w:t>FDA</w:t>
      </w:r>
      <w:r>
        <w:rPr>
          <w:rFonts w:ascii="Times New Roman" w:hAnsi="Times New Roman"/>
          <w:sz w:val="20"/>
        </w:rPr>
        <w:t>), the U.S. Department of Health and Human Services (</w:t>
      </w:r>
      <w:r>
        <w:rPr>
          <w:rFonts w:ascii="Times New Roman" w:hAnsi="Times New Roman"/>
          <w:b/>
          <w:sz w:val="20"/>
        </w:rPr>
        <w:t>HHS</w:t>
      </w:r>
      <w:r>
        <w:rPr>
          <w:rFonts w:ascii="Times New Roman" w:hAnsi="Times New Roman"/>
          <w:sz w:val="20"/>
        </w:rPr>
        <w:t>), the U.S. Centers for Medicare &amp; Medicaid Services (</w:t>
      </w:r>
      <w:r>
        <w:rPr>
          <w:rFonts w:ascii="Times New Roman" w:hAnsi="Times New Roman"/>
          <w:b/>
          <w:sz w:val="20"/>
        </w:rPr>
        <w:t>CMS</w:t>
      </w:r>
      <w:r>
        <w:rPr>
          <w:rFonts w:ascii="Times New Roman" w:hAnsi="Times New Roman"/>
          <w:sz w:val="20"/>
        </w:rPr>
        <w:t>), the European Medicines Agency (</w:t>
      </w:r>
      <w:r>
        <w:rPr>
          <w:rFonts w:ascii="Times New Roman" w:hAnsi="Times New Roman"/>
          <w:b/>
          <w:sz w:val="20"/>
        </w:rPr>
        <w:t>EMA</w:t>
      </w:r>
      <w:r>
        <w:rPr>
          <w:rFonts w:ascii="Times New Roman" w:hAnsi="Times New Roman"/>
          <w:sz w:val="20"/>
        </w:rPr>
        <w:t xml:space="preserve">),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 xml:space="preserve">Compliance with Health Care Laws. </w:t>
      </w:r>
      <w:r>
        <w:rPr>
          <w:rFonts w:ascii="Times New Roman" w:hAnsi="Times New Roman"/>
          <w:sz w:val="20"/>
        </w:rPr>
        <w:t xml:space="preserve">The Company and, to the Companys knowledge, its directors, employees and agents (while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 Section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hAnsi="Times New Roman"/>
          <w:b/>
          <w:sz w:val="20"/>
        </w:rPr>
        <w:t>Health Care Laws</w:t>
      </w:r>
      <w:r>
        <w:rPr>
          <w:rFonts w:ascii="Times New Roman" w:hAnsi="Times New Roman"/>
          <w:sz w:val="20"/>
        </w:rPr>
        <w:t xml:space="preserve">).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Neither the Company, nor any of its Subsidiaries, is a party to or has any ongoing reporting obligations pursuant to any corporate integrity agreements, monitoring agreements, deferred prosecution agreements, consent decrees, settlement orders, plan of correction or similar agreements with or imposed by any governmental authority for non-compliance with any Health Care Law. The statements with respect to Health Care Laws and the Companys compliance therewith included in the Registration Statement, the Time of Sale Prospectus and the Prospectus fairly summarize the matters therein described.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 xml:space="preserve">Clinical Data and Regulatory Compliance. </w:t>
      </w:r>
      <w:r>
        <w:rPr>
          <w:rFonts w:ascii="Times New Roman" w:hAnsi="Times New Roman"/>
          <w:sz w:val="20"/>
        </w:rPr>
        <w:t xml:space="preserve">The studies, tests and preclinical and clinical trials conducted by or on behalf of, or sponsored by, the Company, or in which the Company has participated, that are described in the Registration Statement, the Time of Sale Prospectus or the Prospectus, or the results of which are referred to in the Registration Statement, the Time of Sale Prospectus or the Prospectus, were and, if still pending, are being conducted in all material respects in accordance with protocols submitted to the FDA or comparable regulatory agencies outside of the U.S., as applicable,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the Time of Sale Prospectus or the Prospectus do not contain any misstatement of a material fact or omit a material fact necessary to make such statements not misleading; the Company has no knowledge of any studies, tests or trials not described in the Registration Statement, the Time of Sale Prospectus or the Prospectus the results of which reasonably call into question in any material respect the results of the studies, tests and trials described in the Registration Statement, the Time of Sale Prospectus or Prospectus; and except as described in the Registration Statement, the Time of Sale Prospectus or the Prospectus,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There has not been any material violation of law or regulation by the Company in its respective product development efforts, submissions or reports to any regulatory authority that could reasonably be expected to require investigation, corrective action or enforcement action. None of the Company or its Subsidiaries nor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their respective employees or agents, officers or directors have been excluded, suspended or debarred from participation in any U.S. state or federal health care program or human clinical research or, to the knowledge of the Company, is subject to a governmental inquiry, claim, investigation, or any other proceeding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 xml:space="preserve">Cybersecurity and Data Protection. </w:t>
      </w:r>
      <w:r>
        <w:rPr>
          <w:rFonts w:ascii="Times New Roman" w:hAnsi="Times New Roman"/>
          <w:sz w:val="20"/>
        </w:rPr>
        <w:t>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(collectively, </w:t>
      </w:r>
      <w:r>
        <w:rPr>
          <w:rFonts w:ascii="Times New Roman" w:hAnsi="Times New Roman"/>
          <w:b/>
          <w:sz w:val="20"/>
        </w:rPr>
        <w:t>Sensitive Data</w:t>
      </w:r>
      <w:r>
        <w:rPr>
          <w:rFonts w:ascii="Times New Roman" w:hAnsi="Times New Roman"/>
          <w:sz w:val="20"/>
        </w:rPr>
        <w:t>). </w:t>
      </w:r>
      <w:r>
        <w:rPr>
          <w:rFonts w:ascii="Times New Roman" w:hAnsi="Times New Roman"/>
          <w:b/>
          <w:sz w:val="20"/>
        </w:rPr>
        <w:t>Personal Data</w:t>
      </w:r>
      <w:r>
        <w:rPr>
          <w:rFonts w:ascii="Times New Roman" w:hAnsi="Times New Roman"/>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Sensitive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 xml:space="preserve">Compliance with Data Privacy and Security Laws. </w:t>
      </w:r>
      <w:r>
        <w:rPr>
          <w:rFonts w:ascii="Times New Roman" w:hAnsi="Times New Roman"/>
          <w:sz w:val="20"/>
        </w:rPr>
        <w:t>The Company and its Subsidiaries are, and at all prior times were, in material compliance with all applicable state and federal data privacy and security laws and regulations, including without limitation HIPAA, the European Union General Data Protection Regulation (</w:t>
      </w:r>
      <w:r>
        <w:rPr>
          <w:rFonts w:ascii="Times New Roman" w:hAnsi="Times New Roman"/>
          <w:b/>
          <w:sz w:val="20"/>
        </w:rPr>
        <w:t>GDPR</w:t>
      </w:r>
      <w:r>
        <w:rPr>
          <w:rFonts w:ascii="Times New Roman" w:hAnsi="Times New Roman"/>
          <w:sz w:val="20"/>
        </w:rPr>
        <w:t>) (EU 2016/679), and other similar state privacy laws (collectively, the </w:t>
      </w:r>
      <w:r>
        <w:rPr>
          <w:rFonts w:ascii="Times New Roman" w:hAnsi="Times New Roman"/>
          <w:b/>
          <w:sz w:val="20"/>
        </w:rPr>
        <w:t>Privacy Laws</w:t>
      </w:r>
      <w:r>
        <w:rPr>
          <w:rFonts w:ascii="Times New Roman" w:hAnsi="Times New Roman"/>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xml:space="preserve">).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of its Subsidiaries: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 xml:space="preserve">No Government Prohibitions. </w:t>
      </w:r>
      <w:r>
        <w:rPr>
          <w:rFonts w:ascii="Times New Roman" w:hAnsi="Times New Roman"/>
          <w:sz w:val="20"/>
        </w:rPr>
        <w:t xml:space="preserve">The Company has not had any product, clinical laboratory or manufacturing site that manufactured products used by the Company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 xml:space="preserve">No Recalls or Safety Notices. </w:t>
      </w:r>
      <w:r>
        <w:rPr>
          <w:rFonts w:ascii="Times New Roman" w:hAnsi="Times New Roman"/>
          <w:sz w:val="20"/>
        </w:rPr>
        <w:t>Except as disclosed in the Registration Statement, the Time of Sale Prospectus and the Prospectus, (A)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w:t>
      </w:r>
      <w:r>
        <w:rPr>
          <w:rFonts w:ascii="Times New Roman" w:hAnsi="Times New Roman"/>
          <w:b/>
          <w:sz w:val="20"/>
        </w:rPr>
        <w:t>Safety Notices</w:t>
      </w:r>
      <w:r>
        <w:rPr>
          <w:rFonts w:ascii="Times New Roman" w:hAnsi="Times New Roman"/>
          <w:sz w:val="20"/>
        </w:rPr>
        <w:t xml:space="preserve">) and (B)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 xml:space="preserve">Insurance. </w:t>
      </w:r>
      <w:r>
        <w:rPr>
          <w:rFonts w:ascii="Times New Roman" w:hAnsi="Times New Roman"/>
          <w:sz w:val="20"/>
        </w:rPr>
        <w:t xml:space="preserve">The Company and each of its Subsidiaries maintain insurance from insurers of recognized financial responsibility in such 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 xml:space="preserve">Tax Law Compliance. </w:t>
      </w:r>
      <w:r>
        <w:rPr>
          <w:rFonts w:ascii="Times New Roman" w:hAnsi="Times New Roman"/>
          <w:sz w:val="20"/>
        </w:rPr>
        <w:t xml:space="preserve">The Company and each of its Subsidiaries have filed all federal, state, local and foreign tax returns required to be filed 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any of its Subsidiaries, nor does the Company have any knowledge of any tax deficiencies that have been, or would reasonably be expected to be asserted against the Company, that would,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 xml:space="preserve">No Labor Disputes. </w:t>
      </w:r>
      <w:r>
        <w:rPr>
          <w:rFonts w:ascii="Times New Roman" w:hAnsi="Times New Roman"/>
          <w:sz w:val="20"/>
        </w:rPr>
        <w:t xml:space="preserve">No labor disturbance or dispute with the employees of the Company or any of its Subsidiaries exists or, to the knowledge of the Company, is imminent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 xml:space="preserve">ERISA Compliance. </w:t>
      </w:r>
      <w:r>
        <w:rPr>
          <w:rFonts w:ascii="Times New Roman" w:hAnsi="Times New Roman"/>
          <w:sz w:val="20"/>
        </w:rPr>
        <w:t>(i) Each employee benefit plan (within the meaning of Section 3(3) of the Employee Retirement Security Act of 1974, as amended (</w:t>
      </w:r>
      <w:r>
        <w:rPr>
          <w:rFonts w:ascii="Times New Roman" w:hAnsi="Times New Roman"/>
          <w:b/>
          <w:sz w:val="20"/>
        </w:rPr>
        <w:t>ERISA</w:t>
      </w:r>
      <w:r>
        <w:rPr>
          <w:rFonts w:ascii="Times New Roman" w:hAnsi="Times New Roman"/>
          <w:sz w:val="20"/>
        </w:rPr>
        <w:t xml:space="preserve">)) for which the Company or any member of its Controlled Group (defined as any organization which is a member of a controlled group of corporations within the meaning of Section 414 of the Internal Revenue Code of 1986, as amended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Code</w:t>
      </w:r>
      <w:r>
        <w:rPr>
          <w:rFonts w:ascii="Times New Roman" w:hAnsi="Times New Roman"/>
          <w:sz w:val="20"/>
        </w:rPr>
        <w:t>)) would have any liability (each a </w:t>
      </w:r>
      <w:r>
        <w:rPr>
          <w:rFonts w:ascii="Times New Roman" w:hAnsi="Times New Roman"/>
          <w:b/>
          <w:sz w:val="20"/>
        </w:rPr>
        <w:t>Plan</w:t>
      </w:r>
      <w:r>
        <w:rPr>
          <w:rFonts w:ascii="Times New Roman" w:hAnsi="Times New Roman"/>
          <w:sz w:val="20"/>
        </w:rPr>
        <w:t xml:space="preserve">)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 xml:space="preserve">Compliance with Environmental Laws. </w:t>
      </w:r>
      <w:r>
        <w:rPr>
          <w:rFonts w:ascii="Times New Roman" w:hAnsi="Times New Roman"/>
          <w:sz w:val="20"/>
        </w:rPr>
        <w:t>The Company and each of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hAnsi="Times New Roman"/>
          <w:b/>
          <w:sz w:val="20"/>
        </w:rPr>
        <w:t>Environmental Laws</w:t>
      </w:r>
      <w:r>
        <w:rPr>
          <w:rFonts w:ascii="Times New Roman" w:hAnsi="Times New Roman"/>
          <w:sz w:val="20"/>
        </w:rPr>
        <w:t xml:space="preserve">)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 in the Registration Statement, the Time of Sale Prospectus and the Prospectus, (x) there are no proceedings that are pending, or to the Companys knowledge, threatened,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neither the Company nor its Subsidiaries anticipate material capital expenditures relating to Environmental Laws.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 xml:space="preserve">Anti-Corruption and Anti-Bribery Laws. </w:t>
      </w:r>
      <w:r>
        <w:rPr>
          <w:rFonts w:ascii="Times New Roman" w:hAnsi="Times New Roman"/>
          <w:sz w:val="20"/>
        </w:rPr>
        <w:t>Neither the Company nor any Subsidiary nor, to the Companys knowledge, any director, officer, agent, employee, affiliate or other person acting on behalf of the Company or any Subsidiary, has authorized the giving of, offer or promise to give or (i) made any unlawful contribution, gift, entertainment or other unlawful expense relating to political activity; (ii) made any direct or indirect unlawful payment to any domestic governmental official, foreign official (as defined in the U.S. Foreign Corrupt Practices Act of 1977, as amended, and the rules and regulations thereunder (collectively, the </w:t>
      </w:r>
      <w:r>
        <w:rPr>
          <w:rFonts w:ascii="Times New Roman" w:hAnsi="Times New Roman"/>
          <w:b/>
          <w:sz w:val="20"/>
        </w:rPr>
        <w:t>FCPA</w:t>
      </w:r>
      <w:r>
        <w:rPr>
          <w:rFonts w:ascii="Times New Roman" w:hAnsi="Times New Roman"/>
          <w:sz w:val="20"/>
        </w:rPr>
        <w:t xml:space="preserve">)) or employee; (iii) violated or is in violation of any provision of the FCPA, UK Bribery Act, any applicable non-U.S. anti-bribery statute or regulation or any locally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corruption laws; (iv) made any bribe, rebate, payoff, influence payment, kickback or other unlawful payment; or (v) received notice of any investigation, proceeding or inquiry by any governmental agency, authority or body regarding any of the matters in clauses (i)-(iv) above; and the Company and the Subsidiaries and, to the Companys knowledge, the Companys affiliates have conducted their respective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 xml:space="preserve">Money Laundering Laws. </w:t>
      </w:r>
      <w:r>
        <w:rPr>
          <w:rFonts w:ascii="Times New Roman" w:hAnsi="Times New Roman"/>
          <w:sz w:val="20"/>
        </w:rPr>
        <w:t>The operations of the Company and the Subsidiaries are and have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(Title III of Pub. L. 107-56 (signed into law 18 October 26, 2001)) (the </w:t>
      </w:r>
      <w:r>
        <w:rPr>
          <w:rFonts w:ascii="Times New Roman" w:hAnsi="Times New Roman"/>
          <w:b/>
          <w:sz w:val="20"/>
        </w:rPr>
        <w:t>USA Patriot Act</w:t>
      </w:r>
      <w:r>
        <w:rPr>
          <w:rFonts w:ascii="Times New Roman" w:hAnsi="Times New Roman"/>
          <w:sz w:val="20"/>
        </w:rPr>
        <w:t>), and those of the Currency and Foreign Transactions Reporting Act of 1970, as amended, and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the Subsidiaries with respect to the Money Laundering Laws is pending or, to the Companys knowledge, threatened.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 xml:space="preserve">Sanctions. </w:t>
      </w:r>
      <w:r>
        <w:rPr>
          <w:rFonts w:ascii="Times New Roman" w:hAnsi="Times New Roman"/>
          <w:sz w:val="20"/>
        </w:rPr>
        <w:t>None of the Company nor any Subsidiary nor, to the knowledge of the Company, any officer, director, agent, employee, affiliate or any person acting on behalf of the Company or any Subsidiary is or, in the past five years, has been (A) engaged in any services (including financial services), transfers of goods, software, or technology, or any other business activity related to (i) Cuba, Iran, North Korea, Syria or Crimea, so-called Donetsk Peoples Republic, or so-called Luhansk Peoples Republic regions of Ukraine (</w:t>
      </w:r>
      <w:r>
        <w:rPr>
          <w:rFonts w:ascii="Times New Roman" w:hAnsi="Times New Roman"/>
          <w:b/>
          <w:sz w:val="20"/>
        </w:rPr>
        <w:t>Sanctioned Countries</w:t>
      </w:r>
      <w:r>
        <w:rPr>
          <w:rFonts w:ascii="Times New Roman" w:hAnsi="Times New Roman"/>
          <w:sz w:val="20"/>
        </w:rPr>
        <w:t>), (ii) the government of any Sanctioned Country, (iii) any person, entity or organization located in, resident in, formed under the laws of, or owned or controlled by the government of, any Sanctioned Country, or (iv) any person, entity or organization made subject or target of any sanctions administered or enforced by the United States Government (including the US Department of Treasury, Office of Foreign Assets Control and the US Department of State), including, without limitation, the list of Specially Designated Nationals (</w:t>
      </w:r>
      <w:r>
        <w:rPr>
          <w:rFonts w:ascii="Times New Roman" w:hAnsi="Times New Roman"/>
          <w:b/>
          <w:sz w:val="20"/>
        </w:rPr>
        <w:t>SDN List</w:t>
      </w:r>
      <w:r>
        <w:rPr>
          <w:rFonts w:ascii="Times New Roman" w:hAnsi="Times New Roman"/>
          <w:sz w:val="20"/>
        </w:rPr>
        <w:t>) of the Office of Foreign Assets Control of the U.S. Treasury Department (</w:t>
      </w:r>
      <w:r>
        <w:rPr>
          <w:rFonts w:ascii="Times New Roman" w:hAnsi="Times New Roman"/>
          <w:b/>
          <w:sz w:val="20"/>
        </w:rPr>
        <w:t>OFAC</w:t>
      </w:r>
      <w:r>
        <w:rPr>
          <w:rFonts w:ascii="Times New Roman" w:hAnsi="Times New Roman"/>
          <w:sz w:val="20"/>
        </w:rPr>
        <w:t>), or by the United Nations Security Council, the European Union, His Majestys Treasury-UK, or other relevant sanctions authority (collectively, </w:t>
      </w:r>
      <w:r>
        <w:rPr>
          <w:rFonts w:ascii="Times New Roman" w:hAnsi="Times New Roman"/>
          <w:b/>
          <w:sz w:val="20"/>
        </w:rPr>
        <w:t>Sanctions</w:t>
      </w:r>
      <w:r>
        <w:rPr>
          <w:rFonts w:ascii="Times New Roman" w:hAnsi="Times New Roman"/>
          <w:sz w:val="20"/>
        </w:rPr>
        <w:t xml:space="preserve">) and the Company will not directly or indirectly use the proceeds of this offering, or lend, contribute or otherwise make available such proceeds to any of its Subsidiaries,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is a person, entity or organization currently the subject of any Sanctions; or (D) located, organized or resident in any Sanctioned Country.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 xml:space="preserve">Relationships with Underwriters. </w:t>
      </w:r>
      <w:r>
        <w:rPr>
          <w:rFonts w:ascii="Times New Roman" w:hAnsi="Times New Roman"/>
          <w:sz w:val="20"/>
        </w:rPr>
        <w:t xml:space="preserve">The Company (i) does not have any material lending or other relationship with any bank or lending affiliate of any Underwriter and (ii) does not intend to use any of the proceeds from the sale of the Shares to repay any outstanding debt owed to any affiliate of any Underwriter.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signed by or on behalf of the Company and delivered to the Representatives or to counsel for the Underwriters shall be deemed to be a representation and warranty by the Company to each Underwriter as to the matters covered thereby. 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Purchase, Sale and Delivery of the Offered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The Firm Shares</w:t>
      </w:r>
      <w:r>
        <w:rPr>
          <w:rFonts w:ascii="Times New Roman" w:hAnsi="Times New Roman"/>
          <w:b/>
          <w:sz w:val="20"/>
        </w:rPr>
        <w:t xml:space="preserve">. </w:t>
      </w:r>
      <w:r>
        <w:rPr>
          <w:rFonts w:ascii="Times New Roman" w:hAnsi="Times New Roman"/>
          <w:sz w:val="20"/>
        </w:rPr>
        <w:t xml:space="preserve">Upon the terms herein set forth, the Company agrees to issue and sell to the several Underwriters an aggregate of 17,162,472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hAnsi="Times New Roman"/>
          <w:sz w:val="20"/>
          <w:u w:val="single"/>
        </w:rPr>
        <w:t>Schedule A</w:t>
      </w:r>
      <w:r>
        <w:rPr>
          <w:rFonts w:ascii="Times New Roman" w:hAnsi="Times New Roman"/>
          <w:sz w:val="20"/>
        </w:rPr>
        <w:t xml:space="preserve">. The purchase price per Firm Share to be paid by the several Underwriters to the Company shall be $8.2156 per share.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The First Closing Date</w:t>
      </w:r>
      <w:r>
        <w:rPr>
          <w:rFonts w:ascii="Times New Roman" w:hAnsi="Times New Roman"/>
          <w:b/>
          <w:sz w:val="20"/>
        </w:rPr>
        <w:t xml:space="preserve">. </w:t>
      </w:r>
      <w:r>
        <w:rPr>
          <w:rFonts w:ascii="Times New Roman" w:hAnsi="Times New Roman"/>
          <w:sz w:val="20"/>
        </w:rPr>
        <w:t>Delivery of the Firm Shares to be purchased by the Underwriters and payment therefor shall be made at the offices of Cooley LLP (or such other place as may be agreed to by the Company and the Representatives) at 9:00 a.m., New York City time, on February 16, 2024, or such other time and date not later than 1:30 p.m., New York City time, on February 16, 2024 as the Representatives shall designate by notice to the Company (the time and date of such closing are called the </w:t>
      </w:r>
      <w:r>
        <w:rPr>
          <w:rFonts w:ascii="Times New Roman" w:hAnsi="Times New Roman"/>
          <w:b/>
          <w:sz w:val="20"/>
        </w:rPr>
        <w:t>First Closing Date</w:t>
      </w:r>
      <w:r>
        <w:rPr>
          <w:rFonts w:ascii="Times New Roman" w:hAnsi="Times New Roman"/>
          <w:sz w:val="20"/>
        </w:rPr>
        <w:t xml:space="preserve">).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The Optional Shares; Option Closing Date</w:t>
      </w:r>
      <w:r>
        <w:rPr>
          <w:rFonts w:ascii="Times New Roman" w:hAnsi="Times New Roman"/>
          <w:b/>
          <w:sz w:val="20"/>
        </w:rPr>
        <w:t xml:space="preserve">. </w:t>
      </w:r>
      <w:r>
        <w:rPr>
          <w:rFonts w:ascii="Times New Roman" w:hAnsi="Times New Roman"/>
          <w:sz w:val="20"/>
        </w:rPr>
        <w:t>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2,574,370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 w:hAnsi="Times New Roman"/>
          <w:b/>
          <w:sz w:val="20"/>
        </w:rPr>
        <w:t>First Closing Date</w:t>
      </w:r>
      <w:r>
        <w:rPr>
          <w:rFonts w:ascii="Times New Roman" w:hAnsi="Times New Roman"/>
          <w:sz w:val="20"/>
        </w:rPr>
        <w:t> shall refer to the time and date of delivery of the Firm Shares and such Optional Shares). Any such time and date of delivery, if subsequent to the First Closing Date, is called an </w:t>
      </w:r>
      <w:r>
        <w:rPr>
          <w:rFonts w:ascii="Times New Roman" w:hAnsi="Times New Roman"/>
          <w:b/>
          <w:sz w:val="20"/>
        </w:rPr>
        <w:t>Option Closing Date</w:t>
      </w:r>
      <w:r>
        <w:rPr>
          <w:rFonts w:ascii="Times New Roman" w:hAnsi="Times New Roman"/>
          <w:sz w:val="20"/>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hAnsi="Times New Roman"/>
          <w:sz w:val="20"/>
          <w:u w:val="single"/>
        </w:rPr>
        <w:t>Schedule A</w:t>
      </w:r>
      <w:r>
        <w:rPr>
          <w:rFonts w:ascii="Times New Roman" w:hAnsi="Times New Roman"/>
          <w:sz w:val="20"/>
        </w:rPr>
        <w:t xml:space="preserve"> opposite the name of such Underwriter bears to the total number of Firm Shares. The Representatives may cancel the option at any time prior to its expiration by giving written notice of such cancellation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Public Offering of the Offered Shares</w:t>
      </w:r>
      <w:r>
        <w:rPr>
          <w:rFonts w:ascii="Times New Roman" w:hAnsi="Times New Roman"/>
          <w:b/>
          <w:sz w:val="20"/>
        </w:rPr>
        <w:t xml:space="preserve">. </w:t>
      </w:r>
      <w:r>
        <w:rPr>
          <w:rFonts w:ascii="Times New Roman" w:hAnsi="Times New Roman"/>
          <w:sz w:val="20"/>
        </w:rPr>
        <w:t xml:space="preserve">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b/>
          <w:i/>
          <w:sz w:val="20"/>
        </w:rPr>
        <w:t>Payment for the Offered Shares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Payment for the Offered Shares shall be made at the First Closing Date (and, if applicable, at each Option Closing Date) by wire transfer of immediately available funds to the order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 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Leerink Partners, Citi and Guggenheim,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Delivery of the Offered Shares</w:t>
      </w:r>
      <w:r>
        <w:rPr>
          <w:rFonts w:ascii="Times New Roman" w:hAnsi="Times New Roman"/>
          <w:b/>
          <w:sz w:val="20"/>
        </w:rPr>
        <w:t xml:space="preserve">. </w:t>
      </w:r>
      <w:r>
        <w:rPr>
          <w:rFonts w:ascii="Times New Roman" w:hAnsi="Times New Roman"/>
          <w:sz w:val="20"/>
        </w:rPr>
        <w:t>The Company shall deliver, or cause to be delivered through the facilities of The Depository Trust Company (</w:t>
      </w:r>
      <w:r>
        <w:rPr>
          <w:rFonts w:ascii="Times New Roman" w:hAnsi="Times New Roman"/>
          <w:b/>
          <w:sz w:val="20"/>
        </w:rPr>
        <w:t>DTC</w:t>
      </w:r>
      <w:r>
        <w:rPr>
          <w:rFonts w:ascii="Times New Roman" w:hAnsi="Times New Roman"/>
          <w:sz w:val="20"/>
        </w:rPr>
        <w:t xml:space="preserve">), unless the Representative shall otherwise instruct, to the Representatives for the accounts of the several Underwriters the Firm Shares at the First Closing Date, against release of a wire transfer of immediately available funds for the amount of the purchase price therefor. The Company shall also deliver, or cause to be delivered through the facilities of DTC, unless the Representative shall otherwise instruct, to the Representatives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two full business days prior to the First Closing Date (or the applicable Option Closing Date, as the case may be).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Additional Covenants of the Company.</w:t>
      </w:r>
      <w:r>
        <w:rPr>
          <w:rFonts w:ascii="Times New Roman" w:hAnsi="Times New Roman"/>
          <w:sz w:val="20"/>
        </w:rPr>
        <w:t xml:space="preserve"> The Company further covenants and agrees with each Underwriter as follows: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 xml:space="preserve">Delivery of Registration Statement, Time of Sale Prospectus and Prospectus. </w:t>
      </w:r>
      <w:r>
        <w:rPr>
          <w:rFonts w:ascii="Times New Roman" w:hAnsi="Times New Roman"/>
          <w:sz w:val="20"/>
        </w:rPr>
        <w:t xml:space="preserve">The Company shall furnish, upon request, to the Representatives in New York City, without charge, prior to 10:00 a.m.,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Representatives</w:t>
      </w:r>
      <w:r>
        <w:rPr>
          <w:rFonts w:ascii="Times New Roman" w:hAnsi="Times New Roman"/>
          <w:sz w:val="20"/>
        </w:rPr>
        <w:t xml:space="preserve"> </w:t>
      </w:r>
      <w:r>
        <w:rPr>
          <w:rFonts w:ascii="Times New Roman" w:hAnsi="Times New Roman"/>
          <w:b/>
          <w:i/>
          <w:sz w:val="20"/>
        </w:rPr>
        <w:t xml:space="preserve">Review of Proposed Amendments and Supplements. </w:t>
      </w:r>
      <w:r>
        <w:rPr>
          <w:rFonts w:ascii="Times New Roman" w:hAnsi="Times New Roman"/>
          <w:sz w:val="20"/>
        </w:rPr>
        <w:t xml:space="preserve">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 xml:space="preserve">Free Writing Prospectuses. </w:t>
      </w:r>
      <w:r>
        <w:rPr>
          <w:rFonts w:ascii="Times New Roman" w:hAnsi="Times New Roman"/>
          <w:sz w:val="20"/>
        </w:rPr>
        <w:t xml:space="preserve">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hAnsi="Times New Roman"/>
          <w:i/>
          <w:sz w:val="20"/>
        </w:rPr>
        <w:t>provided, however</w:t>
      </w:r>
      <w:r>
        <w:rPr>
          <w:rFonts w:ascii="Times New Roman" w:hAnsi="Times New Roman"/>
          <w:sz w:val="20"/>
        </w:rPr>
        <w:t xml:space="preserve">,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 xml:space="preserve">Filing of Underwriter Free Writing Prospectuses. </w:t>
      </w:r>
      <w:r>
        <w:rPr>
          <w:rFonts w:ascii="Times New Roman" w:hAnsi="Times New Roman"/>
          <w:sz w:val="20"/>
        </w:rPr>
        <w:t xml:space="preserve">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 xml:space="preserve">Amendments and Supplements to Time of Sale Prospectus. </w:t>
      </w:r>
      <w:r>
        <w:rPr>
          <w:rFonts w:ascii="Times New Roman" w:hAnsi="Times New Roman"/>
          <w:sz w:val="20"/>
        </w:rPr>
        <w:t xml:space="preserve">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Certain Notifications and Required Actions</w:t>
      </w:r>
      <w:r>
        <w:rPr>
          <w:rFonts w:ascii="Times New Roman" w:hAnsi="Times New Roman"/>
          <w:b/>
          <w:sz w:val="20"/>
        </w:rPr>
        <w:t xml:space="preserve">. </w:t>
      </w:r>
      <w:r>
        <w:rPr>
          <w:rFonts w:ascii="Times New Roman" w:hAnsi="Times New Roman"/>
          <w:sz w:val="20"/>
        </w:rPr>
        <w:t xml:space="preserve">After the date of this Agreement, the Company shall promptly advise the Representatives in 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 xml:space="preserve">Amendments and Supplements to the Prospectus and Other Securities Act Matters. </w:t>
      </w:r>
      <w:r>
        <w:rPr>
          <w:rFonts w:ascii="Times New Roman" w:hAnsi="Times New Roman"/>
          <w:sz w:val="20"/>
        </w:rPr>
        <w:t xml:space="preserve">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Blue Sky Compliance</w:t>
      </w:r>
      <w:r>
        <w:rPr>
          <w:rFonts w:ascii="Times New Roman" w:hAnsi="Times New Roman"/>
          <w:b/>
          <w:sz w:val="20"/>
        </w:rPr>
        <w:t xml:space="preserve">. </w:t>
      </w:r>
      <w:r>
        <w:rPr>
          <w:rFonts w:ascii="Times New Roman" w:hAnsi="Times New Roman"/>
          <w:sz w:val="20"/>
        </w:rPr>
        <w:t xml:space="preserve">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at the earliest possible moment.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Use of Proceeds</w:t>
      </w:r>
      <w:r>
        <w:rPr>
          <w:rFonts w:ascii="Times New Roman" w:hAnsi="Times New Roman"/>
          <w:b/>
          <w:sz w:val="20"/>
        </w:rPr>
        <w:t xml:space="preserve">. </w:t>
      </w:r>
      <w:r>
        <w:rPr>
          <w:rFonts w:ascii="Times New Roman" w:hAnsi="Times New Roman"/>
          <w:sz w:val="20"/>
        </w:rPr>
        <w:t xml:space="preserve">The Company shall apply the net proceeds from the sale of the Offered Shares sold by it in the manner described under the caption Use of Proceeds in the Registration Statement, the Time of Sale Prospectus and the Prospectus.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Transfer Agent</w:t>
      </w:r>
      <w:r>
        <w:rPr>
          <w:rFonts w:ascii="Times New Roman" w:hAnsi="Times New Roman"/>
          <w:b/>
          <w:sz w:val="20"/>
        </w:rPr>
        <w:t xml:space="preserve">. </w:t>
      </w:r>
      <w:r>
        <w:rPr>
          <w:rFonts w:ascii="Times New Roman" w:hAnsi="Times New Roman"/>
          <w:sz w:val="20"/>
        </w:rPr>
        <w:t xml:space="preserve">The Company shall engage and maintain, at its expense, a registrar and transfer agent for the Shares.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Earnings Statement</w:t>
      </w:r>
      <w:r>
        <w:rPr>
          <w:rFonts w:ascii="Times New Roman" w:hAnsi="Times New Roman"/>
          <w:b/>
          <w:sz w:val="20"/>
        </w:rPr>
        <w:t xml:space="preserve">. </w:t>
      </w:r>
      <w:r>
        <w:rPr>
          <w:rFonts w:ascii="Times New Roman" w:hAnsi="Times New Roman"/>
          <w:sz w:val="20"/>
        </w:rPr>
        <w:t xml:space="preserve">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it being understood and agreed that such earning statement shall be deemed to have been made available by the Company if the Company is in compliance with its reporting obligations pursuant to the Exchange Act, if such compliance satisfies the conditions of Rule 158, and if such earnings statement is made available on EDGAR.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Continued Compliance with Securities Laws</w:t>
      </w:r>
      <w:r>
        <w:rPr>
          <w:rFonts w:ascii="Times New Roman" w:hAnsi="Times New Roman"/>
          <w:b/>
          <w:sz w:val="20"/>
        </w:rPr>
        <w:t xml:space="preserve">. </w:t>
      </w:r>
      <w:r>
        <w:rPr>
          <w:rFonts w:ascii="Times New Roman" w:hAnsi="Times New Roman"/>
          <w:sz w:val="20"/>
        </w:rPr>
        <w:t>The Company will comply with the Securities Act and the Exchange Act so as to permit the completion of the distribution of the Offered Shares as contemplated by this Agreement</w:t>
      </w:r>
      <w:r>
        <w:rPr>
          <w:rFonts w:ascii="Times New Roman" w:hAnsi="Times New Roman"/>
          <w:b/>
          <w:sz w:val="20"/>
        </w:rPr>
        <w:t xml:space="preserve">, </w:t>
      </w:r>
      <w:r>
        <w:rPr>
          <w:rFonts w:ascii="Times New Roman" w:hAnsi="Times New Roman"/>
          <w:sz w:val="20"/>
        </w:rPr>
        <w:t xml:space="preserve">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Listing</w:t>
      </w:r>
      <w:r>
        <w:rPr>
          <w:rFonts w:ascii="Times New Roman" w:hAnsi="Times New Roman"/>
          <w:b/>
          <w:sz w:val="20"/>
        </w:rPr>
        <w:t xml:space="preserve">. </w:t>
      </w:r>
      <w:r>
        <w:rPr>
          <w:rFonts w:ascii="Times New Roman" w:hAnsi="Times New Roman"/>
          <w:sz w:val="20"/>
        </w:rPr>
        <w:t xml:space="preserve">The Company will use its best efforts to list, subject to notice of issuance, the Offered Shares on Nasdaq.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 to Provide Copy of the Prospectus in Form That May be Downloaded from the Internet</w:t>
      </w:r>
      <w:r>
        <w:rPr>
          <w:rFonts w:ascii="Times New Roman" w:hAnsi="Times New Roman"/>
          <w:b/>
          <w:sz w:val="20"/>
        </w:rPr>
        <w:t xml:space="preserve">. </w:t>
      </w:r>
      <w:r>
        <w:rPr>
          <w:rFonts w:ascii="Times New Roman" w:hAnsi="Times New Roman"/>
          <w:sz w:val="20"/>
        </w:rPr>
        <w:t>If requested by the Representatives, the Company shall cause to be prepared and delivered, at its expense, within one business day from the effective date of this Agreement, to the Representatives an </w:t>
      </w:r>
      <w:r>
        <w:rPr>
          <w:rFonts w:ascii="Times New Roman" w:hAnsi="Times New Roman"/>
          <w:b/>
          <w:sz w:val="20"/>
        </w:rPr>
        <w:t>electronic Prospectus</w:t>
      </w:r>
      <w:r>
        <w:rPr>
          <w:rFonts w:ascii="Times New Roman" w:hAnsi="Times New Roman"/>
          <w:sz w:val="20"/>
        </w:rPr>
        <w:t> to be used by the Underwriters in connection with the offering and sale of the Offered Shares. As used herein, the term </w:t>
      </w:r>
      <w:r>
        <w:rPr>
          <w:rFonts w:ascii="Times New Roman" w:hAnsi="Times New Roman"/>
          <w:b/>
          <w:sz w:val="20"/>
        </w:rPr>
        <w:t>electronic Prospectus</w:t>
      </w:r>
      <w:r>
        <w:rPr>
          <w:rFonts w:ascii="Times New Roman" w:hAnsi="Times New Roman"/>
          <w:sz w:val="20"/>
        </w:rPr>
        <w:t xml:space="preserve">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Leerink Partners,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Agreement Not to Offer or Sell Additional Shares</w:t>
      </w:r>
      <w:r>
        <w:rPr>
          <w:rFonts w:ascii="Times New Roman" w:hAnsi="Times New Roman"/>
          <w:b/>
          <w:sz w:val="20"/>
        </w:rPr>
        <w:t>.</w:t>
      </w:r>
      <w:r>
        <w:rPr>
          <w:rFonts w:ascii="Times New Roman" w:hAnsi="Times New Roman"/>
          <w:sz w:val="20"/>
        </w:rPr>
        <w:t xml:space="preserve"> During the period commencing on and including the date hereof and continuing through and including the 60th day following the date of the Prospectus (such period, as extended as described below, being referred to herein as the </w:t>
      </w:r>
      <w:r>
        <w:rPr>
          <w:rFonts w:ascii="Times New Roman" w:hAnsi="Times New Roman"/>
          <w:b/>
          <w:sz w:val="20"/>
        </w:rPr>
        <w:t>Lock-Up Period</w:t>
      </w:r>
      <w:r>
        <w:rPr>
          <w:rFonts w:ascii="Times New Roman" w:hAnsi="Times New Roman"/>
          <w:sz w:val="20"/>
        </w:rPr>
        <w:t xml:space="preserve">), the Company will not, without the prior written consent of the Representatives (which consent may be withheld in their sole discretion), directly or indirectly: (i) sell, offer to sell, contract to sell or lend any Shares or Related Securities (each as defined below), including pursuant to the Sales Agreement, dated November 10, 2022, with Guggenheim as sales agent; (ii) effect any short sale, or establish or increase any put equivalent position (as defined in Rule 16a-1(h) under the Exchange Act) or liquidate or decrease any call equivalent position (as defined in Rule 16a-1(b) under the Exchange Act) of any Shares or Related Securities; (iii) pledge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w:t>
      </w:r>
      <w:r>
        <w:rPr>
          <w:rFonts w:ascii="Times New Roman" w:hAnsi="Times New Roman"/>
          <w:i/>
          <w:sz w:val="20"/>
        </w:rPr>
        <w:t>provided, however</w:t>
      </w:r>
      <w:r>
        <w:rPr>
          <w:rFonts w:ascii="Times New Roman" w:hAnsi="Times New Roman"/>
          <w:sz w:val="20"/>
        </w:rPr>
        <w:t xml:space="preserve">, that the Company may (A) effect the transactions contemplated hereby, (B) issue shares of Common Stock upon the exercise of an option or warrant, the vesting of restricted stock units, performance stock units or deferred stock units or the conversion or exchange of a security outstanding on the date hereof as referred to in the Registration Statement, the Time of Sale Prospectus and the Prospectus, (C) pursuant to the stock-based compensation plans of the Company and the Subsidiaries as referred to in the Registration Statement, the Time of Sale Prospectus and the Prospectus, or pursuant to any qualifying inducement award under Nasdaq Listing Rule 5635(c)(4), (D)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w:t>
      </w:r>
      <w:r>
        <w:rPr>
          <w:rFonts w:ascii="Times New Roman" w:hAnsi="Times New Roman"/>
          <w:i/>
          <w:sz w:val="20"/>
        </w:rPr>
        <w:t>provided</w:t>
      </w:r>
      <w:r>
        <w:rPr>
          <w:rFonts w:ascii="Times New Roman" w:hAnsi="Times New Roman"/>
          <w:sz w:val="20"/>
        </w:rPr>
        <w:t xml:space="preserve"> that the aggregate number of shares of Common Stock that the Company may sell or issue or agree to sell or issue shall not exceed 5% of the total number of shares of Common Stock issued and outstanding immediately following the issuance and sale of the Offered Shares pursuant to this Agreement, (E) file registration statements on Form S-8 or a successor form thereto relating to the shares of Common Stock granted pursuant to or reserved for issuance under the stock-based compensation plans of the Company and the Subsidiary referred to in clause (C), and (F) assist any stockholder of the Company in the establishment of a trading plan by such stockholder pursuant to Rule 10b5-1 under the Exchange Act for the transfer of shares of Common Stock, </w:t>
      </w:r>
      <w:r>
        <w:rPr>
          <w:rFonts w:ascii="Times New Roman" w:hAnsi="Times New Roman"/>
          <w:i/>
          <w:sz w:val="20"/>
        </w:rPr>
        <w:t>provided</w:t>
      </w:r>
      <w:r>
        <w:rPr>
          <w:rFonts w:ascii="Times New Roman" w:hAnsi="Times New Roman"/>
          <w:sz w:val="20"/>
        </w:rPr>
        <w:t xml:space="preserve"> that such plan does not provide for the transfer of shares of Common Stock during the Lock-Up Period, the establishment of such plan does not require or otherwise result in any public filings or other public announcement of such plan during such Lock-Up Period and such plan is otherwise permitted to be implemented during the Lock-Up Period pursuant to the terms of a Lock-Up Agreement between such stockholder and the Underwriters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connection with the offering contemplated by this Agreement. </w:t>
      </w:r>
      <w:r>
        <w:rPr>
          <w:rFonts w:ascii="Times New Roman" w:hAnsi="Times New Roman"/>
          <w:b/>
          <w:sz w:val="20"/>
        </w:rPr>
        <w:t>Related Securities</w:t>
      </w:r>
      <w:r>
        <w:rPr>
          <w:rFonts w:ascii="Times New Roman" w:hAnsi="Times New Roman"/>
          <w:sz w:val="20"/>
        </w:rPr>
        <w:t xml:space="preserve"> shall mean any options or warrants or other rights to acquire Shares or any securities exchangeable or exercisable for or convertible into Shares, or to acquire other securities or rights ultimately exchangeable or exercisable for, or convertible into, Shares.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 xml:space="preserve">Future Reports to the Representatives. </w:t>
      </w:r>
      <w:r>
        <w:rPr>
          <w:rFonts w:ascii="Times New Roman" w:hAnsi="Times New Roman"/>
          <w:sz w:val="20"/>
        </w:rPr>
        <w:t xml:space="preserve">During the period of five years hereafter, the Company will furnish to the Representatives, c/o Leerink Partners LLC, at 1301 Avenue of the Americas, 12th Floor, New York, New York 10019, Attention: Stuart R. Nayman, c/o Citigroup Global Markets Inc. at 388 Greenwich Street, New York, New York 10013, Attention: General Counsel and c/o Guggenheim Securities, LLC, 330 Madison Avenue, New York, New York 10017, Attention: Head of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hAnsi="Times New Roman"/>
          <w:i/>
          <w:sz w:val="20"/>
        </w:rPr>
        <w:t>provided, however,</w:t>
      </w:r>
      <w:r>
        <w:rPr>
          <w:rFonts w:ascii="Times New Roman" w:hAnsi="Times New Roman"/>
          <w:sz w:val="20"/>
        </w:rPr>
        <w:t xml:space="preserve"> that the requirements of this Section 3(p) shall be satisfied to the extent that such reports, statement, communications, financial statements or other documents are available on EDGAR.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Investment Limitation</w:t>
      </w:r>
      <w:r>
        <w:rPr>
          <w:rFonts w:ascii="Times New Roman" w:hAnsi="Times New Roman"/>
          <w:b/>
          <w:sz w:val="20"/>
        </w:rPr>
        <w:t xml:space="preserve">. </w:t>
      </w:r>
      <w:r>
        <w:rPr>
          <w:rFonts w:ascii="Times New Roman" w:hAnsi="Times New Roman"/>
          <w:sz w:val="20"/>
        </w:rPr>
        <w:t xml:space="preserve">The Company shall not invest or otherwise use the proceeds received by the Company from its sale of the Offered Shares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No Stabilization or Manipulation; Compliance with Regulation M</w:t>
      </w:r>
      <w:r>
        <w:rPr>
          <w:rFonts w:ascii="Times New Roman" w:hAnsi="Times New Roman"/>
          <w:b/>
          <w:sz w:val="20"/>
        </w:rPr>
        <w:t>.</w:t>
      </w:r>
      <w:r>
        <w:rPr>
          <w:rFonts w:ascii="Times New Roman" w:hAnsi="Times New Roman"/>
          <w:sz w:val="20"/>
        </w:rPr>
        <w:t xml:space="preserve"> The Company will not take, and will ensure that no affiliate of the 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Enforce Lock-Up Agreements</w:t>
      </w:r>
      <w:r>
        <w:rPr>
          <w:rFonts w:ascii="Times New Roman" w:hAnsi="Times New Roman"/>
          <w:b/>
          <w:sz w:val="20"/>
        </w:rPr>
        <w:t xml:space="preserve">. </w:t>
      </w:r>
      <w:r>
        <w:rPr>
          <w:rFonts w:ascii="Times New Roman" w:hAnsi="Times New Roman"/>
          <w:sz w:val="20"/>
        </w:rPr>
        <w:t>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(each, a </w:t>
      </w:r>
      <w:r>
        <w:rPr>
          <w:rFonts w:ascii="Times New Roman" w:hAnsi="Times New Roman"/>
          <w:b/>
          <w:sz w:val="20"/>
        </w:rPr>
        <w:t>Lock-Up Agreement</w:t>
      </w:r>
      <w:r>
        <w:rPr>
          <w:rFonts w:ascii="Times New Roman" w:hAnsi="Times New Roman"/>
          <w:sz w:val="20"/>
        </w:rPr>
        <w:t xml:space="preserve">).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executive officers and directors and certain securityholders pursuant to Section 6(l) hereof.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Company to Provide Interim Financial Statements</w:t>
      </w:r>
      <w:r>
        <w:rPr>
          <w:rFonts w:ascii="Times New Roman" w:hAnsi="Times New Roman"/>
          <w:b/>
          <w:sz w:val="20"/>
        </w:rPr>
        <w:t xml:space="preserve">. </w:t>
      </w:r>
      <w:r>
        <w:rPr>
          <w:rFonts w:ascii="Times New Roman" w:hAnsi="Times New Roman"/>
          <w:sz w:val="20"/>
        </w:rPr>
        <w:t xml:space="preserve">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Payment of Expenses. </w:t>
      </w:r>
      <w:r>
        <w:rPr>
          <w:rFonts w:ascii="Times New Roman" w:hAnsi="Times New Roman"/>
          <w:sz w:val="20"/>
        </w:rPr>
        <w:t xml:space="preserve">The Company agrees to pay all costs, fees and expenses incurred in connection with the performance of its obligations hereunder and in connection with the transactions contemplated hereby, including without limitation (i) all expenses incident to the issuance and delivery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legal fees, taken together with the legal fees described in clause (vi) above, shall not exceed $50,000 in the aggregate,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one half of the cost of any aircraft chartered in connection with the road show (the remaining half of the cost to be paid by the Underwriters), (ix) the fees and expenses associated with listing the Offered Shares on Nasdaq, and (x) all other fees, costs and expenses of the nature referred to in Item 14 of Part II of the Registration Statement; </w:t>
      </w:r>
      <w:r>
        <w:rPr>
          <w:rFonts w:ascii="Times New Roman" w:hAnsi="Times New Roman"/>
          <w:i/>
          <w:sz w:val="20"/>
        </w:rPr>
        <w:t>provided,</w:t>
      </w:r>
      <w:r>
        <w:rPr>
          <w:rFonts w:ascii="Times New Roman" w:hAnsi="Times New Roman"/>
          <w:sz w:val="20"/>
        </w:rPr>
        <w:t xml:space="preserve"> that any expenses payable under clauses (vi) and (vii) above and any expenses relating to the one half of the cost of any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Covenant of the Underwriters. </w:t>
      </w:r>
      <w:r>
        <w:rPr>
          <w:rFonts w:ascii="Times New Roman" w:hAnsi="Times New Roman"/>
          <w:sz w:val="20"/>
        </w:rPr>
        <w:t xml:space="preserve">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Conditions of the Obligations of the Underwriters. </w:t>
      </w:r>
      <w:r>
        <w:rPr>
          <w:rFonts w:ascii="Times New Roman" w:hAnsi="Times New Roman"/>
          <w:sz w:val="20"/>
        </w:rPr>
        <w:t xml:space="preserve">The respective obligations of the several Underwriters 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Comfort Letter</w:t>
      </w:r>
      <w:r>
        <w:rPr>
          <w:rFonts w:ascii="Times New Roman" w:hAnsi="Times New Roman"/>
          <w:b/>
          <w:sz w:val="20"/>
        </w:rPr>
        <w:t xml:space="preserve">. </w:t>
      </w:r>
      <w:r>
        <w:rPr>
          <w:rFonts w:ascii="Times New Roman" w:hAnsi="Times New Roman"/>
          <w:sz w:val="20"/>
        </w:rPr>
        <w:t xml:space="preserve">On the date hereof, the Representatives shall have received from PricewaterhouseCoopers LLP, independent registered public accountants for the Company, a letter 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 xml:space="preserve">Compliance with Registration Requirements; No Stop Order; No Objection from FINRA.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(ii) No stop order suspending the effectiveness of the Registration Statement or any post-effective amendment to the Registration Statement shall be in effect, and no proceedings for such purpose shall have been instituted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(iii) If a filing has been made with FINRA, FINRA shall have raised no objection to the fairness and reasonableness of the underwriting terms and arrangements.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 Material Adverse Effect or Ratings Agency Change</w:t>
      </w:r>
      <w:r>
        <w:rPr>
          <w:rFonts w:ascii="Times New Roman" w:hAnsi="Times New Roman"/>
          <w:b/>
          <w:sz w:val="20"/>
        </w:rPr>
        <w:t xml:space="preserve">. </w:t>
      </w:r>
      <w:r>
        <w:rPr>
          <w:rFonts w:ascii="Times New Roman" w:hAnsi="Times New Roman"/>
          <w:sz w:val="20"/>
        </w:rPr>
        <w:t xml:space="preserve">For the period from and after the date of this Agreement and through and including the First Closing Date and, with respect to any Optional Shares purchased after the First Closing Date, each Option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(ii) there shall be no debt securities issued or guaranteed by the Company or any of its Subsidiaries by any nationally recognized statistical rating organization as that term is used in Rule 15c3-1(c)(2)(vi)(F) under the Exchange Act.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Opinion of Counsel for the Company</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the opinion and negative assurance letter of Goodwin Procter LLP, counsel for the Company,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Opinion of Hyman, Phelps</w:t>
      </w:r>
      <w:r>
        <w:rPr>
          <w:rFonts w:ascii="Times New Roman" w:hAnsi="Times New Roman"/>
          <w:sz w:val="20"/>
        </w:rPr>
        <w:t> </w:t>
      </w:r>
      <w:r>
        <w:rPr>
          <w:rFonts w:ascii="Times New Roman" w:hAnsi="Times New Roman"/>
          <w:b/>
          <w:i/>
          <w:sz w:val="20"/>
        </w:rPr>
        <w:t xml:space="preserve">&amp; McNamara, P.C. </w:t>
      </w:r>
      <w:r>
        <w:rPr>
          <w:rFonts w:ascii="Times New Roman" w:hAnsi="Times New Roman"/>
          <w:sz w:val="20"/>
        </w:rPr>
        <w:t xml:space="preserve">On each of the First Closing Date and each Option Closing Date, the Representatives shall have received the opinion of Hyman, Phelps &amp; McNamara, P.C., regulatory counsel for the Company,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Opinion of McCarter</w:t>
      </w:r>
      <w:r>
        <w:rPr>
          <w:rFonts w:ascii="Times New Roman" w:hAnsi="Times New Roman"/>
          <w:sz w:val="20"/>
        </w:rPr>
        <w:t> </w:t>
      </w:r>
      <w:r>
        <w:rPr>
          <w:rFonts w:ascii="Times New Roman" w:hAnsi="Times New Roman"/>
          <w:b/>
          <w:i/>
          <w:sz w:val="20"/>
        </w:rPr>
        <w:t xml:space="preserve">&amp; English, LLP. </w:t>
      </w:r>
      <w:r>
        <w:rPr>
          <w:rFonts w:ascii="Times New Roman" w:hAnsi="Times New Roman"/>
          <w:sz w:val="20"/>
        </w:rPr>
        <w:t xml:space="preserve">On each of the First Closing Date and each Option Closing Date, the Representatives shall have received the opinion of McCarter &amp; English, LLP, intellectual property counsel for the Company, dated as of such date, in form and substance reasonably satisfactory to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Opinion of Counsel for the Underwriters</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the opinion and negative assurance letter of Cooley LLP, counsel for the Underwriters in connection with the offer and sale of the Offered Shares, dated as of such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Officers</w:t>
      </w:r>
      <w:r>
        <w:rPr>
          <w:rFonts w:ascii="Times New Roman" w:hAnsi="Times New Roman"/>
          <w:sz w:val="20"/>
        </w:rPr>
        <w:t xml:space="preserve"> </w:t>
      </w:r>
      <w:r>
        <w:rPr>
          <w:rFonts w:ascii="Times New Roman" w:hAnsi="Times New Roman"/>
          <w:b/>
          <w:i/>
          <w:sz w:val="20"/>
        </w:rPr>
        <w:t>Certificate</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 </w:t>
      </w:r>
    </w:p>
    <w:p>
      <w:pPr>
        <w:pStyle w:val="TextBody"/>
        <w:bidi w:val="0"/>
        <w:spacing w:before="240" w:after="0"/>
        <w:jc w:val="left"/>
        <w:rPr>
          <w:rFonts w:ascii="Times New Roman" w:hAnsi="Times New Roman"/>
          <w:sz w:val="20"/>
        </w:rPr>
      </w:pPr>
      <w:r>
        <w:rPr>
          <w:rFonts w:ascii="Times New Roman" w:hAnsi="Times New Roman"/>
          <w:sz w:val="20"/>
        </w:rPr>
        <w:t xml:space="preserve">(i) for the period from and including the date of this Agreement through and including such date, there has not occurred 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warranties and covenants of the Company set forth in Section 1 of this Agreement are true and correct with the same force and effect as though expressly made on and as of such date;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has complied with all the agreements hereunder and satisfied all the conditions on its part to be performed or satisfied hereunder at or prior to such date.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Bring-down Comfort Letter</w:t>
      </w:r>
      <w:r>
        <w:rPr>
          <w:rFonts w:ascii="Times New Roman" w:hAnsi="Times New Roman"/>
          <w:b/>
          <w:sz w:val="20"/>
        </w:rPr>
        <w:t xml:space="preserve">. </w:t>
      </w:r>
      <w:r>
        <w:rPr>
          <w:rFonts w:ascii="Times New Roman" w:hAnsi="Times New Roman"/>
          <w:sz w:val="20"/>
        </w:rPr>
        <w:t xml:space="preserve">On each of the First Closing Date and each Option Closing Date the Representatives shall have received from PricewaterhouseCoopers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 xml:space="preserve">Lock-Up Agreements. </w:t>
      </w:r>
      <w:r>
        <w:rPr>
          <w:rFonts w:ascii="Times New Roman" w:hAnsi="Times New Roman"/>
          <w:sz w:val="20"/>
        </w:rPr>
        <w:t xml:space="preserve">On or prior to the date hereof, the Company shall have furnished to the Representatives an agreement in the form of </w:t>
      </w:r>
      <w:r>
        <w:rPr>
          <w:rFonts w:ascii="Times New Roman" w:hAnsi="Times New Roman"/>
          <w:sz w:val="20"/>
          <w:u w:val="single"/>
        </w:rPr>
        <w:t>Exhibit B</w:t>
      </w:r>
      <w:r>
        <w:rPr>
          <w:rFonts w:ascii="Times New Roman" w:hAnsi="Times New Roman"/>
          <w:sz w:val="20"/>
        </w:rPr>
        <w:t xml:space="preserve"> hereto from each of the persons listed on </w:t>
      </w:r>
      <w:r>
        <w:rPr>
          <w:rFonts w:ascii="Times New Roman" w:hAnsi="Times New Roman"/>
          <w:sz w:val="20"/>
          <w:u w:val="single"/>
        </w:rPr>
        <w:t>Exhibit C</w:t>
      </w:r>
      <w:r>
        <w:rPr>
          <w:rFonts w:ascii="Times New Roman" w:hAnsi="Times New Roman"/>
          <w:sz w:val="20"/>
        </w:rPr>
        <w:t xml:space="preserve"> hereto, and each such agreement shall be in full force and effect on each of the First Closing Date and each Option Closing Date.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Rule</w:t>
      </w:r>
      <w:r>
        <w:rPr>
          <w:rFonts w:ascii="Times New Roman" w:hAnsi="Times New Roman"/>
          <w:sz w:val="20"/>
        </w:rPr>
        <w:t> </w:t>
      </w:r>
      <w:r>
        <w:rPr>
          <w:rFonts w:ascii="Times New Roman" w:hAnsi="Times New Roman"/>
          <w:b/>
          <w:i/>
          <w:sz w:val="20"/>
        </w:rPr>
        <w:t>462(b) Registration Statement</w:t>
      </w:r>
      <w:r>
        <w:rPr>
          <w:rFonts w:ascii="Times New Roman" w:hAnsi="Times New Roman"/>
          <w:sz w:val="20"/>
        </w:rPr>
        <w:t xml:space="preserve">.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CFO Certificate</w:t>
      </w:r>
      <w:r>
        <w:rPr>
          <w:rFonts w:ascii="Times New Roman" w:hAnsi="Times New Roman"/>
          <w:sz w:val="20"/>
        </w:rPr>
        <w:t xml:space="preserve">.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Approval of Listing</w:t>
      </w:r>
      <w:r>
        <w:rPr>
          <w:rFonts w:ascii="Times New Roman" w:hAnsi="Times New Roman"/>
          <w:i/>
          <w:sz w:val="20"/>
        </w:rPr>
        <w:t>.</w:t>
      </w:r>
      <w:r>
        <w:rPr>
          <w:rFonts w:ascii="Times New Roman" w:hAnsi="Times New Roman"/>
          <w:sz w:val="20"/>
        </w:rPr>
        <w:t xml:space="preserve"> On or before the First Closing Date, the Company shall have made all required submissions to Nasdaq regarding the Offered Shares and shall have not received any notice objecting to the listing of the Offered Shares from Nasdaq.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Additional Documents</w:t>
      </w:r>
      <w:r>
        <w:rPr>
          <w:rFonts w:ascii="Times New Roman" w:hAnsi="Times New Roman"/>
          <w:sz w:val="20"/>
        </w:rPr>
        <w:t xml:space="preserve">. On or before each of the First Closing Date and each Option Closing Date, the Representatives and counsel for the Underwriters shall have received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6 is not satisfied when and as required to be satisfied, this Agreement may be terminated by the Representatives by notice from Leerink Partners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Reimbursement of Underwriters</w:t>
      </w:r>
      <w:r>
        <w:rPr>
          <w:rFonts w:ascii="Times New Roman" w:hAnsi="Times New Roman"/>
          <w:sz w:val="20"/>
        </w:rPr>
        <w:t xml:space="preserve"> </w:t>
      </w:r>
      <w:r>
        <w:rPr>
          <w:rFonts w:ascii="Times New Roman" w:hAnsi="Times New Roman"/>
          <w:b/>
          <w:sz w:val="20"/>
        </w:rPr>
        <w:t>Expenses</w:t>
      </w:r>
      <w:r>
        <w:rPr>
          <w:rFonts w:ascii="Times New Roman" w:hAnsi="Times New Roman"/>
          <w:sz w:val="20"/>
        </w:rPr>
        <w:t xml:space="preserve">.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For the avoidance of doubt, it is understood that the Company will not pay or reimburse any costs, fees or expenses incurred by an Underwriter that defaults on its obligation to purchase the Offered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Effectiveness of this Agreement</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Indemnification of the Underwriters</w:t>
      </w:r>
      <w:r>
        <w:rPr>
          <w:rFonts w:ascii="Times New Roman" w:hAnsi="Times New Roman"/>
          <w:b/>
          <w:sz w:val="20"/>
        </w:rPr>
        <w:t xml:space="preserve">. </w:t>
      </w:r>
      <w:r>
        <w:rPr>
          <w:rFonts w:ascii="Times New Roman" w:hAnsi="Times New Roman"/>
          <w:sz w:val="20"/>
        </w:rPr>
        <w:t xml:space="preserve">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hAnsi="Times New Roman"/>
          <w:i/>
          <w:sz w:val="20"/>
        </w:rPr>
        <w:t>provided, however</w:t>
      </w:r>
      <w:r>
        <w:rPr>
          <w:rFonts w:ascii="Times New Roman" w:hAnsi="Times New Roman"/>
          <w:sz w:val="20"/>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Indemnification of the Company, its Directors and Officers</w:t>
      </w:r>
      <w:r>
        <w:rPr>
          <w:rFonts w:ascii="Times New Roman" w:hAnsi="Times New Roman"/>
          <w:sz w:val="20"/>
        </w:rPr>
        <w:t xml:space="preserve">.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(i) the sentences and figure relating to selling concession appearing in the first paragraph under the heading UnderwritingDiscounts and Commissions and (ii) the statements concerning the Underwriters contained in the second and third paragraphs under the heading UnderwritingPrice Stabilization, Short Positions and Penalty Bids. each under the caption Underwriting in the Preliminary Prospectus Supplement and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Supplement. The indemnity agreement set forth in this Section 9(b)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Notifications and Other Indemnification Procedures</w:t>
      </w:r>
      <w:r>
        <w:rPr>
          <w:rFonts w:ascii="Times New Roman" w:hAnsi="Times New Roman"/>
          <w:b/>
          <w:sz w:val="20"/>
        </w:rPr>
        <w:t xml:space="preserve">. </w:t>
      </w:r>
      <w:r>
        <w:rPr>
          <w:rFonts w:ascii="Times New Roman" w:hAnsi="Times New Roman"/>
          <w:sz w:val="20"/>
        </w:rPr>
        <w:t xml:space="preserve">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hAnsi="Times New Roman"/>
          <w:i/>
          <w:sz w:val="20"/>
        </w:rPr>
        <w:t>provided, however</w:t>
      </w:r>
      <w:r>
        <w:rPr>
          <w:rFonts w:ascii="Times New Roman" w:hAnsi="Times New Roman"/>
          <w:sz w:val="20"/>
        </w:rPr>
        <w:t xml:space="preserve">,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one local counsel in each relevant jurisdiction), representing the indemnified parties who are parties to such action), which counsel (together with one local counsel in each relevant jurisdiction) for the indemnified parties shall be selected by Leerink Partners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Settlements</w:t>
      </w:r>
      <w:r>
        <w:rPr>
          <w:rFonts w:ascii="Times New Roman" w:hAnsi="Times New Roman"/>
          <w:b/>
          <w:sz w:val="20"/>
        </w:rPr>
        <w:t xml:space="preserve">. </w:t>
      </w:r>
      <w:r>
        <w:rPr>
          <w:rFonts w:ascii="Times New Roman" w:hAnsi="Times New Roman"/>
          <w:sz w:val="20"/>
        </w:rPr>
        <w:t xml:space="preserve">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Contribution</w:t>
      </w:r>
      <w:r>
        <w:rPr>
          <w:rFonts w:ascii="Times New Roman" w:hAnsi="Times New Roman"/>
          <w:sz w:val="20"/>
        </w:rPr>
        <w:t xml:space="preserve">.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hAnsi="Times New Roman"/>
          <w:i/>
          <w:sz w:val="20"/>
        </w:rPr>
        <w:t>provided, however,</w:t>
      </w:r>
      <w:r>
        <w:rPr>
          <w:rFonts w:ascii="Times New Roman" w:hAnsi="Times New Roman"/>
          <w:sz w:val="20"/>
        </w:rPr>
        <w:t xml:space="preserve"> that no additional notice shall be required with respect to any action for which notice has been given under Section 9(c)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hAnsi="Times New Roman"/>
          <w:sz w:val="20"/>
          <w:u w:val="single"/>
        </w:rPr>
        <w:t>Schedule A</w:t>
      </w:r>
      <w:r>
        <w:rPr>
          <w:rFonts w:ascii="Times New Roman" w:hAnsi="Times New Roman"/>
          <w:sz w:val="20"/>
        </w:rPr>
        <w:t xml:space="preserv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Default of One or More of the Several Underwriters</w:t>
      </w:r>
      <w:r>
        <w:rPr>
          <w:rFonts w:ascii="Times New Roman" w:hAnsi="Times New Roman"/>
          <w:i/>
          <w:sz w:val="20"/>
        </w:rPr>
        <w:t xml:space="preserve">. </w:t>
      </w:r>
      <w:r>
        <w:rPr>
          <w:rFonts w:ascii="Times New Roman" w:hAnsi="Times New Roman"/>
          <w:sz w:val="20"/>
        </w:rPr>
        <w:t xml:space="preserve">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hAnsi="Times New Roman"/>
          <w:sz w:val="20"/>
          <w:u w:val="single"/>
        </w:rPr>
        <w:t>Schedule A</w:t>
      </w:r>
      <w:r>
        <w:rPr>
          <w:rFonts w:ascii="Times New Roman" w:hAnsi="Times New Roman"/>
          <w:sz w:val="20"/>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11. Any action taken under this Section 11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Termination of this Agreement</w:t>
      </w:r>
      <w:r>
        <w:rPr>
          <w:rFonts w:ascii="Times New Roman" w:hAnsi="Times New Roman"/>
          <w:i/>
          <w:sz w:val="20"/>
        </w:rPr>
        <w:t xml:space="preserve">. </w:t>
      </w:r>
      <w:r>
        <w:rPr>
          <w:rFonts w:ascii="Times New Roman" w:hAnsi="Times New Roman"/>
          <w:sz w:val="20"/>
        </w:rPr>
        <w:t xml:space="preserve">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any of federal, New York, or Pennsylvania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 Material Adverse Effect; or (v) the Company shall have sustained a loss by strike, fire, flood, earthquake, accident or other calamity of such character as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accountable and actually incurred expenses of the Representatives and the Underwriters pursuant to Section 4 or Section 7 hereof or (b) any Underwriter to the Company; </w:t>
      </w:r>
      <w:r>
        <w:rPr>
          <w:rFonts w:ascii="Times New Roman" w:hAnsi="Times New Roman"/>
          <w:i/>
          <w:sz w:val="20"/>
        </w:rPr>
        <w:t>provided, however,</w:t>
      </w:r>
      <w:r>
        <w:rPr>
          <w:rFonts w:ascii="Times New Roman" w:hAnsi="Times New Roman"/>
          <w:sz w:val="20"/>
        </w:rPr>
        <w:t xml:space="preserve"> that the provisions of Section 9 and Section 10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 xml:space="preserve">No Advisory or Fiduciary Relationship. </w:t>
      </w:r>
      <w:r>
        <w:rPr>
          <w:rFonts w:ascii="Times New Roman" w:hAnsi="Times New Roman"/>
          <w:sz w:val="20"/>
        </w:rPr>
        <w:t xml:space="preserve">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or tax advice with respect to the offering contemplated hereby and the Company has consulted its own legal, accounting, regulatory and tax advisors to the extent it deemed appropriate , and (f) none of the activities of the Underwriters in connection with the transactions contemplated herein constitutes a recommendation, investment advice or solicitation of any action by the Underwriters with respect to any entity or natural person.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communications hereunder shall be in writing and shall be mailed, hand delivered or telecopied and confirmed to the parties hereto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546"/>
        <w:gridCol w:w="98"/>
        <w:gridCol w:w="7152"/>
      </w:tblGrid>
      <w:tr>
        <w:trPr/>
        <w:tc>
          <w:tcPr>
            <w:tcW w:w="2546"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7152" w:type="dxa"/>
            <w:tcBorders/>
            <w:vAlign w:val="center"/>
          </w:tcPr>
          <w:p>
            <w:pPr>
              <w:pStyle w:val="TableContents"/>
              <w:bidi w:val="0"/>
              <w:spacing w:before="0" w:after="283"/>
              <w:jc w:val="left"/>
              <w:rPr>
                <w:sz w:val="4"/>
                <w:szCs w:val="4"/>
              </w:rPr>
            </w:pPr>
            <w:r>
              <w:rPr>
                <w:sz w:val="4"/>
                <w:szCs w:val="4"/>
              </w:rPr>
            </w:r>
          </w:p>
        </w:tc>
      </w:tr>
      <w:tr>
        <w:trPr/>
        <w:tc>
          <w:tcPr>
            <w:tcW w:w="2546" w:type="dxa"/>
            <w:tcBorders/>
          </w:tcPr>
          <w:p>
            <w:pPr>
              <w:pStyle w:val="TableContents"/>
              <w:bidi w:val="0"/>
              <w:spacing w:before="0" w:after="283"/>
              <w:jc w:val="left"/>
              <w:rPr/>
            </w:pPr>
            <w:r>
              <w:rPr/>
              <w:t>If to the Representatives:</w:t>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Leerink Partners LLC</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1301 Avenue of the Americas, 12th Floor</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New York, New York 10019</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Stuart R. Nayman</w:t>
            </w:r>
          </w:p>
        </w:tc>
      </w:tr>
      <w:tr>
        <w:trPr>
          <w:trHeight w:val="120" w:hRule="atLeast"/>
        </w:trPr>
        <w:tc>
          <w:tcPr>
            <w:tcW w:w="2546"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Citigroup Global Markets Inc.</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388 Greenwich Street</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New York, New York 10013</w:t>
            </w:r>
          </w:p>
        </w:tc>
      </w:tr>
      <w:tr>
        <w:trPr/>
        <w:tc>
          <w:tcPr>
            <w:tcW w:w="2546"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4800" w:type="pct"/>
        <w:jc w:val="right"/>
        <w:tblInd w:w="0" w:type="dxa"/>
        <w:tblLayout w:type="fixed"/>
        <w:tblCellMar>
          <w:top w:w="0" w:type="dxa"/>
          <w:left w:w="0" w:type="dxa"/>
          <w:bottom w:w="0" w:type="dxa"/>
          <w:right w:w="0" w:type="dxa"/>
        </w:tblCellMar>
      </w:tblPr>
      <w:tblGrid>
        <w:gridCol w:w="2547"/>
        <w:gridCol w:w="97"/>
        <w:gridCol w:w="7152"/>
      </w:tblGrid>
      <w:tr>
        <w:trPr/>
        <w:tc>
          <w:tcPr>
            <w:tcW w:w="254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7152" w:type="dxa"/>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Guggenheim Securities, LLC</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330 Madison Avenue</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New York, New York 10017</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Head of Equity Capital Markets</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pPr>
            <w:r>
              <w:rPr/>
              <w:t>with a copy to:</w:t>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Cooley LLP</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55 Hudson Yards</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New York, New York 10001</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Eric Blanchard, Jean Park</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pPr>
            <w:r>
              <w:rPr/>
              <w:t>If to the Company:</w:t>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Larimar Therapeutics, Inc.</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Three Bala Plaza East, Suite 506</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Bala Cynwyd, Pennsylvania</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Chief Executive Officer</w:t>
            </w:r>
          </w:p>
        </w:tc>
      </w:tr>
      <w:tr>
        <w:trPr>
          <w:trHeight w:val="120" w:hRule="atLeast"/>
        </w:trPr>
        <w:tc>
          <w:tcPr>
            <w:tcW w:w="2547" w:type="dxa"/>
            <w:tcBorders/>
            <w:vAlign w:val="center"/>
          </w:tcPr>
          <w:p>
            <w:pPr>
              <w:pStyle w:val="TableContents"/>
              <w:bidi w:val="0"/>
              <w:spacing w:before="0" w:after="283"/>
              <w:jc w:val="left"/>
              <w:rPr>
                <w:sz w:val="4"/>
                <w:szCs w:val="4"/>
              </w:rPr>
            </w:pPr>
            <w:r>
              <w:rPr>
                <w:sz w:val="4"/>
                <w:szCs w:val="4"/>
              </w:rPr>
            </w:r>
          </w:p>
        </w:tc>
        <w:tc>
          <w:tcPr>
            <w:tcW w:w="7249" w:type="dxa"/>
            <w:gridSpan w:val="2"/>
            <w:tcBorders/>
            <w:vAlign w:val="center"/>
          </w:tcPr>
          <w:p>
            <w:pPr>
              <w:pStyle w:val="TableContents"/>
              <w:bidi w:val="0"/>
              <w:spacing w:before="0" w:after="283"/>
              <w:jc w:val="left"/>
              <w:rPr>
                <w:sz w:val="4"/>
                <w:szCs w:val="4"/>
              </w:rPr>
            </w:pPr>
            <w:r>
              <w:rPr>
                <w:sz w:val="4"/>
                <w:szCs w:val="4"/>
              </w:rPr>
            </w:r>
          </w:p>
        </w:tc>
      </w:tr>
      <w:tr>
        <w:trPr/>
        <w:tc>
          <w:tcPr>
            <w:tcW w:w="2547" w:type="dxa"/>
            <w:tcBorders/>
          </w:tcPr>
          <w:p>
            <w:pPr>
              <w:pStyle w:val="TableContents"/>
              <w:bidi w:val="0"/>
              <w:spacing w:before="0" w:after="283"/>
              <w:jc w:val="left"/>
              <w:rPr/>
            </w:pPr>
            <w:r>
              <w:rPr/>
              <w:t>with a copy to:</w:t>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Goodwin Procter LLP</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2005 Market St, 32nd floor</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Philadelphia, Pennsylvania 19103</w:t>
            </w:r>
          </w:p>
        </w:tc>
      </w:tr>
      <w:tr>
        <w:trPr/>
        <w:tc>
          <w:tcPr>
            <w:tcW w:w="2547"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7152" w:type="dxa"/>
            <w:tcBorders/>
          </w:tcPr>
          <w:p>
            <w:pPr>
              <w:pStyle w:val="TableContents"/>
              <w:bidi w:val="0"/>
              <w:spacing w:before="0" w:after="283"/>
              <w:jc w:val="left"/>
              <w:rPr/>
            </w:pPr>
            <w:r>
              <w:rPr/>
              <w:t>Attention: Jennifer Porter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Successors</w:t>
      </w:r>
      <w:r>
        <w:rPr>
          <w:rFonts w:ascii="Times New Roman" w:hAnsi="Times New Roman"/>
          <w:i/>
          <w:sz w:val="20"/>
        </w:rPr>
        <w:t xml:space="preserve">. </w:t>
      </w:r>
      <w:r>
        <w:rPr>
          <w:rFonts w:ascii="Times New Roman" w:hAnsi="Times New Roman"/>
          <w:sz w:val="20"/>
        </w:rPr>
        <w:t>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hAnsi="Times New Roman"/>
          <w:b/>
          <w:sz w:val="20"/>
        </w:rPr>
        <w:t>successors</w:t>
      </w:r>
      <w:r>
        <w:rPr>
          <w:rFonts w:ascii="Times New Roman" w:hAnsi="Times New Roman"/>
          <w:sz w:val="20"/>
        </w:rPr>
        <w:t xml:space="preserve"> shall not include any purchaser of the Offered Shares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Partial Unenforceability</w:t>
      </w:r>
      <w:r>
        <w:rPr>
          <w:rFonts w:ascii="Times New Roman" w:hAnsi="Times New Roman"/>
          <w:sz w:val="20"/>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18. Recognition of the U.S. Special Resolution Regimes.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Agreement,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Governing Law Provisions</w:t>
      </w:r>
      <w:r>
        <w:rPr>
          <w:rFonts w:ascii="Times New Roman" w:hAnsi="Times New Roman"/>
          <w:i/>
          <w:sz w:val="20"/>
        </w:rPr>
        <w:t xml:space="preserve">. </w:t>
      </w:r>
      <w:r>
        <w:rPr>
          <w:rFonts w:ascii="Times New Roman" w:hAnsi="Times New Roman"/>
          <w:sz w:val="20"/>
        </w:rPr>
        <w:t>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 xml:space="preserve">General Provisions. </w:t>
      </w:r>
      <w:r>
        <w:rPr>
          <w:rFonts w:ascii="Times New Roman" w:hAnsi="Times New Roman"/>
          <w:sz w:val="20"/>
        </w:rPr>
        <w:t xml:space="preserve">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LARIMAR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Celano</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Michael Celano</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46"/>
        <w:gridCol w:w="60"/>
        <w:gridCol w:w="3276"/>
      </w:tblGrid>
      <w:tr>
        <w:trPr/>
        <w:tc>
          <w:tcPr>
            <w:tcW w:w="7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c>
          <w:tcPr>
            <w:tcW w:w="4082" w:type="dxa"/>
            <w:gridSpan w:val="3"/>
            <w:tcBorders/>
          </w:tcPr>
          <w:p>
            <w:pPr>
              <w:pStyle w:val="TableContents"/>
              <w:bidi w:val="0"/>
              <w:spacing w:before="0" w:after="283"/>
              <w:jc w:val="left"/>
              <w:rPr>
                <w:b/>
              </w:rPr>
            </w:pPr>
            <w:r>
              <w:rPr>
                <w:b/>
              </w:rPr>
              <w:t>CITIGROUP GLOBAL MARKETS INC.</w:t>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Acting individually and as Representatives of the several Underwriters named in the attached </w:t>
            </w:r>
            <w:r>
              <w:rPr>
                <w:u w:val="single"/>
              </w:rPr>
              <w:t>Schedule A</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746" w:type="dxa"/>
            <w:tcBorders/>
            <w:vAlign w:val="center"/>
          </w:tcPr>
          <w:p>
            <w:pPr>
              <w:pStyle w:val="TableContents"/>
              <w:bidi w:val="0"/>
              <w:spacing w:before="0" w:after="283"/>
              <w:jc w:val="left"/>
              <w:rPr>
                <w:sz w:val="4"/>
                <w:szCs w:val="4"/>
              </w:rPr>
            </w:pPr>
            <w:r>
              <w:rPr>
                <w:sz w:val="4"/>
                <w:szCs w:val="4"/>
              </w:rPr>
            </w:r>
          </w:p>
        </w:tc>
        <w:tc>
          <w:tcPr>
            <w:tcW w:w="3336" w:type="dxa"/>
            <w:gridSpan w:val="2"/>
            <w:tcBorders/>
            <w:vAlign w:val="center"/>
          </w:tcPr>
          <w:p>
            <w:pPr>
              <w:pStyle w:val="TableContents"/>
              <w:bidi w:val="0"/>
              <w:spacing w:before="0" w:after="283"/>
              <w:jc w:val="left"/>
              <w:rPr>
                <w:sz w:val="4"/>
                <w:szCs w:val="4"/>
              </w:rPr>
            </w:pPr>
            <w:r>
              <w:rPr>
                <w:sz w:val="4"/>
                <w:szCs w:val="4"/>
              </w:rPr>
            </w:r>
          </w:p>
        </w:tc>
      </w:tr>
      <w:tr>
        <w:trPr/>
        <w:tc>
          <w:tcPr>
            <w:tcW w:w="7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 Civitarese</w:t>
            </w:r>
          </w:p>
        </w:tc>
      </w:tr>
      <w:tr>
        <w:trPr/>
        <w:tc>
          <w:tcPr>
            <w:tcW w:w="7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Jon Civitarese</w:t>
            </w:r>
          </w:p>
        </w:tc>
      </w:tr>
      <w:tr>
        <w:trPr/>
        <w:tc>
          <w:tcPr>
            <w:tcW w:w="7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Senior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CITIGROUP GLOBAL MARKETS INC.</w:t>
            </w:r>
          </w:p>
        </w:tc>
      </w:tr>
      <w:tr>
        <w:trPr>
          <w:trHeight w:val="240" w:hRule="atLeast"/>
        </w:trPr>
        <w:tc>
          <w:tcPr>
            <w:tcW w:w="746" w:type="dxa"/>
            <w:tcBorders/>
            <w:vAlign w:val="center"/>
          </w:tcPr>
          <w:p>
            <w:pPr>
              <w:pStyle w:val="TableContents"/>
              <w:bidi w:val="0"/>
              <w:spacing w:before="0" w:after="283"/>
              <w:jc w:val="left"/>
              <w:rPr>
                <w:sz w:val="4"/>
                <w:szCs w:val="4"/>
              </w:rPr>
            </w:pPr>
            <w:r>
              <w:rPr>
                <w:sz w:val="4"/>
                <w:szCs w:val="4"/>
              </w:rPr>
            </w:r>
          </w:p>
        </w:tc>
        <w:tc>
          <w:tcPr>
            <w:tcW w:w="3336" w:type="dxa"/>
            <w:gridSpan w:val="2"/>
            <w:tcBorders/>
            <w:vAlign w:val="center"/>
          </w:tcPr>
          <w:p>
            <w:pPr>
              <w:pStyle w:val="TableContents"/>
              <w:bidi w:val="0"/>
              <w:spacing w:before="0" w:after="283"/>
              <w:jc w:val="left"/>
              <w:rPr>
                <w:sz w:val="4"/>
                <w:szCs w:val="4"/>
              </w:rPr>
            </w:pPr>
            <w:r>
              <w:rPr>
                <w:sz w:val="4"/>
                <w:szCs w:val="4"/>
              </w:rPr>
            </w:r>
          </w:p>
        </w:tc>
      </w:tr>
      <w:tr>
        <w:trPr/>
        <w:tc>
          <w:tcPr>
            <w:tcW w:w="7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Riso</w:t>
            </w:r>
          </w:p>
        </w:tc>
      </w:tr>
      <w:tr>
        <w:trPr/>
        <w:tc>
          <w:tcPr>
            <w:tcW w:w="7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Max Riso</w:t>
            </w:r>
          </w:p>
        </w:tc>
      </w:tr>
      <w:tr>
        <w:trPr/>
        <w:tc>
          <w:tcPr>
            <w:tcW w:w="7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746" w:type="dxa"/>
            <w:tcBorders/>
            <w:vAlign w:val="center"/>
          </w:tcPr>
          <w:p>
            <w:pPr>
              <w:pStyle w:val="TableContents"/>
              <w:bidi w:val="0"/>
              <w:spacing w:before="0" w:after="283"/>
              <w:jc w:val="left"/>
              <w:rPr>
                <w:sz w:val="4"/>
                <w:szCs w:val="4"/>
              </w:rPr>
            </w:pPr>
            <w:r>
              <w:rPr>
                <w:sz w:val="4"/>
                <w:szCs w:val="4"/>
              </w:rPr>
            </w:r>
          </w:p>
        </w:tc>
        <w:tc>
          <w:tcPr>
            <w:tcW w:w="3336" w:type="dxa"/>
            <w:gridSpan w:val="2"/>
            <w:tcBorders/>
            <w:vAlign w:val="center"/>
          </w:tcPr>
          <w:p>
            <w:pPr>
              <w:pStyle w:val="TableContents"/>
              <w:bidi w:val="0"/>
              <w:spacing w:before="0" w:after="283"/>
              <w:jc w:val="left"/>
              <w:rPr>
                <w:sz w:val="4"/>
                <w:szCs w:val="4"/>
              </w:rPr>
            </w:pPr>
            <w:r>
              <w:rPr>
                <w:sz w:val="4"/>
                <w:szCs w:val="4"/>
              </w:rPr>
            </w:r>
          </w:p>
        </w:tc>
      </w:tr>
      <w:tr>
        <w:trPr/>
        <w:tc>
          <w:tcPr>
            <w:tcW w:w="7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Jordan Bliss</w:t>
            </w:r>
          </w:p>
        </w:tc>
      </w:tr>
      <w:tr>
        <w:trPr/>
        <w:tc>
          <w:tcPr>
            <w:tcW w:w="7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Jordan Bliss</w:t>
            </w:r>
          </w:p>
        </w:tc>
      </w:tr>
      <w:tr>
        <w:trPr/>
        <w:tc>
          <w:tcPr>
            <w:tcW w:w="7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6" w:type="dxa"/>
            <w:tcBorders/>
          </w:tcPr>
          <w:p>
            <w:pPr>
              <w:pStyle w:val="TableContents"/>
              <w:bidi w:val="0"/>
              <w:spacing w:before="0" w:after="283"/>
              <w:jc w:val="left"/>
              <w:rPr/>
            </w:pPr>
            <w:r>
              <w:rPr/>
              <w:t>Senior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17"/>
        <w:gridCol w:w="328"/>
        <w:gridCol w:w="85"/>
        <w:gridCol w:w="1612"/>
        <w:gridCol w:w="63"/>
      </w:tblGrid>
      <w:tr>
        <w:trPr/>
        <w:tc>
          <w:tcPr>
            <w:tcW w:w="8117"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28"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Firm Shares</w:t>
            </w:r>
            <w:r>
              <w:rPr/>
              <w:br/>
            </w:r>
            <w:r>
              <w:rPr>
                <w:b/>
              </w:rPr>
              <w:t>to be Purchased</w:t>
            </w:r>
          </w:p>
        </w:tc>
        <w:tc>
          <w:tcPr>
            <w:tcW w:w="63" w:type="dxa"/>
            <w:tcBorders/>
            <w:vAlign w:val="bottom"/>
          </w:tcPr>
          <w:p>
            <w:pPr>
              <w:pStyle w:val="TableContents"/>
              <w:bidi w:val="0"/>
              <w:spacing w:before="0" w:after="283"/>
              <w:jc w:val="left"/>
              <w:rPr/>
            </w:pPr>
            <w:r>
              <w:rPr/>
              <w:t> </w:t>
            </w:r>
          </w:p>
        </w:tc>
      </w:tr>
      <w:tr>
        <w:trPr/>
        <w:tc>
          <w:tcPr>
            <w:tcW w:w="8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6,521,739</w:t>
            </w:r>
          </w:p>
        </w:tc>
        <w:tc>
          <w:tcPr>
            <w:tcW w:w="63" w:type="dxa"/>
            <w:tcBorders/>
            <w:shd w:fill="CCEEFF" w:val="clear"/>
            <w:vAlign w:val="bottom"/>
          </w:tcPr>
          <w:p>
            <w:pPr>
              <w:pStyle w:val="TableContents"/>
              <w:bidi w:val="0"/>
              <w:spacing w:before="0" w:after="283"/>
              <w:jc w:val="left"/>
              <w:rPr/>
            </w:pPr>
            <w:r>
              <w:rPr/>
              <w:t> </w:t>
            </w:r>
          </w:p>
        </w:tc>
      </w:tr>
      <w:tr>
        <w:trPr/>
        <w:tc>
          <w:tcPr>
            <w:tcW w:w="8117"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4,462,243</w:t>
            </w:r>
          </w:p>
        </w:tc>
        <w:tc>
          <w:tcPr>
            <w:tcW w:w="63" w:type="dxa"/>
            <w:tcBorders/>
            <w:vAlign w:val="bottom"/>
          </w:tcPr>
          <w:p>
            <w:pPr>
              <w:pStyle w:val="TableContents"/>
              <w:bidi w:val="0"/>
              <w:spacing w:before="0" w:after="283"/>
              <w:jc w:val="left"/>
              <w:rPr/>
            </w:pPr>
            <w:r>
              <w:rPr/>
              <w:t> </w:t>
            </w:r>
          </w:p>
        </w:tc>
      </w:tr>
      <w:tr>
        <w:trPr/>
        <w:tc>
          <w:tcPr>
            <w:tcW w:w="8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4,462,243</w:t>
            </w:r>
          </w:p>
        </w:tc>
        <w:tc>
          <w:tcPr>
            <w:tcW w:w="63" w:type="dxa"/>
            <w:tcBorders/>
            <w:shd w:fill="CCEEFF" w:val="clear"/>
            <w:vAlign w:val="bottom"/>
          </w:tcPr>
          <w:p>
            <w:pPr>
              <w:pStyle w:val="TableContents"/>
              <w:bidi w:val="0"/>
              <w:spacing w:before="0" w:after="283"/>
              <w:jc w:val="left"/>
              <w:rPr/>
            </w:pPr>
            <w:r>
              <w:rPr/>
              <w:t> </w:t>
            </w:r>
          </w:p>
        </w:tc>
      </w:tr>
      <w:tr>
        <w:trPr/>
        <w:tc>
          <w:tcPr>
            <w:tcW w:w="8117"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right"/>
              <w:rPr/>
            </w:pPr>
            <w:r>
              <w:rPr/>
              <w:t>1,716,247</w:t>
            </w:r>
          </w:p>
        </w:tc>
        <w:tc>
          <w:tcPr>
            <w:tcW w:w="63" w:type="dxa"/>
            <w:tcBorders/>
            <w:vAlign w:val="bottom"/>
          </w:tcPr>
          <w:p>
            <w:pPr>
              <w:pStyle w:val="TableContents"/>
              <w:bidi w:val="0"/>
              <w:spacing w:before="0" w:after="283"/>
              <w:jc w:val="left"/>
              <w:rPr/>
            </w:pPr>
            <w:r>
              <w:rPr/>
              <w:t> </w:t>
            </w:r>
          </w:p>
        </w:tc>
      </w:tr>
      <w:tr>
        <w:trPr/>
        <w:tc>
          <w:tcPr>
            <w:tcW w:w="8117"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61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612" w:type="dxa"/>
            <w:tcBorders/>
            <w:shd w:fill="CCEEFF" w:val="clear"/>
            <w:vAlign w:val="bottom"/>
          </w:tcPr>
          <w:p>
            <w:pPr>
              <w:pStyle w:val="TableContents"/>
              <w:bidi w:val="0"/>
              <w:spacing w:before="0" w:after="283"/>
              <w:jc w:val="right"/>
              <w:rPr/>
            </w:pPr>
            <w:r>
              <w:rPr/>
              <w:t>17,162,472</w:t>
            </w:r>
          </w:p>
        </w:tc>
        <w:tc>
          <w:tcPr>
            <w:tcW w:w="63" w:type="dxa"/>
            <w:tcBorders/>
            <w:shd w:fill="CCEEFF" w:val="clear"/>
            <w:vAlign w:val="bottom"/>
          </w:tcPr>
          <w:p>
            <w:pPr>
              <w:pStyle w:val="TableContents"/>
              <w:bidi w:val="0"/>
              <w:spacing w:before="0" w:after="283"/>
              <w:jc w:val="left"/>
              <w:rPr/>
            </w:pPr>
            <w:r>
              <w:rPr/>
              <w:t> </w:t>
            </w:r>
          </w:p>
        </w:tc>
      </w:tr>
      <w:tr>
        <w:trPr/>
        <w:tc>
          <w:tcPr>
            <w:tcW w:w="8117"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161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Free Writing Prospectuses Included in the Time of Sale Prospectus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Subsidiaries </w:t>
      </w:r>
    </w:p>
    <w:p>
      <w:pPr>
        <w:pStyle w:val="TextBody"/>
        <w:bidi w:val="0"/>
        <w:spacing w:before="240" w:after="0"/>
        <w:jc w:val="left"/>
        <w:rPr>
          <w:rFonts w:ascii="Times New Roman" w:hAnsi="Times New Roman"/>
          <w:sz w:val="20"/>
        </w:rPr>
      </w:pPr>
      <w:r>
        <w:rPr>
          <w:rFonts w:ascii="Times New Roman" w:hAnsi="Times New Roman"/>
          <w:sz w:val="20"/>
        </w:rPr>
        <w:t xml:space="preserve">Zafgen Australia Pty Limited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Leerink Partners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53 State Street, 40th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Citigroup Global Markets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c/o</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LLC </w:t>
            </w:r>
          </w:p>
        </w:tc>
      </w:tr>
    </w:tbl>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 Larimar Therapeutics, Inc. 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letter agreement (this </w:t>
      </w:r>
      <w:r>
        <w:rPr>
          <w:rFonts w:ascii="Times New Roman" w:hAnsi="Times New Roman"/>
          <w:b/>
          <w:sz w:val="20"/>
        </w:rPr>
        <w:t>Agreement</w:t>
      </w:r>
      <w:r>
        <w:rPr>
          <w:rFonts w:ascii="Times New Roman" w:hAnsi="Times New Roman"/>
          <w:sz w:val="20"/>
        </w:rPr>
        <w:t>) relates to the proposed offering (the </w:t>
      </w:r>
      <w:r>
        <w:rPr>
          <w:rFonts w:ascii="Times New Roman" w:hAnsi="Times New Roman"/>
          <w:b/>
          <w:sz w:val="20"/>
        </w:rPr>
        <w:t>Offering</w:t>
      </w:r>
      <w:r>
        <w:rPr>
          <w:rFonts w:ascii="Times New Roman" w:hAnsi="Times New Roman"/>
          <w:sz w:val="20"/>
        </w:rPr>
        <w:t>) by Larimar Therapeutics, Inc., a Delaware corporation (the </w:t>
      </w:r>
      <w:r>
        <w:rPr>
          <w:rFonts w:ascii="Times New Roman" w:hAnsi="Times New Roman"/>
          <w:b/>
          <w:sz w:val="20"/>
        </w:rPr>
        <w:t>Company</w:t>
      </w:r>
      <w:r>
        <w:rPr>
          <w:rFonts w:ascii="Times New Roman" w:hAnsi="Times New Roman"/>
          <w:sz w:val="20"/>
        </w:rPr>
        <w:t>), of its common stock, $0.001 par value (the </w:t>
      </w:r>
      <w:r>
        <w:rPr>
          <w:rFonts w:ascii="Times New Roman" w:hAnsi="Times New Roman"/>
          <w:b/>
          <w:sz w:val="20"/>
        </w:rPr>
        <w:t>Stock</w:t>
      </w:r>
      <w:r>
        <w:rPr>
          <w:rFonts w:ascii="Times New Roman" w:hAnsi="Times New Roman"/>
          <w:sz w:val="20"/>
        </w:rPr>
        <w:t>) and/or other equity securities of the Company, pursuant to an Underwriting Agreement (the </w:t>
      </w:r>
      <w:r>
        <w:rPr>
          <w:rFonts w:ascii="Times New Roman" w:hAnsi="Times New Roman"/>
          <w:b/>
          <w:sz w:val="20"/>
        </w:rPr>
        <w:t>Underwriting Agreement</w:t>
      </w:r>
      <w:r>
        <w:rPr>
          <w:rFonts w:ascii="Times New Roman" w:hAnsi="Times New Roman"/>
          <w:sz w:val="20"/>
        </w:rPr>
        <w:t>) to be entered into by and among the Company and Leerink Partners LLC, Citigroup Global Markets Inc. and Guggenheim Securities, LLC, as representatives (the </w:t>
      </w:r>
      <w:r>
        <w:rPr>
          <w:rFonts w:ascii="Times New Roman" w:hAnsi="Times New Roman"/>
          <w:b/>
          <w:sz w:val="20"/>
        </w:rPr>
        <w:t>Representatives</w:t>
      </w:r>
      <w:r>
        <w:rPr>
          <w:rFonts w:ascii="Times New Roman" w:hAnsi="Times New Roman"/>
          <w:sz w:val="20"/>
        </w:rPr>
        <w:t>) of the several underwriters named therein (the </w:t>
      </w:r>
      <w:r>
        <w:rPr>
          <w:rFonts w:ascii="Times New Roman" w:hAnsi="Times New Roman"/>
          <w:b/>
          <w:sz w:val="20"/>
        </w:rPr>
        <w:t>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induce you and the other Underwriters to underwrite the Offering, the undersigned hereby agrees that, without the prior written consent of the Representatives, during the period from the date hereof until 90 days from the date of the final prospectus supplement for the Offering (the </w:t>
      </w:r>
      <w:r>
        <w:rPr>
          <w:rFonts w:ascii="Times New Roman" w:hAnsi="Times New Roman"/>
          <w:b/>
          <w:sz w:val="20"/>
        </w:rPr>
        <w:t>Lock-Up Period</w:t>
      </w:r>
      <w:r>
        <w:rPr>
          <w:rFonts w:ascii="Times New Roman" w:hAnsi="Times New Roman"/>
          <w:sz w:val="20"/>
        </w:rPr>
        <w:t>), the undersigned will not (a) directly or indirectly, offer, sell, agree to offer or sell, solicit offers to purchase, effect any short sale, grant any call option or purchase any put option with respect to, pledge, borrow or otherwise dispose of, any Relevant Security (as defined below), (b) establish or increase any put equivalent position or liquidate or decrease any call equivalent position with respect to any Relevant Security (in each case within the meaning of Section 16 of the Securities Exchange Act of 1934, as amended (the </w:t>
      </w:r>
      <w:r>
        <w:rPr>
          <w:rFonts w:ascii="Times New Roman" w:hAnsi="Times New Roman"/>
          <w:b/>
          <w:sz w:val="20"/>
        </w:rPr>
        <w:t>Exchange Act</w:t>
      </w:r>
      <w:r>
        <w:rPr>
          <w:rFonts w:ascii="Times New Roman" w:hAnsi="Times New Roman"/>
          <w:sz w:val="20"/>
        </w:rPr>
        <w:t>), and the rules and regulations promulgated thereunder), (c) otherwise enter into any swap, hedge, derivative or other transaction or arrangement that transfers to another, in whole or in part, any economic consequence of ownership of a Relevant Security, whether or not such transaction is to be settled by delivery of Relevant Securities, other securities, cash or other consideration, or (d) publicly announce any intention to do any of the foregoing. As used herein </w:t>
      </w:r>
      <w:r>
        <w:rPr>
          <w:rFonts w:ascii="Times New Roman" w:hAnsi="Times New Roman"/>
          <w:b/>
          <w:sz w:val="20"/>
        </w:rPr>
        <w:t>Relevant Security</w:t>
      </w:r>
      <w:r>
        <w:rPr>
          <w:rFonts w:ascii="Times New Roman" w:hAnsi="Times New Roman"/>
          <w:sz w:val="20"/>
        </w:rPr>
        <w:t xml:space="preserve"> means the Stock, any other equity security of the Company or any of its subsidiaries and any security convertible into, or exercisable or exchangeable for, any Stock or other such equity security.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in this Agreement shall not apply to: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(i) as a bona fide gift or gifts, (ii) by will, other testamentary document or intestate succession, (iii) to a Family Member (as defined below), (iv) to a trust for the direct or indirect benefit of the undersigned and/or one or more Family Members, (v) by operation of law, including pursuant to a domestic order, divorce settlement, divorce decree, separation agreement or pursuant to an order of a court of competent jurisdiction enforcing such agreement, (vi) to a charitable trust or (vii) to a corporation, limited liability company or partnership wholly owned by the undersigned and/or one or more Family Members, (viii) to the undersigneds direct or indirect affiliates or to any investment fund or other entity controlled or managed by, controlling or managing, or under common control with, the undersigned (including, for the avoidance of doubt, where the undersigned is a partnership, to its general partner or a successor partnership or fund or any other funds managed by such partnership), or (ix) if the undersigned is a trust, to the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to the Company (i) as forfeitures to satisfy tax withholding obligations of the undersigned existing as of the date of the final prospectus supplement in connection with the vesting or exercise of equity awards, (ii) pursuant to a net exercise or cashless exercise (to satisfy exercise price or related withholding obligations) by the undersigned of outstanding equity awards existing as of the date of the final prospectus supplement, </w:t>
            </w:r>
            <w:r>
              <w:rPr>
                <w:rFonts w:ascii="Times New Roman" w:hAnsi="Times New Roman"/>
                <w:i/>
                <w:sz w:val="20"/>
              </w:rPr>
              <w:t>provided</w:t>
            </w:r>
            <w:r>
              <w:rPr>
                <w:rFonts w:ascii="Times New Roman" w:hAnsi="Times New Roman"/>
                <w:sz w:val="20"/>
              </w:rPr>
              <w:t xml:space="preserve"> that any shares of Stock acquired upon the net exercise or cashless exercise of equity awards described in this clause (b) shall be subject to the restrictions set forth in this Agreement, or (iii) by an executive officer upon death, disability or termination of employment, in each case, of such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of Relevant Securities to limited partners, members or stockholders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relating to Relevant Securities acquired in the Offering or in open market transactions after the closing of the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 of Relevant Securities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of any lock-up, voting or similar agreement pursuant to which the undersigned may agree to transfer, sell, tender or otherwise dispose of Relevant Securities in connection with such transaction, or vote any Relevant Securities in favor of any transaction), </w:t>
            </w:r>
            <w:r>
              <w:rPr>
                <w:rFonts w:ascii="Times New Roman" w:hAnsi="Times New Roman"/>
                <w:i/>
                <w:sz w:val="20"/>
              </w:rPr>
              <w:t>provided</w:t>
            </w:r>
            <w:r>
              <w:rPr>
                <w:rFonts w:ascii="Times New Roman" w:hAnsi="Times New Roman"/>
                <w:sz w:val="20"/>
              </w:rPr>
              <w:t xml:space="preserve"> that in the event that such tender offer, merger, consolidation or other such transaction is not completed, such securities held by the undersigned shall remain subject to the provisions of this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be a further condition to any transfer or distribution pursuant to the preceding clauses (a), (b), (c), or (d) that no public disclosure or filing by any party (donor, donee, transferor or transferee) under the Exchange Act, or other public announcement shall be required or shall be made voluntarily in connection with such transfer or distribution (other than a filing on Form 5 made after the expiration of the Lock-up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any transfer or distribution pursuant to clauses (a), (b) or (c), to the extent the undersigned is required to file a report under Section 16 of the Exchange Act, the undersigned shall be permitted to file such report, </w:t>
      </w:r>
      <w:r>
        <w:rPr>
          <w:rFonts w:ascii="Times New Roman" w:hAnsi="Times New Roman"/>
          <w:i/>
          <w:sz w:val="20"/>
        </w:rPr>
        <w:t>provided</w:t>
      </w:r>
      <w:r>
        <w:rPr>
          <w:rFonts w:ascii="Times New Roman" w:hAnsi="Times New Roman"/>
          <w:sz w:val="20"/>
        </w:rPr>
        <w:t xml:space="preserve"> the report clearly indicates in the footnotes thereto the nature of the transfer and no other public announcement shall be required or shall be made voluntarily in connection with such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be a condition to any transfer or distribution pursuant to the preceding clauses (a) or (c) that (x) any such transfer shall not involve a disposition for value and (y) each resulting transferee or donee of Relevant Securities executes and delivers to you an agreement satisfactory to you in which such transferee agrees to be bound by the terms of this Agreement for the remainder of the Lock-Up Period. </w:t>
      </w:r>
    </w:p>
    <w:p>
      <w:pPr>
        <w:pStyle w:val="TextBody"/>
        <w:bidi w:val="0"/>
        <w:spacing w:before="240" w:after="0"/>
        <w:jc w:val="left"/>
        <w:rPr>
          <w:rFonts w:ascii="Times New Roman" w:hAnsi="Times New Roman"/>
          <w:sz w:val="20"/>
        </w:rPr>
      </w:pPr>
      <w:r>
        <w:rPr>
          <w:rFonts w:ascii="Times New Roman" w:hAnsi="Times New Roman"/>
          <w:sz w:val="20"/>
        </w:rPr>
        <w:t>For purposes of this Agreement, the term </w:t>
      </w:r>
      <w:r>
        <w:rPr>
          <w:rFonts w:ascii="Times New Roman" w:hAnsi="Times New Roman"/>
          <w:b/>
          <w:sz w:val="20"/>
        </w:rPr>
        <w:t>Family Member</w:t>
      </w:r>
      <w:r>
        <w:rPr>
          <w:rFonts w:ascii="Times New Roman" w:hAnsi="Times New Roman"/>
          <w:sz w:val="20"/>
        </w:rPr>
        <w:t xml:space="preserve"> shall mean any relationship by blood, domestic partnership, marriage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restrictions described in this Agreement shall not apply to the establishment of a trading plan pursuant to Rule 10b5-1 under the Exchange Act, </w:t>
      </w:r>
      <w:r>
        <w:rPr>
          <w:rFonts w:ascii="Times New Roman" w:hAnsi="Times New Roman"/>
          <w:i/>
          <w:sz w:val="20"/>
        </w:rPr>
        <w:t>provided</w:t>
      </w:r>
      <w:r>
        <w:rPr>
          <w:rFonts w:ascii="Times New Roman" w:hAnsi="Times New Roman"/>
          <w:sz w:val="20"/>
        </w:rPr>
        <w:t xml:space="preserve"> that no transfers occur under such plan during the Lock-up Period and no public announcement or filing shall be required or voluntarily made by any person in connection therewith other than general disclosure in Company periodic reports to the effect that the Company directors and officers may enter into such trading plans from time to time. </w:t>
      </w:r>
    </w:p>
    <w:p>
      <w:pPr>
        <w:pStyle w:val="TextBody"/>
        <w:bidi w:val="0"/>
        <w:spacing w:before="240" w:after="0"/>
        <w:jc w:val="left"/>
        <w:rPr>
          <w:rFonts w:ascii="Times New Roman" w:hAnsi="Times New Roman"/>
          <w:sz w:val="20"/>
        </w:rPr>
      </w:pPr>
      <w:r>
        <w:rPr>
          <w:rFonts w:ascii="Times New Roman" w:hAnsi="Times New Roman"/>
          <w:sz w:val="20"/>
        </w:rPr>
        <w:t>The undersigned hereby authorizes the Company during the Lock-Up Period to cause any transfer agent for the Relevant Securities to decline to transfer, and to note stop transfer restrictions on the stock register and other records relating to, Relevant Securities for which the undersigned is the record holder and, in the case of Relevant Securities for which the undersigned is the beneficial but not the record holder, agrees during the Lock-Up Period to cause the record holder to cause the relevant transfer agent to decline to transfer, and to note stop transfer restrictions on the stock register and other records relating to, such Relevant Securities. The undersigned hereby further agrees that, without the prior written consent of the Representatives, during the Lock-Up Period the undersigned will not (x) file or participate in the filing with the U.S. Securities and Exchange Commission (the </w:t>
      </w:r>
      <w:r>
        <w:rPr>
          <w:rFonts w:ascii="Times New Roman" w:hAnsi="Times New Roman"/>
          <w:b/>
          <w:sz w:val="20"/>
        </w:rPr>
        <w:t>SEC</w:t>
      </w:r>
      <w:r>
        <w:rPr>
          <w:rFonts w:ascii="Times New Roman" w:hAnsi="Times New Roman"/>
          <w:sz w:val="20"/>
        </w:rPr>
        <w:t xml:space="preserve">) of any registration statement, or circulate or participate in the circulation of any preliminary or final prospectus supplement or other disclosure document with respect to any proposed offering or sale of a Relevant Security, (y) exercise any rights the undersigned may have to require registration with the SEC of any proposed offering or sale of a Relevant Security, or (z) publicly announce any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Stock, or (iv) the closing of the Offering pursuant to the Underwriting Agreement has not occurred by February 29, 2024, the undersigned will be released from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will proceed with the Offering in reliance on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Offering actually occurs depends on a number of factors, including market conditions. Any Offering will only be made pursuant to the Underwriting Agreement, the terms of which are subject to negotiation between the Company and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Agreement and that this Agreement constitutes the legal, valid and binding obligation of the undersigned, enforceable in accordance with its terms. Upon request, the undersigned will execute any additional documents necessary in connection with enforcement hereof. Any obligations of the undersigned shall be binding upon the successors, heirs, personal representatives and assigns of the undersigned from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This letter agreement may be delivered via facsimile, electronic mail (including pdf or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left intentionally blank]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Name of Security Holder </w:t>
            </w:r>
            <w:r>
              <w:rPr>
                <w:i/>
              </w:rPr>
              <w:t>(Print exact name</w:t>
            </w:r>
            <w:r>
              <w:rPr/>
              <w:t>)</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If not signing in an individual capacity: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xml:space="preserve">Name of Authorized Signatory </w:t>
            </w:r>
            <w:r>
              <w:rPr>
                <w:i/>
              </w:rPr>
              <w:t>(Print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 xml:space="preserve">Title of Authorized Signatory </w:t>
            </w:r>
            <w:r>
              <w:rPr>
                <w:i/>
              </w:rPr>
              <w:t>(Print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(indicate capacity of person signing if signing as custodian, trustee, or on behalf of an entity)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480" w:after="0"/>
        <w:jc w:val="center"/>
        <w:rPr>
          <w:rFonts w:ascii="Times New Roman" w:hAnsi="Times New Roman"/>
          <w:b/>
          <w:sz w:val="20"/>
        </w:rPr>
      </w:pPr>
      <w:r>
        <w:rPr>
          <w:rFonts w:ascii="Times New Roman" w:hAnsi="Times New Roman"/>
          <w:b/>
          <w:sz w:val="20"/>
        </w:rPr>
        <w:t xml:space="preserve">Directors, Executive Officers and Others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Signing Lock-Up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Carole S. Ben-Maimon, M.D.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Thomas Hamilton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Jonathan Leff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Frank Thomas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Joseph Truitt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Jeffrey W. Sherman, M.D.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Celano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Gopi Shankar, Ph.D., MBA, FAAPS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Russell Clayton, DO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affiliated with Deerfield Management </w:t>
            </w:r>
          </w:p>
        </w:tc>
      </w:tr>
    </w:tbl>
    <w:p>
      <w:pPr>
        <w:pStyle w:val="TextBody"/>
        <w:bidi w:val="0"/>
        <w:spacing w:before="0" w:after="0"/>
        <w:jc w:val="right"/>
        <w:rPr>
          <w:rFonts w:ascii="Times New Roman" w:hAnsi="Times New Roman"/>
          <w:b/>
          <w:sz w:val="20"/>
        </w:rPr>
      </w:pPr>
      <w:bookmarkStart w:id="4" w:name="d780024dex51.htm"/>
      <w:bookmarkStart w:id="5" w:name="ksd780024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6"/>
        <w:gridCol w:w="101"/>
        <w:gridCol w:w="2858"/>
      </w:tblGrid>
      <w:tr>
        <w:trPr/>
        <w:tc>
          <w:tcPr>
            <w:tcW w:w="724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7246" w:type="dxa"/>
            <w:tcBorders/>
          </w:tcPr>
          <w:p>
            <w:pPr>
              <w:pStyle w:val="TableContents"/>
              <w:bidi w:val="0"/>
              <w:spacing w:before="0" w:after="283"/>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One Commerce Square</w:t>
            </w:r>
          </w:p>
          <w:p>
            <w:pPr>
              <w:pStyle w:val="TableContents"/>
              <w:bidi w:val="0"/>
              <w:spacing w:before="0" w:after="0"/>
              <w:jc w:val="left"/>
              <w:rPr>
                <w:rFonts w:ascii="Times New Roman" w:hAnsi="Times New Roman"/>
                <w:sz w:val="20"/>
              </w:rPr>
            </w:pPr>
            <w:r>
              <w:rPr>
                <w:rFonts w:ascii="Times New Roman" w:hAnsi="Times New Roman"/>
                <w:sz w:val="20"/>
              </w:rPr>
              <w:t>2005 Market Square, 32nd Floor</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+1 445 207 7800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February 16, 2024 </w:t>
      </w:r>
    </w:p>
    <w:p>
      <w:pPr>
        <w:pStyle w:val="TextBody"/>
        <w:bidi w:val="0"/>
        <w:spacing w:before="24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Three Bala Plaza East, Suite 506 </w:t>
      </w:r>
    </w:p>
    <w:p>
      <w:pPr>
        <w:pStyle w:val="TextBody"/>
        <w:bidi w:val="0"/>
        <w:spacing w:before="0" w:after="0"/>
        <w:jc w:val="left"/>
        <w:rPr>
          <w:rFonts w:ascii="Times New Roman" w:hAnsi="Times New Roman"/>
          <w:sz w:val="20"/>
        </w:rPr>
      </w:pPr>
      <w:r>
        <w:rPr>
          <w:rFonts w:ascii="Times New Roman" w:hAnsi="Times New Roman"/>
          <w:sz w:val="20"/>
        </w:rPr>
        <w:t xml:space="preserve">Bala Cynwyd, PA 19004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the registration of the offer by Larimar Therapeutics, Inc., a Delaware corporation (the Company), of 19,736,842 shares (the Shares) of Common Stock, $0.001 par value per share (the Common Stock), of the Company, pursuant to the Registration Statement on Form S-3 (File No. 333-268312) filed by the Company with the Securities and Exchange Commission (the Commission) pursuant to the Securities Act of 1933, as amended (the Securities Act), on November 10, 2022 and declared effective by the Commission on November 21, 2022 (the Registration Statement). Reference is made to the opinion letter from Troutman Pepper Hamilton Sanders LLP dated November 10, 2022 and included as Exhibit 5.1 to the Registration Statement. We are delivering this supplemental opinion letter in connection with the prospectus supplement (the Prospectus Supplement) filed on February 14, 2024 by the Company with the Commission pursuant to Rule 424 under the Securities Act. The Prospectus Supplement relates to the offering by the Company of up to 19,736,842 Shares covered by the Registration Statement. The Shares include an over-allotment option granted to the underwriters of the offering to purchase 2,574,370 Shares. The Shares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and paid for in accordance with the terms of the Underwriting Agreement,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Larimar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February 16,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(the Current Report) relating to the Shares, which is incorporated by reference in the Registration Statement. We hereby consent to the inclusion of this opinion as Exhibit 5.1 to the Current Report and to the references to our firm under the caption Legal Matters in the Prospectus Supplement.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27089</Words>
  <Characters>141956</Characters>
  <CharactersWithSpaces>168485</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