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As filed with the Securities and Exchange Commission on August 9,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REGISTRATION STATEMENT</w:t>
      </w:r>
    </w:p>
    <w:p>
      <w:pPr>
        <w:jc w:val="center"/>
        <w:ind w:right="-8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89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Delaware</w:t>
            </w:r>
          </w:p>
        </w:tc>
        <w:tc>
          <w:tcPr>
            <w:tcW w:w="5400" w:type="dxa"/>
            <w:vAlign w:val="bottom"/>
            <w:gridSpan w:val="3"/>
          </w:tcPr>
          <w:p>
            <w:pPr>
              <w:jc w:val="center"/>
              <w:ind w:left="3896"/>
              <w:spacing w:after="0"/>
              <w:rPr>
                <w:sz w:val="20"/>
                <w:szCs w:val="20"/>
                <w:color w:val="auto"/>
              </w:rPr>
            </w:pPr>
            <w:r>
              <w:rPr>
                <w:rFonts w:ascii="Arial" w:cs="Arial" w:eastAsia="Arial" w:hAnsi="Arial"/>
                <w:sz w:val="18"/>
                <w:szCs w:val="18"/>
                <w:b w:val="1"/>
                <w:bCs w:val="1"/>
                <w:color w:val="auto"/>
                <w:w w:val="89"/>
              </w:rPr>
              <w:t>27-3857670</w:t>
            </w:r>
          </w:p>
        </w:tc>
      </w:tr>
      <w:tr>
        <w:trPr>
          <w:trHeight w:val="149"/>
        </w:trPr>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gridSpan w:val="2"/>
          </w:tcPr>
          <w:p>
            <w:pPr>
              <w:jc w:val="center"/>
              <w:ind w:right="2388"/>
              <w:spacing w:after="0"/>
              <w:rPr>
                <w:sz w:val="20"/>
                <w:szCs w:val="20"/>
                <w:color w:val="auto"/>
              </w:rPr>
            </w:pPr>
            <w:r>
              <w:rPr>
                <w:rFonts w:ascii="Arial" w:cs="Arial" w:eastAsia="Arial" w:hAnsi="Arial"/>
                <w:sz w:val="18"/>
                <w:szCs w:val="18"/>
                <w:b w:val="1"/>
                <w:bCs w:val="1"/>
                <w:color w:val="auto"/>
                <w:w w:val="91"/>
              </w:rPr>
              <w:t>175 Portland Street, 4th Floor</w:t>
            </w:r>
          </w:p>
        </w:tc>
      </w:tr>
      <w:tr>
        <w:trPr>
          <w:trHeight w:val="212"/>
        </w:trPr>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gridSpan w:val="2"/>
          </w:tcPr>
          <w:p>
            <w:pPr>
              <w:jc w:val="center"/>
              <w:ind w:right="2388"/>
              <w:spacing w:after="0"/>
              <w:rPr>
                <w:sz w:val="20"/>
                <w:szCs w:val="20"/>
                <w:color w:val="auto"/>
              </w:rPr>
            </w:pPr>
            <w:r>
              <w:rPr>
                <w:rFonts w:ascii="Arial" w:cs="Arial" w:eastAsia="Arial" w:hAnsi="Arial"/>
                <w:sz w:val="18"/>
                <w:szCs w:val="18"/>
                <w:b w:val="1"/>
                <w:bCs w:val="1"/>
                <w:color w:val="auto"/>
                <w:w w:val="86"/>
              </w:rPr>
              <w:t>Boston, Massachusetts 02114</w:t>
            </w:r>
          </w:p>
        </w:tc>
      </w:tr>
      <w:tr>
        <w:trPr>
          <w:trHeight w:val="186"/>
        </w:trPr>
        <w:tc>
          <w:tcPr>
            <w:tcW w:w="2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40" w:type="dxa"/>
            <w:vAlign w:val="bottom"/>
            <w:gridSpan w:val="2"/>
          </w:tcPr>
          <w:p>
            <w:pPr>
              <w:jc w:val="center"/>
              <w:ind w:right="238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36"/>
        </w:trPr>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03"/>
        </w:trPr>
        <w:tc>
          <w:tcPr>
            <w:tcW w:w="2000" w:type="dxa"/>
            <w:vAlign w:val="bottom"/>
          </w:tcPr>
          <w:p>
            <w:pPr>
              <w:spacing w:after="0"/>
              <w:rPr>
                <w:sz w:val="24"/>
                <w:szCs w:val="24"/>
                <w:color w:val="auto"/>
              </w:rPr>
            </w:pPr>
          </w:p>
        </w:tc>
        <w:tc>
          <w:tcPr>
            <w:tcW w:w="2940" w:type="dxa"/>
            <w:vAlign w:val="bottom"/>
            <w:gridSpan w:val="2"/>
          </w:tcPr>
          <w:p>
            <w:pPr>
              <w:jc w:val="center"/>
              <w:ind w:left="496"/>
              <w:spacing w:after="0"/>
              <w:rPr>
                <w:sz w:val="20"/>
                <w:szCs w:val="20"/>
                <w:color w:val="auto"/>
              </w:rPr>
            </w:pPr>
            <w:r>
              <w:rPr>
                <w:rFonts w:ascii="Arial" w:cs="Arial" w:eastAsia="Arial" w:hAnsi="Arial"/>
                <w:sz w:val="18"/>
                <w:szCs w:val="18"/>
                <w:b w:val="1"/>
                <w:bCs w:val="1"/>
                <w:color w:val="auto"/>
                <w:w w:val="90"/>
              </w:rPr>
              <w:t>(617) 622-4003</w:t>
            </w:r>
          </w:p>
        </w:tc>
        <w:tc>
          <w:tcPr>
            <w:tcW w:w="246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5400" w:type="dxa"/>
            <w:vAlign w:val="bottom"/>
            <w:gridSpan w:val="3"/>
          </w:tcPr>
          <w:p>
            <w:pPr>
              <w:jc w:val="center"/>
              <w:ind w:right="182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Thomas E. Hughes, Ph.D.</w:t>
      </w:r>
    </w:p>
    <w:p>
      <w:pPr>
        <w:spacing w:after="0" w:line="27"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Boston, Massachusetts 02114</w:t>
      </w:r>
    </w:p>
    <w:p>
      <w:pPr>
        <w:spacing w:after="0" w:line="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520"/>
          </w:cols>
          <w:pgMar w:left="240" w:top="230" w:right="11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Laurie A. Burlingame,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20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0"/>
          <w:szCs w:val="20"/>
          <w:color w:val="auto"/>
        </w:rPr>
      </w:pPr>
    </w:p>
    <w:p>
      <w:pPr>
        <w:ind w:right="40"/>
        <w:spacing w:after="0" w:line="23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or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82"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5"/>
              <w:spacing w:after="0" w:line="116"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tcPr>
          <w:p>
            <w:pPr>
              <w:jc w:val="center"/>
              <w:ind w:left="25"/>
              <w:spacing w:after="0" w:line="116" w:lineRule="exact"/>
              <w:rPr>
                <w:sz w:val="20"/>
                <w:szCs w:val="20"/>
                <w:color w:val="auto"/>
              </w:rPr>
            </w:pPr>
            <w:r>
              <w:rPr>
                <w:rFonts w:ascii="Arial" w:cs="Arial" w:eastAsia="Arial" w:hAnsi="Arial"/>
                <w:sz w:val="13"/>
                <w:szCs w:val="13"/>
                <w:b w:val="1"/>
                <w:bCs w:val="1"/>
                <w:color w:val="auto"/>
                <w:w w:val="96"/>
              </w:rPr>
              <w:t>Proposed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Per Unit (2)</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5"/>
              </w:rPr>
              <w:t>Offering Price (3)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(6)</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 (7)</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 (8)</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 (9)</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$150,000,000</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90"/>
              </w:rPr>
              <w:t>$150,000,000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40" w:hanging="452"/>
        <w:spacing w:after="0" w:line="28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consists of up to $150,000,000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spacing w:after="0" w:line="1" w:lineRule="exact"/>
        <w:rPr>
          <w:rFonts w:ascii="Arial" w:cs="Arial" w:eastAsia="Arial" w:hAnsi="Arial"/>
          <w:sz w:val="16"/>
          <w:szCs w:val="16"/>
          <w:color w:val="auto"/>
        </w:rPr>
      </w:pPr>
    </w:p>
    <w:p>
      <w:pPr>
        <w:jc w:val="both"/>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jc w:val="both"/>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460" w:right="7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460" w:right="6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principal amount of debt securities as may be issued from time to time at indeterminate prices or upon exercise of warrants registered hereby, as the case may be.</w:t>
      </w:r>
    </w:p>
    <w:p>
      <w:pPr>
        <w:ind w:left="460" w:right="2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number of warrants or other rights, including without limitation share purchase or subscription rights, as may be issued from time to time at indeterminate prices.</w:t>
      </w:r>
    </w:p>
    <w:p>
      <w:pPr>
        <w:ind w:left="460" w:right="2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which may or may not be separable from one another.</w:t>
      </w:r>
    </w:p>
    <w:p>
      <w:pPr>
        <w:spacing w:after="0" w:line="28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4338"/>
        </w:rPr>
        <w:t>DATED AUGUST 9,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469900</wp:posOffset>
            </wp:positionV>
            <wp:extent cx="18440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may from time to time issue, in one or more series or classes, up to $150,000,000 in aggregate principal amount of our common stock, preferred stock, debt securities, warrants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common stock is listed on The NASDAQ Global Market under the symbol “ZFGN.” On August 7, 2017, the closing price for our common stock, as reported on The NASDAQ Global Market, was $3.49 per share. Our principal executive offices are located at 175 Portland Street, 4th Floor, 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360" w:firstLine="456"/>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contained in this prospectus beginning on page 4 and any applicable prospectus supplement, and under similar headings in the other documents that are incorporated by reference into this prospectus.</w:t>
      </w:r>
    </w:p>
    <w:p>
      <w:pPr>
        <w:spacing w:after="0" w:line="190"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54" w:lineRule="exact"/>
        <w:rPr>
          <w:sz w:val="20"/>
          <w:szCs w:val="20"/>
          <w:color w:val="auto"/>
        </w:rPr>
      </w:pPr>
    </w:p>
    <w:tbl>
      <w:tblPr>
        <w:tblLayout w:type="fixed"/>
        <w:tblInd w:w="398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40" w:type="dxa"/>
            <w:vAlign w:val="bottom"/>
          </w:tcPr>
          <w:p>
            <w:pPr>
              <w:jc w:val="right"/>
              <w:ind w:right="4651"/>
              <w:spacing w:after="0"/>
              <w:rPr>
                <w:sz w:val="20"/>
                <w:szCs w:val="20"/>
                <w:color w:val="auto"/>
              </w:rPr>
            </w:pPr>
            <w:r>
              <w:rPr>
                <w:rFonts w:ascii="Arial" w:cs="Arial" w:eastAsia="Arial" w:hAnsi="Arial"/>
                <w:sz w:val="18"/>
                <w:szCs w:val="18"/>
                <w:color w:val="auto"/>
              </w:rPr>
              <w:t>TABLE OF CONTENTS</w:t>
            </w:r>
          </w:p>
        </w:tc>
      </w:tr>
      <w:tr>
        <w:trPr>
          <w:trHeight w:val="407"/>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45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660" w:type="dxa"/>
            <w:vAlign w:val="bottom"/>
            <w:tcBorders>
              <w:top w:val="single" w:sz="8" w:color="0000EE"/>
            </w:tcBorders>
            <w:gridSpan w:val="6"/>
          </w:tcPr>
          <w:p>
            <w:pPr>
              <w:spacing w:after="0"/>
              <w:rPr>
                <w:sz w:val="24"/>
                <w:szCs w:val="24"/>
                <w:color w:val="auto"/>
              </w:rPr>
            </w:pPr>
          </w:p>
        </w:tc>
        <w:tc>
          <w:tcPr>
            <w:tcW w:w="2940" w:type="dxa"/>
            <w:vAlign w:val="bottom"/>
            <w:gridSpan w:val="7"/>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5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Cautionary Statement Regarding Forward-Looking Statements</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The Company</w:t>
              </w:r>
            </w:hyperlink>
          </w:p>
        </w:tc>
        <w:tc>
          <w:tcPr>
            <w:tcW w:w="3480" w:type="dxa"/>
            <w:vAlign w:val="bottom"/>
            <w:gridSpan w:val="11"/>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Ratio of Earnings to Fixed Charges</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8"/>
          </w:tcPr>
          <w:p>
            <w:pPr>
              <w:spacing w:after="0"/>
              <w:rPr>
                <w:sz w:val="24"/>
                <w:szCs w:val="24"/>
                <w:color w:val="auto"/>
              </w:rPr>
            </w:pPr>
          </w:p>
        </w:tc>
        <w:tc>
          <w:tcPr>
            <w:tcW w:w="1980" w:type="dxa"/>
            <w:vAlign w:val="bottom"/>
            <w:gridSpan w:val="2"/>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Securities We May Offer</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04"/>
        </w:trPr>
        <w:tc>
          <w:tcPr>
            <w:tcW w:w="22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Description of Debt Securities</w:t>
              </w:r>
            </w:hyperlink>
          </w:p>
        </w:tc>
        <w:tc>
          <w:tcPr>
            <w:tcW w:w="2320" w:type="dxa"/>
            <w:vAlign w:val="bottom"/>
            <w:gridSpan w:val="3"/>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8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Description of Warrants</w:t>
              </w:r>
            </w:hyperlink>
          </w:p>
        </w:tc>
        <w:tc>
          <w:tcPr>
            <w:tcW w:w="2720" w:type="dxa"/>
            <w:vAlign w:val="bottom"/>
            <w:gridSpan w:val="6"/>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4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Description of Units</w:t>
              </w:r>
            </w:hyperlink>
          </w:p>
        </w:tc>
        <w:tc>
          <w:tcPr>
            <w:tcW w:w="3040" w:type="dxa"/>
            <w:vAlign w:val="bottom"/>
            <w:gridSpan w:val="8"/>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Plan of Distribution</w:t>
              </w:r>
            </w:hyperlink>
          </w:p>
        </w:tc>
        <w:tc>
          <w:tcPr>
            <w:tcW w:w="3080" w:type="dxa"/>
            <w:vAlign w:val="bottom"/>
            <w:gridSpan w:val="9"/>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Legal Matters</w:t>
              </w:r>
            </w:hyperlink>
          </w:p>
        </w:tc>
        <w:tc>
          <w:tcPr>
            <w:tcW w:w="3500" w:type="dxa"/>
            <w:vAlign w:val="bottom"/>
            <w:gridSpan w:val="12"/>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Experts</w:t>
              </w:r>
            </w:hyperlink>
          </w:p>
        </w:tc>
        <w:tc>
          <w:tcPr>
            <w:tcW w:w="3960" w:type="dxa"/>
            <w:vAlign w:val="bottom"/>
            <w:gridSpan w:val="14"/>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2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164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Incorporation by Reference</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40" w:type="dxa"/>
            <w:vAlign w:val="bottom"/>
          </w:tcPr>
          <w:p>
            <w:pPr>
              <w:jc w:val="right"/>
              <w:ind w:right="5511"/>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$150,000,000.</w:t>
      </w:r>
    </w:p>
    <w:p>
      <w:pPr>
        <w:spacing w:after="0" w:line="18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34 of this prospectus.</w:t>
      </w:r>
    </w:p>
    <w:p>
      <w:pPr>
        <w:spacing w:after="0" w:line="17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the context otherwise indicates, references in this prospectus to “Zafgen”, “we”, “our”, “us” and “the Company” refer, collectively, to Zafgen, Inc., a Delaware corporation.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Investing in our securities involves a high degree of risk. You should carefully consider the risks described below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2016, which is on file with the SEC and is incorporated herein by reference, (ii) our quarterly reports on Form 10-Q for the quarters ended March 31, 2017 and June 30, 2017, which are on file with the SEC and are incorporated herein by reference, and (iii) other documents we file with the SEC that are deemed incorporated by reference into this prospectus.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179"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9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commercialize ZGN-1061 as a treatment for metabolic diseases including type 2 diabetes and obesity;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advance ZGN-1061 into later-stage clinical trials;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beloranib;</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provide a compelling argument for improved safety of ZGN-1061 and other novel MetAP2 inhibitors relative to first generation compounds, including beloranib;</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a biopharmaceutical company dedicated to significantly improving the health and well-being of patients affected by metabolic diseases including type 2 diabetes and obesity.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metabolic diseases including type 2 diabetes and obesity.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ZGN-1061 demonstrated rapid drug absorption and clearance in line with criteria established in advance for the molecule, and has a favorable safety profile, with no evidence of prothrombotic effects. The data show that ZGN-1061 treatment causes improvements across multiple metabolic measures consistent with MetAP2 inhibition, and patients in the clinical trial experienced mean weight loss of up to approximately one pound per week. We plan to advance ZGN-1061 into a Phase 2 clinical trial in patients with type 2 diabetes who are overweight or obese, in Australia and New Zealand in the third quarter of 2017.</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reducing hunger. In animal models that mimic aspects of type 2 diabetes, these processes lead to improvement of glycemic control independent of weight loss.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ZGN-1061 was discovered by our researchers as part of a multi-year campaign to identify novel compounds for development in the treatment of type 2 diabetes, and that avoided limiting pre-clinical safety concerns observed with beloranib, including teratogenicity and effects on testicular function. To date, the compound has similar efficacy, potency, and range of activity in animal models as beloranib, but displays highly differentiated properties and improved safety margins in pre-clinical studies, supporting the value of the compound as a more highly optimized MetAP2 inhibitor. Further, the compound displays improved safety margins in non-clinical safety studies relative to beloranib for effects on coagulation in dogs, an effect that correlates with reduced impact on endothelial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various U.S. federal trademark registrations and applications, and unregistered trademarks, including our corporate name and our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spacing w:after="0" w:line="211" w:lineRule="exact"/>
        <w:rPr>
          <w:sz w:val="20"/>
          <w:szCs w:val="20"/>
          <w:color w:val="auto"/>
        </w:rPr>
      </w:pPr>
    </w:p>
    <w:p>
      <w:pPr>
        <w:jc w:val="center"/>
        <w:ind w:left="680" w:right="20"/>
        <w:spacing w:after="0" w:line="449" w:lineRule="auto"/>
        <w:rPr>
          <w:sz w:val="20"/>
          <w:szCs w:val="20"/>
          <w:color w:val="auto"/>
        </w:rPr>
      </w:pPr>
      <w:r>
        <w:rPr>
          <w:rFonts w:ascii="Arial" w:cs="Arial" w:eastAsia="Arial" w:hAnsi="Arial"/>
          <w:sz w:val="18"/>
          <w:szCs w:val="18"/>
          <w:color w:val="auto"/>
        </w:rPr>
        <w:t>Our principal executive offices are located at 175 Portland Street, 4th Floor, Boston, Massachusetts 02114 and our telephone number is (617) 622-4003. 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following table sets forth our ratio of earnings to fixed charges for the periods shown. You should read this table in conjunction with the consolidated financial statements and notes incorporated by reference in this prospectus. We have no shares of preferred stock outstanding and paid no dividends on shares of preferred stock during the periods indicated. Therefore, the ratios of earnings to combined fixed charges and preferred dividends are the same as the ratios of earnings to fixed charges presented below.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Six</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00" w:type="dxa"/>
            <w:vAlign w:val="bottom"/>
            <w:gridSpan w:val="2"/>
          </w:tcPr>
          <w:p>
            <w:pPr>
              <w:jc w:val="center"/>
              <w:ind w:left="408"/>
              <w:spacing w:after="0" w:line="142" w:lineRule="exact"/>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2"/>
                <w:szCs w:val="12"/>
                <w:color w:val="auto"/>
              </w:rPr>
            </w:pPr>
          </w:p>
        </w:tc>
        <w:tc>
          <w:tcPr>
            <w:tcW w:w="3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9"/>
              </w:rPr>
              <w:t>2014</w:t>
            </w:r>
          </w:p>
        </w:tc>
        <w:tc>
          <w:tcPr>
            <w:tcW w:w="46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N/A</w:t>
            </w: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N/A</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For purposes of calculating the ratios in the table above, earnings consist of net loss before income taxes. Fixed charges include interest expense on indebtedness and an estimate of the interest expense within rental expense.</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Due to our net losses for the years ended December 31, 2016, 2015 and 2014 and for the six months ended June 30, 2017, earnings were insufficient to cover fixed charges for such periods and we are unable to disclose a ratio of earnings to fixed charges for such periods. The dollar amount of the deficiency in earnings available for fixed charges for the years December 31, 2016, 2015 and 2014 and for the six months ended June 30, 2017 was approximately $58.2 million, $73.8 million, $35.5 million and $26.8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potential strategic acquisitions of complementary businesses, services or technologies, repayment and refinancing of debt, general and administrative costs,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or Charter, and our amended and restated bylaws, or Bylaws, which are exhibits to the registration statement of which this prospectus forms a part, and by applicable law. The terms of our common stock and preferred stock may also be affected by Delaware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Our authorized capital stock consists of 115,000,000 shares of common stock, par value $0.001 per share, and 5,000,000 shares of preferred stock, par value $0.001 per share. As of August 7, 2017, we had 27,483,925 shares of common stock outstanding and no shares of preferred stock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Holders of our common stock are entitled to one vote for each share held of record on all matters submitted to a vote of stockholders and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fully-paid and non-assessable.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common stock is listed on The NASDAQ Global Market under the symbol “ZFGN.” On August 7, 2017, the closing price for our common stock, as reported on The NASDAQ Global Market, was $3.49 per share.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8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66"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2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42" w:lineRule="exact"/>
        <w:rPr>
          <w:rFonts w:ascii="Arial" w:cs="Arial" w:eastAsia="Arial" w:hAnsi="Arial"/>
          <w:sz w:val="17"/>
          <w:szCs w:val="17"/>
          <w:color w:val="auto"/>
        </w:rPr>
      </w:pPr>
    </w:p>
    <w:p>
      <w:pPr>
        <w:ind w:left="900" w:right="6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Certain provisions of the Delaware General Corporation Law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of directors into three classes serving staggered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annual or special meeting, and that stockholders may not take any action by written consent in lieu of a meeting.</w:t>
      </w:r>
    </w:p>
    <w:p>
      <w:pPr>
        <w:spacing w:after="0" w:line="17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Charter and Bylaws provide that only a majority of the members of our board of directors then in office may call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b w:val="1"/>
          <w:bCs w:val="1"/>
          <w:i w:val="1"/>
          <w:iCs w:val="1"/>
          <w:color w:val="auto"/>
        </w:rPr>
        <w:t xml:space="preserve">Advance Notice Requirements. </w:t>
      </w:r>
      <w:r>
        <w:rPr>
          <w:rFonts w:ascii="Arial" w:cs="Arial" w:eastAsia="Arial" w:hAnsi="Arial"/>
          <w:sz w:val="18"/>
          <w:szCs w:val="18"/>
          <w:color w:val="auto"/>
        </w:rPr>
        <w:t>Our Bylaws establish advance notice procedures with regard to stockholder proposals relating to the nomination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than 90 days nor more than 120 days prior to the first anniversary date of the annual meeting for the preceding year. Our Bylaws specify the requirements as to form and content of all stockholders’ notices.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i w:val="1"/>
          <w:iCs w:val="1"/>
          <w:color w:val="auto"/>
        </w:rPr>
        <w:t>Amendment to Charter and Bylaws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required by the Delaware General Corporation Law, any amendment of our Charter must first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95" w:lineRule="exact"/>
        <w:rPr>
          <w:sz w:val="20"/>
          <w:szCs w:val="20"/>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100" w:hanging="325"/>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2"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b w:val="1"/>
          <w:bCs w:val="1"/>
          <w:i w:val="1"/>
          <w:iCs w:val="1"/>
          <w:color w:val="auto"/>
        </w:rPr>
        <w:t>Exclusive Jurisdiction of Certain Actions</w:t>
      </w:r>
      <w:r>
        <w:rPr>
          <w:rFonts w:ascii="Arial" w:cs="Arial" w:eastAsia="Arial" w:hAnsi="Arial"/>
          <w:sz w:val="17"/>
          <w:szCs w:val="17"/>
          <w:color w:val="auto"/>
        </w:rPr>
        <w:t>. Our Charter provides that, unless we consent in writing to the selection of an alternative forum,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8"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of which this prospectus forms a part.</w:t>
      </w:r>
    </w:p>
    <w:p>
      <w:pPr>
        <w:spacing w:after="0" w:line="19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If we issue debt securities at a discount from their principal amount, then, for purposes of calculating the aggregate offering price of the offered securities issued under this prospectus, we will include only the offering price of the debt securities and not the principal amount of the debt securities.</w:t>
      </w:r>
    </w:p>
    <w:p>
      <w:pPr>
        <w:spacing w:after="0" w:line="12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92"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ind w:left="900" w:right="18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or make-whole amount, and interest on, the debt securities will be payable;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86"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6" w:lineRule="exact"/>
        <w:rPr>
          <w:rFonts w:ascii="Arial" w:cs="Arial" w:eastAsia="Arial" w:hAnsi="Arial"/>
          <w:sz w:val="18"/>
          <w:szCs w:val="18"/>
          <w:color w:val="auto"/>
        </w:rPr>
      </w:pPr>
    </w:p>
    <w:p>
      <w:pPr>
        <w:ind w:left="900" w:right="4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75" w:lineRule="exact"/>
        <w:rPr>
          <w:rFonts w:ascii="Arial" w:cs="Arial" w:eastAsia="Arial" w:hAnsi="Arial"/>
          <w:sz w:val="18"/>
          <w:szCs w:val="18"/>
          <w:color w:val="auto"/>
        </w:rPr>
      </w:pPr>
    </w:p>
    <w:p>
      <w:pPr>
        <w:ind w:left="900" w:right="12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900" w:right="880" w:hanging="1"/>
        <w:spacing w:after="0" w:line="261" w:lineRule="auto"/>
        <w:tabs>
          <w:tab w:leader="none" w:pos="11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89" w:lineRule="exact"/>
        <w:rPr>
          <w:rFonts w:ascii="Arial" w:cs="Arial" w:eastAsia="Arial" w:hAnsi="Arial"/>
          <w:sz w:val="18"/>
          <w:szCs w:val="18"/>
          <w:color w:val="auto"/>
        </w:rPr>
      </w:pPr>
    </w:p>
    <w:p>
      <w:pPr>
        <w:ind w:left="900" w:right="42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900" w:right="20" w:hanging="325"/>
        <w:spacing w:after="0" w:line="31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described in this prospectus or in the applicable indenture;</w:t>
      </w:r>
    </w:p>
    <w:p>
      <w:pPr>
        <w:spacing w:after="0" w:line="142" w:lineRule="exact"/>
        <w:rPr>
          <w:rFonts w:ascii="Arial" w:cs="Arial" w:eastAsia="Arial" w:hAnsi="Arial"/>
          <w:sz w:val="17"/>
          <w:szCs w:val="17"/>
          <w:color w:val="auto"/>
        </w:rPr>
      </w:pPr>
    </w:p>
    <w:p>
      <w:pPr>
        <w:ind w:left="900" w:right="94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87"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w:t>
      </w:r>
    </w:p>
    <w:p>
      <w:pPr>
        <w:jc w:val="both"/>
        <w:ind w:firstLine="8"/>
        <w:spacing w:after="0" w:line="254"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0" w:lineRule="exact"/>
        <w:rPr>
          <w:sz w:val="20"/>
          <w:szCs w:val="20"/>
          <w:color w:val="auto"/>
        </w:rPr>
      </w:pPr>
    </w:p>
    <w:p>
      <w:pPr>
        <w:jc w:val="both"/>
        <w:ind w:right="200" w:firstLine="913"/>
        <w:spacing w:after="0" w:line="312"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jc w:val="both"/>
        <w:ind w:right="220" w:firstLine="913"/>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7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900" w:right="10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900" w:right="2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900" w:right="18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described under “—Merger, Consolidation or Sale of Assets,” the indentures require us to do or cause to be done all things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Payment of taxes and other claims</w:t>
      </w:r>
      <w:r>
        <w:rPr>
          <w:rFonts w:ascii="Arial" w:cs="Arial" w:eastAsia="Arial" w:hAnsi="Arial"/>
          <w:sz w:val="16"/>
          <w:szCs w:val="16"/>
          <w:color w:val="auto"/>
        </w:rPr>
        <w:t>. The indentures require us to pay, discharge or cause to be paid or discharged, before they become delinquent</w:t>
      </w:r>
    </w:p>
    <w:p>
      <w:pPr>
        <w:spacing w:after="0" w:line="46" w:lineRule="exact"/>
        <w:rPr>
          <w:sz w:val="20"/>
          <w:szCs w:val="20"/>
          <w:color w:val="auto"/>
        </w:rPr>
      </w:pPr>
    </w:p>
    <w:p>
      <w:pPr>
        <w:ind w:firstLine="8"/>
        <w:spacing w:after="0" w:line="255"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on us, and (ii)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w:t>
      </w:r>
    </w:p>
    <w:p>
      <w:pPr>
        <w:spacing w:after="0" w:line="19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i w:val="1"/>
          <w:iCs w:val="1"/>
          <w:color w:val="auto"/>
        </w:rPr>
        <w:t>Provision of financial information</w:t>
      </w:r>
      <w:r>
        <w:rPr>
          <w:rFonts w:ascii="Arial" w:cs="Arial" w:eastAsia="Arial" w:hAnsi="Arial"/>
          <w:sz w:val="17"/>
          <w:szCs w:val="17"/>
          <w:color w:val="auto"/>
        </w:rPr>
        <w:t>. The indentures require us to (i) within 15 days of each of the respective dates by which we are required to file</w:t>
      </w:r>
      <w:r>
        <w:rPr>
          <w:rFonts w:ascii="Arial" w:cs="Arial" w:eastAsia="Arial" w:hAnsi="Arial"/>
          <w:sz w:val="17"/>
          <w:szCs w:val="17"/>
          <w:i w:val="1"/>
          <w:iCs w:val="1"/>
          <w:color w:val="auto"/>
        </w:rPr>
        <w:t xml:space="preserve"> </w:t>
      </w:r>
      <w:r>
        <w:rPr>
          <w:rFonts w:ascii="Arial" w:cs="Arial" w:eastAsia="Arial" w:hAnsi="Arial"/>
          <w:sz w:val="17"/>
          <w:szCs w:val="17"/>
          <w:color w:val="auto"/>
        </w:rPr>
        <w:t>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Additional covenants</w:t>
      </w:r>
      <w:r>
        <w:rPr>
          <w:rFonts w:ascii="Arial" w:cs="Arial" w:eastAsia="Arial" w:hAnsi="Arial"/>
          <w:sz w:val="16"/>
          <w:szCs w:val="16"/>
          <w:color w:val="auto"/>
        </w:rPr>
        <w:t>. The applicable prospectus supplement will set forth any our additional covenants relating to any series of debt securities.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130"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30" w:lineRule="exact"/>
        <w:rPr>
          <w:rFonts w:ascii="Arial" w:cs="Arial" w:eastAsia="Arial" w:hAnsi="Arial"/>
          <w:sz w:val="18"/>
          <w:szCs w:val="18"/>
          <w:color w:val="auto"/>
        </w:rPr>
      </w:pPr>
    </w:p>
    <w:p>
      <w:pPr>
        <w:ind w:left="2400" w:right="20" w:hanging="569"/>
        <w:spacing w:after="0" w:line="277" w:lineRule="auto"/>
        <w:tabs>
          <w:tab w:leader="none" w:pos="2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under which there may be issued, secured or evidenced any existing or later created indebtedness for money borrowed by us, if we are directly responsible or liable as obligor or guarantor,</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8" w:lineRule="exact"/>
        <w:rPr>
          <w:sz w:val="20"/>
          <w:szCs w:val="20"/>
          <w:color w:val="auto"/>
        </w:rPr>
      </w:pPr>
    </w:p>
    <w:p>
      <w:pPr>
        <w:ind w:left="900" w:right="1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900" w:right="3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24"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52" w:lineRule="exact"/>
        <w:rPr>
          <w:rFonts w:ascii="Arial" w:cs="Arial" w:eastAsia="Arial" w:hAnsi="Arial"/>
          <w:sz w:val="16"/>
          <w:szCs w:val="16"/>
          <w:color w:val="auto"/>
        </w:rPr>
      </w:pPr>
    </w:p>
    <w:p>
      <w:pPr>
        <w:ind w:left="900" w:right="14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90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jc w:val="both"/>
        <w:ind w:left="900" w:right="16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52"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5620" w:right="80" w:hanging="5045"/>
        <w:spacing w:after="0" w:line="449"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 21</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3"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provisions.</w:t>
      </w:r>
    </w:p>
    <w:p>
      <w:pPr>
        <w:spacing w:after="0" w:line="21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6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900" w:hanging="325"/>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75" w:lineRule="exact"/>
        <w:rPr>
          <w:rFonts w:ascii="Arial" w:cs="Arial" w:eastAsia="Arial" w:hAnsi="Arial"/>
          <w:sz w:val="18"/>
          <w:szCs w:val="18"/>
          <w:color w:val="auto"/>
        </w:rPr>
      </w:pPr>
    </w:p>
    <w:p>
      <w:pPr>
        <w:ind w:left="900" w:right="80" w:hanging="325"/>
        <w:spacing w:after="0" w:line="29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900" w:right="5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24"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7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93"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7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69"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93"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40" w:firstLine="913"/>
        <w:spacing w:after="0" w:line="342" w:lineRule="auto"/>
        <w:rPr>
          <w:sz w:val="20"/>
          <w:szCs w:val="20"/>
          <w:color w:val="auto"/>
        </w:rPr>
      </w:pPr>
      <w:r>
        <w:rPr>
          <w:rFonts w:ascii="Arial" w:cs="Arial" w:eastAsia="Arial" w:hAnsi="Arial"/>
          <w:sz w:val="16"/>
          <w:szCs w:val="16"/>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900" w:right="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jc w:val="both"/>
        <w:ind w:right="220" w:firstLine="913"/>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including modifying any provisions of the governing unit agreement that differ from those described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900" w:right="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900" w:right="62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unit agreements will not include any restrictions on our ability to put liens on our assets, nor will they restrict our ability to sell our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unit agreements also will not provide for any events of default or remedies upon the occurrence of any events of default.</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the accompanying prospectus supplement states otherwise, each unit and all securities comprising the unit will be issued in the same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97" w:lineRule="exact"/>
        <w:rPr>
          <w:sz w:val="20"/>
          <w:szCs w:val="20"/>
          <w:color w:val="auto"/>
        </w:rPr>
      </w:pPr>
    </w:p>
    <w:p>
      <w:pPr>
        <w:ind w:left="900" w:right="1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75" w:lineRule="exact"/>
        <w:rPr>
          <w:rFonts w:ascii="Arial" w:cs="Arial" w:eastAsia="Arial" w:hAnsi="Arial"/>
          <w:sz w:val="18"/>
          <w:szCs w:val="18"/>
          <w:color w:val="auto"/>
        </w:rPr>
      </w:pPr>
    </w:p>
    <w:p>
      <w:pPr>
        <w:ind w:left="900" w:right="180" w:hanging="325"/>
        <w:spacing w:after="0" w:line="31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52"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supplement.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900" w:right="2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58"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or by telephone request to (617) 622-4003. Our website is located at </w:t>
      </w:r>
      <w:r>
        <w:rPr>
          <w:rFonts w:ascii="Arial" w:cs="Arial" w:eastAsia="Arial" w:hAnsi="Arial"/>
          <w:sz w:val="18"/>
          <w:szCs w:val="18"/>
          <w:i w:val="1"/>
          <w:iCs w:val="1"/>
          <w:color w:val="auto"/>
        </w:rPr>
        <w:t>www.zafgen.com</w:t>
      </w:r>
      <w:r>
        <w:rPr>
          <w:rFonts w:ascii="Arial" w:cs="Arial" w:eastAsia="Arial" w:hAnsi="Arial"/>
          <w:sz w:val="18"/>
          <w:szCs w:val="18"/>
          <w:color w:val="auto"/>
        </w:rPr>
        <w:t>. Information contained on our website is not incorporated by reference into this prospectus and, therefore, is not part of this prospectus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accompanying prospectus supplement.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7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2016;</w:t>
      </w:r>
    </w:p>
    <w:p>
      <w:pPr>
        <w:spacing w:after="0" w:line="130"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28, 2017;</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Quarterly Reports on Form 10-Q filed with the SEC for the quarters ended March 31, 2017 and June 30,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Current Reports on Form 8-K filed with the SEC on March 9, 2017, May 4, 2017, May 9, 2017, June 23, 2017 and August 8, 2017;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which was filed with the SEC on June 18, 2014, including any amendment or report filed for the purpose of updating such description.</w:t>
      </w:r>
    </w:p>
    <w:p>
      <w:pPr>
        <w:spacing w:after="0" w:line="170"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Zafgen, Inc., 175 Portland Street, 4th Floor, Boston, MA 02114, Attention: Secretary, or by telephone request to (617) 622-4003.</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640715</wp:posOffset>
            </wp:positionV>
            <wp:extent cx="1844040" cy="53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415290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 2017</w:t>
      </w:r>
    </w:p>
    <w:p>
      <w:pPr>
        <w:spacing w:after="0" w:line="200" w:lineRule="exact"/>
        <w:rPr>
          <w:sz w:val="20"/>
          <w:szCs w:val="20"/>
          <w:color w:val="auto"/>
        </w:rPr>
      </w:pPr>
    </w:p>
    <w:p>
      <w:pPr>
        <w:spacing w:after="0" w:line="2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expenses payable by Zafgen, Inc. (the “Registrant” or the “Company”) in connection with the issuance and distribution of the securities being registered (other than underwriting discounts and commissions, if any) are set forth below. Each item listed is estimated, except for the Securities and Exchange Commission (the “SEC”)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17,385</w:t>
            </w:r>
          </w:p>
        </w:tc>
        <w:tc>
          <w:tcPr>
            <w:tcW w:w="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FINRA filing fee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Transfer agent and trustee fees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616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34"/>
        </w:trPr>
        <w:tc>
          <w:tcPr>
            <w:tcW w:w="1160" w:type="dxa"/>
            <w:vAlign w:val="bottom"/>
            <w:tcBorders>
              <w:bottom w:val="single" w:sz="8" w:color="auto"/>
            </w:tcBorders>
          </w:tcPr>
          <w:p>
            <w:pPr>
              <w:spacing w:after="0"/>
              <w:rPr>
                <w:sz w:val="11"/>
                <w:szCs w:val="11"/>
                <w:color w:val="auto"/>
              </w:rPr>
            </w:pPr>
          </w:p>
        </w:tc>
        <w:tc>
          <w:tcPr>
            <w:tcW w:w="616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7320" w:type="dxa"/>
            <w:vAlign w:val="bottom"/>
            <w:gridSpan w:val="3"/>
          </w:tcPr>
          <w:p>
            <w:pPr>
              <w:spacing w:after="0"/>
              <w:rPr>
                <w:sz w:val="20"/>
                <w:szCs w:val="20"/>
                <w:color w:val="auto"/>
              </w:rPr>
            </w:pPr>
            <w:r>
              <w:rPr>
                <w:rFonts w:ascii="Arial" w:cs="Arial" w:eastAsia="Arial" w:hAnsi="Arial"/>
                <w:sz w:val="18"/>
                <w:szCs w:val="18"/>
                <w:color w:val="auto"/>
              </w:rPr>
              <w:t>*  Estimated expenses not presently known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Charter provides for the indemnification of directors to the fullest extent permissible under Delaware law.</w:t>
      </w:r>
    </w:p>
    <w:p>
      <w:pPr>
        <w:spacing w:after="0" w:line="225"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Our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800" w:right="360"/>
        <w:spacing w:after="0" w:line="449" w:lineRule="auto"/>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 II-1</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240" w:firstLine="1492"/>
        <w:spacing w:after="0" w:line="255" w:lineRule="auto"/>
        <w:tabs>
          <w:tab w:leader="none" w:pos="17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right="160" w:firstLine="1492"/>
        <w:spacing w:after="0" w:line="277" w:lineRule="auto"/>
        <w:tabs>
          <w:tab w:leader="none" w:pos="179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(a)(l)(i), (a)(l)(ii) and (a)(l)(iii)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firstLine="921"/>
        <w:spacing w:after="0" w:line="264" w:lineRule="auto"/>
        <w:tabs>
          <w:tab w:leader="none" w:pos="11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540" w:firstLine="921"/>
        <w:spacing w:after="0" w:line="277" w:lineRule="auto"/>
        <w:tabs>
          <w:tab w:leader="none" w:pos="11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320" w:firstLine="1492"/>
        <w:spacing w:after="0" w:line="277" w:lineRule="auto"/>
        <w:tabs>
          <w:tab w:leader="none" w:pos="16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firstLine="1492"/>
        <w:spacing w:after="0" w:line="288" w:lineRule="auto"/>
        <w:tabs>
          <w:tab w:leader="none" w:pos="1748"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6"/>
          <w:szCs w:val="16"/>
          <w:color w:val="auto"/>
        </w:rPr>
      </w:pPr>
    </w:p>
    <w:p>
      <w:pPr>
        <w:ind w:right="40" w:firstLine="921"/>
        <w:spacing w:after="0" w:line="257" w:lineRule="auto"/>
        <w:tabs>
          <w:tab w:leader="none" w:pos="11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 Any preliminary prospectus or prospectus of the undersigned registrant relating to the offering required to be filed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Rule 424;</w:t>
      </w:r>
    </w:p>
    <w:p>
      <w:pPr>
        <w:spacing w:after="0" w:line="103" w:lineRule="exact"/>
        <w:rPr>
          <w:sz w:val="20"/>
          <w:szCs w:val="20"/>
          <w:color w:val="auto"/>
        </w:rPr>
      </w:pPr>
    </w:p>
    <w:p>
      <w:pPr>
        <w:ind w:left="1740" w:hanging="248"/>
        <w:spacing w:after="0"/>
        <w:tabs>
          <w:tab w:leader="none" w:pos="17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undersigned registrant;</w:t>
      </w:r>
    </w:p>
    <w:p>
      <w:pPr>
        <w:spacing w:after="0" w:line="102" w:lineRule="exact"/>
        <w:rPr>
          <w:rFonts w:ascii="Arial" w:cs="Arial" w:eastAsia="Arial" w:hAnsi="Arial"/>
          <w:sz w:val="16"/>
          <w:szCs w:val="16"/>
          <w:color w:val="auto"/>
        </w:rPr>
      </w:pPr>
    </w:p>
    <w:p>
      <w:pPr>
        <w:ind w:right="500" w:firstLine="1492"/>
        <w:spacing w:after="0" w:line="277" w:lineRule="auto"/>
        <w:tabs>
          <w:tab w:leader="none" w:pos="17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780" w:hanging="288"/>
        <w:spacing w:after="0"/>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140" w:firstLine="921"/>
        <w:spacing w:after="0" w:line="257" w:lineRule="auto"/>
        <w:tabs>
          <w:tab w:leader="none" w:pos="11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ind w:right="20" w:firstLine="921"/>
        <w:spacing w:after="0" w:line="271" w:lineRule="auto"/>
        <w:tabs>
          <w:tab w:leader="none" w:pos="1168"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7"/>
          <w:szCs w:val="17"/>
          <w:color w:val="auto"/>
        </w:rPr>
      </w:pPr>
    </w:p>
    <w:p>
      <w:pPr>
        <w:ind w:firstLine="921"/>
        <w:spacing w:after="0" w:line="286" w:lineRule="auto"/>
        <w:tabs>
          <w:tab w:leader="none" w:pos="11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57" w:lineRule="exact"/>
        <w:rPr>
          <w:rFonts w:ascii="Arial" w:cs="Arial" w:eastAsia="Arial" w:hAnsi="Arial"/>
          <w:sz w:val="17"/>
          <w:szCs w:val="17"/>
          <w:color w:val="auto"/>
        </w:rPr>
      </w:pPr>
    </w:p>
    <w:p>
      <w:pPr>
        <w:ind w:right="80" w:firstLine="921"/>
        <w:spacing w:after="0" w:line="264" w:lineRule="auto"/>
        <w:tabs>
          <w:tab w:leader="none" w:pos="11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and</w:t>
      </w:r>
    </w:p>
    <w:p>
      <w:pPr>
        <w:spacing w:after="0" w:line="73" w:lineRule="exact"/>
        <w:rPr>
          <w:rFonts w:ascii="Arial" w:cs="Arial" w:eastAsia="Arial" w:hAnsi="Arial"/>
          <w:sz w:val="18"/>
          <w:szCs w:val="18"/>
          <w:color w:val="auto"/>
        </w:rPr>
      </w:pPr>
    </w:p>
    <w:p>
      <w:pPr>
        <w:ind w:right="300" w:firstLine="921"/>
        <w:spacing w:after="0" w:line="264" w:lineRule="auto"/>
        <w:tabs>
          <w:tab w:leader="none" w:pos="1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Boston, Massachusetts, on this 9th day of August, 2017.</w:t>
      </w:r>
    </w:p>
    <w:p>
      <w:pPr>
        <w:spacing w:after="0" w:line="204"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E. Hughes, Ph.D.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E. Hughes,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KNOW ALL BE THESE PRESENTS, that each person whose signature appears below hereby severally constitutes and appoints each of Thomas E. Hughes, Ph.D. and Patricia L. Allen,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64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c>
          <w:tcPr>
            <w:tcW w:w="2180" w:type="dxa"/>
            <w:vAlign w:val="bottom"/>
          </w:tcPr>
          <w:p>
            <w:pPr>
              <w:jc w:val="center"/>
              <w:ind w:left="99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E. Hughes, Ph.D.</w:t>
            </w:r>
          </w:p>
        </w:tc>
        <w:tc>
          <w:tcPr>
            <w:tcW w:w="46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Thomas E. Hughes, Ph.D.</w:t>
            </w:r>
          </w:p>
        </w:tc>
        <w:tc>
          <w:tcPr>
            <w:tcW w:w="46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1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Patricia L. Allen</w:t>
            </w:r>
          </w:p>
        </w:tc>
        <w:tc>
          <w:tcPr>
            <w:tcW w:w="46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Patricia L. Allen</w:t>
            </w:r>
          </w:p>
        </w:tc>
        <w:tc>
          <w:tcPr>
            <w:tcW w:w="46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1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Barrett, Ph.D.</w:t>
            </w:r>
          </w:p>
        </w:tc>
        <w:tc>
          <w:tcPr>
            <w:tcW w:w="464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Peter Barrett, Ph.D.</w:t>
            </w:r>
          </w:p>
        </w:tc>
        <w:tc>
          <w:tcPr>
            <w:tcW w:w="46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Booth, Ph.D.</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Bruce Booth, Ph.D.</w:t>
            </w:r>
          </w:p>
        </w:tc>
        <w:tc>
          <w:tcPr>
            <w:tcW w:w="46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J. Perez</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6"/>
              </w:rPr>
              <w:t>Robert J. Perez</w:t>
            </w:r>
          </w:p>
        </w:tc>
        <w:tc>
          <w:tcPr>
            <w:tcW w:w="46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Frances K. Heller</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Frances K. Heller</w:t>
            </w:r>
          </w:p>
        </w:tc>
        <w:tc>
          <w:tcPr>
            <w:tcW w:w="46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L. LaMattina, Ph.D.</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992"/>
              <w:spacing w:after="0"/>
              <w:rPr>
                <w:sz w:val="20"/>
                <w:szCs w:val="20"/>
                <w:color w:val="auto"/>
              </w:rPr>
            </w:pPr>
            <w:r>
              <w:rPr>
                <w:rFonts w:ascii="Arial" w:cs="Arial" w:eastAsia="Arial" w:hAnsi="Arial"/>
                <w:sz w:val="18"/>
                <w:szCs w:val="18"/>
                <w:color w:val="auto"/>
                <w:w w:val="90"/>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John L. LaMattina, Ph.D.</w:t>
            </w:r>
          </w:p>
        </w:tc>
        <w:tc>
          <w:tcPr>
            <w:tcW w:w="46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4640" w:type="dxa"/>
            <w:vAlign w:val="bottom"/>
          </w:tcPr>
          <w:p>
            <w:pPr>
              <w:ind w:left="1300"/>
              <w:spacing w:after="0"/>
              <w:rPr>
                <w:sz w:val="20"/>
                <w:szCs w:val="20"/>
                <w:color w:val="auto"/>
              </w:rPr>
            </w:pPr>
            <w:r>
              <w:rPr>
                <w:rFonts w:ascii="Arial" w:cs="Arial" w:eastAsia="Arial" w:hAnsi="Arial"/>
                <w:sz w:val="18"/>
                <w:szCs w:val="18"/>
                <w:color w:val="auto"/>
              </w:rPr>
              <w:t>II-4</w:t>
            </w:r>
          </w:p>
        </w:tc>
        <w:tc>
          <w:tcPr>
            <w:tcW w:w="218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Cameron Geoffrey McDonough, M.D.</w:t>
            </w:r>
          </w:p>
        </w:tc>
        <w:tc>
          <w:tcPr>
            <w:tcW w:w="1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5820" w:type="dxa"/>
            <w:vAlign w:val="bottom"/>
          </w:tcPr>
          <w:p>
            <w:pPr>
              <w:ind w:left="4720"/>
              <w:spacing w:after="0"/>
              <w:rPr>
                <w:sz w:val="20"/>
                <w:szCs w:val="20"/>
                <w:color w:val="auto"/>
              </w:rPr>
            </w:pPr>
            <w:r>
              <w:rPr>
                <w:rFonts w:ascii="Arial" w:cs="Arial" w:eastAsia="Arial" w:hAnsi="Arial"/>
                <w:sz w:val="18"/>
                <w:szCs w:val="18"/>
                <w:color w:val="auto"/>
                <w:w w:val="89"/>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Cameron Geoffrey McDonough, M.D.</w:t>
            </w:r>
          </w:p>
        </w:tc>
        <w:tc>
          <w:tcPr>
            <w:tcW w:w="100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1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5820" w:type="dxa"/>
            <w:vAlign w:val="bottom"/>
          </w:tcPr>
          <w:p>
            <w:pPr>
              <w:ind w:left="4720"/>
              <w:spacing w:after="0"/>
              <w:rPr>
                <w:sz w:val="20"/>
                <w:szCs w:val="20"/>
                <w:color w:val="auto"/>
              </w:rPr>
            </w:pPr>
            <w:r>
              <w:rPr>
                <w:rFonts w:ascii="Arial" w:cs="Arial" w:eastAsia="Arial" w:hAnsi="Arial"/>
                <w:sz w:val="18"/>
                <w:szCs w:val="18"/>
                <w:color w:val="auto"/>
                <w:w w:val="89"/>
              </w:rPr>
              <w:t>August 9,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Frank E. Thomas</w:t>
            </w:r>
          </w:p>
        </w:tc>
        <w:tc>
          <w:tcPr>
            <w:tcW w:w="100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00"/>
          </w:cols>
          <w:pgMar w:left="240" w:top="459"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2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Exhibit</w:t>
            </w:r>
          </w:p>
        </w:tc>
        <w:tc>
          <w:tcPr>
            <w:tcW w:w="10520" w:type="dxa"/>
            <w:vAlign w:val="bottom"/>
            <w:gridSpan w:val="3"/>
            <w:vMerge w:val="restart"/>
          </w:tcPr>
          <w:p>
            <w:pPr>
              <w:ind w:left="5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w w:val="91"/>
              </w:rPr>
              <w:t>Ninth Amended and Restated Certificate of Incorporation of the Registrant (incorporated by reference to Exhibit 3.1 of the Registrant’s Form</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8-K filed on June 24, 2014)</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w w:val="94"/>
              </w:rPr>
              <w:t>Amended and Restated Bylaws of the Registrant (incorporated by reference to Exhibit 3.2 of the Registrant’s Form 8-K filed on June 24,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w w:val="92"/>
              </w:rPr>
              <w:t>Specimen Common Stock Certificate (incorporated by reference to Exhibit 4.1 of the Registrant’s Registration Statement on Form S-1 (File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No. 333-195391) filed on June 18, 2014)</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w w:val="91"/>
              </w:rPr>
              <w:t>Third Amended and Restated Investors’ Rights Agreement by and among the Registrant and certain of its stockholders dated November 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w w:val="96"/>
              </w:rPr>
              <w:t>2013 (incorporated by reference to Exhibit 4.2 of the Registrant’s Registration Statement on Form S-1 (File No. 333-195391) filed 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June 18, 2014)</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indenture for senior debt securities and the related form of senior debt security</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indenture for subordinated debt securities and the related form of subordinated debt security</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Certificate of Designations</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Warrant Agreements</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12.1</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Consent of Goodwin Procter LLP (included in Exhibit 5.1 hereto)</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Power of Attorney (included on the signature pages to this registration statement)</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25.1**</w:t>
            </w: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25.2**</w:t>
            </w: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ind w:left="5580" w:right="4260" w:hanging="5572"/>
        <w:spacing w:after="0" w:line="433"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be filed by amendment pursuant to Section 305(b)(2) of the Trust Indenture Act of 1939. II-6</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-130175</wp:posOffset>
            </wp:positionV>
            <wp:extent cx="4562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4600"/>
        <w:spacing w:after="0"/>
        <w:tabs>
          <w:tab w:leader="none" w:pos="636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Debt Securities</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60" w:type="dxa"/>
            <w:vAlign w:val="bottom"/>
            <w:gridSpan w:val="4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ARTICLE ONE</w:t>
              </w:r>
              <w:r>
                <w:rPr>
                  <w:rFonts w:ascii="Arial" w:cs="Arial" w:eastAsia="Arial" w:hAnsi="Arial"/>
                  <w:sz w:val="18"/>
                  <w:szCs w:val="18"/>
                  <w:b w:val="1"/>
                  <w:bCs w:val="1"/>
                  <w:color w:val="0000EE"/>
                </w:rPr>
                <w:t>—</w:t>
              </w:r>
              <w:r>
                <w:rPr>
                  <w:rFonts w:ascii="Arial" w:cs="Arial" w:eastAsia="Arial" w:hAnsi="Arial"/>
                  <w:sz w:val="18"/>
                  <w:szCs w:val="18"/>
                  <w:color w:val="0000EE"/>
                </w:rPr>
                <w:t>DEFINITIONS AND OTHER PROVISIONS OF GENERAL APPLICATION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60" w:type="dxa"/>
            <w:vAlign w:val="bottom"/>
            <w:tcBorders>
              <w:top w:val="single" w:sz="8" w:color="0000EE"/>
            </w:tcBorders>
          </w:tcPr>
          <w:p>
            <w:pPr>
              <w:spacing w:after="0"/>
              <w:rPr>
                <w:sz w:val="24"/>
                <w:szCs w:val="24"/>
                <w:color w:val="auto"/>
              </w:rPr>
            </w:pPr>
          </w:p>
        </w:tc>
        <w:tc>
          <w:tcPr>
            <w:tcW w:w="19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SECTION 101 Definitions</w:t>
              </w:r>
            </w:hyperlink>
          </w:p>
        </w:tc>
        <w:tc>
          <w:tcPr>
            <w:tcW w:w="4720" w:type="dxa"/>
            <w:vAlign w:val="bottom"/>
            <w:tcBorders>
              <w:top w:val="single" w:sz="8" w:color="0000EE"/>
            </w:tcBorders>
            <w:gridSpan w:val="34"/>
          </w:tcPr>
          <w:p>
            <w:pPr>
              <w:spacing w:after="0"/>
              <w:rPr>
                <w:sz w:val="24"/>
                <w:szCs w:val="24"/>
                <w:color w:val="auto"/>
              </w:rPr>
            </w:pPr>
          </w:p>
        </w:tc>
        <w:tc>
          <w:tcPr>
            <w:tcW w:w="40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39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SECTION 102 Compliance Certificates and Opinions</w:t>
              </w:r>
            </w:hyperlink>
          </w:p>
        </w:tc>
        <w:tc>
          <w:tcPr>
            <w:tcW w:w="6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1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SECTION 103 Form of Documents Delivered to Trustee</w:t>
              </w:r>
            </w:hyperlink>
          </w:p>
        </w:tc>
        <w:tc>
          <w:tcPr>
            <w:tcW w:w="660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SECTION 104 Acts of Holders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SECTION 105 Notices, etc., to Trustee and Company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SECTION 106 Notice to Holders; Waiver</w:t>
              </w:r>
            </w:hyperlink>
          </w:p>
        </w:tc>
        <w:tc>
          <w:tcPr>
            <w:tcW w:w="860" w:type="dxa"/>
            <w:vAlign w:val="bottom"/>
            <w:tcBorders>
              <w:top w:val="single" w:sz="8" w:color="0000EE"/>
            </w:tcBorders>
            <w:gridSpan w:val="9"/>
          </w:tcPr>
          <w:p>
            <w:pPr>
              <w:spacing w:after="0"/>
              <w:rPr>
                <w:sz w:val="17"/>
                <w:szCs w:val="17"/>
                <w:color w:val="auto"/>
              </w:rPr>
            </w:pPr>
          </w:p>
        </w:tc>
        <w:tc>
          <w:tcPr>
            <w:tcW w:w="68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SECTION 107 Counterparts; Effect of Headings and Table of Contents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SECTION 108 Successors and Assigns</w:t>
              </w:r>
            </w:hyperlink>
          </w:p>
        </w:tc>
        <w:tc>
          <w:tcPr>
            <w:tcW w:w="2340" w:type="dxa"/>
            <w:vAlign w:val="bottom"/>
            <w:tcBorders>
              <w:top w:val="single" w:sz="8" w:color="0000EE"/>
            </w:tcBorders>
            <w:gridSpan w:val="19"/>
          </w:tcPr>
          <w:p>
            <w:pPr>
              <w:spacing w:after="0"/>
              <w:rPr>
                <w:sz w:val="17"/>
                <w:szCs w:val="17"/>
                <w:color w:val="auto"/>
              </w:rPr>
            </w:pPr>
          </w:p>
        </w:tc>
        <w:tc>
          <w:tcPr>
            <w:tcW w:w="55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2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SECTION 109 Severability Clause</w:t>
              </w:r>
            </w:hyperlink>
          </w:p>
        </w:tc>
        <w:tc>
          <w:tcPr>
            <w:tcW w:w="8160" w:type="dxa"/>
            <w:vAlign w:val="bottom"/>
            <w:gridSpan w:val="3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SECTION 110 Benefits of Indenture</w:t>
              </w:r>
            </w:hyperlink>
          </w:p>
        </w:tc>
        <w:tc>
          <w:tcPr>
            <w:tcW w:w="8040" w:type="dxa"/>
            <w:vAlign w:val="bottom"/>
            <w:gridSpan w:val="2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SECTION 111 Governing Law</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2260" w:type="dxa"/>
            <w:vAlign w:val="bottom"/>
            <w:tcBorders>
              <w:top w:val="single" w:sz="8" w:color="0000EE"/>
            </w:tcBorders>
            <w:gridSpan w:val="5"/>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SECTION 112 Legal Holidays</w:t>
              </w:r>
            </w:hyperlink>
          </w:p>
        </w:tc>
        <w:tc>
          <w:tcPr>
            <w:tcW w:w="8440" w:type="dxa"/>
            <w:vAlign w:val="bottom"/>
            <w:gridSpan w:val="3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SECTION 113 Limited Liability; Immunity of Stockholders, Directors, Officers and Agents of the Company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SECTION 114 Conflict with Trust Indenture Act</w:t>
              </w:r>
            </w:hyperlink>
          </w:p>
        </w:tc>
        <w:tc>
          <w:tcPr>
            <w:tcW w:w="4340" w:type="dxa"/>
            <w:vAlign w:val="bottom"/>
            <w:tcBorders>
              <w:top w:val="single" w:sz="8" w:color="0000EE"/>
            </w:tcBorders>
            <w:gridSpan w:val="17"/>
          </w:tcPr>
          <w:p>
            <w:pPr>
              <w:spacing w:after="0"/>
              <w:rPr>
                <w:sz w:val="17"/>
                <w:szCs w:val="17"/>
                <w:color w:val="auto"/>
              </w:rPr>
            </w:pPr>
          </w:p>
        </w:tc>
        <w:tc>
          <w:tcPr>
            <w:tcW w:w="28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304"/>
        </w:trPr>
        <w:tc>
          <w:tcPr>
            <w:tcW w:w="11060" w:type="dxa"/>
            <w:vAlign w:val="bottom"/>
            <w:gridSpan w:val="4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ARTICLE TWO—SECURITIES FORMS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Borders>
              <w:top w:val="single" w:sz="8" w:color="0000EE"/>
            </w:tcBorders>
          </w:tcPr>
          <w:p>
            <w:pPr>
              <w:spacing w:after="0"/>
              <w:rPr>
                <w:sz w:val="24"/>
                <w:szCs w:val="24"/>
                <w:color w:val="auto"/>
              </w:rPr>
            </w:pPr>
          </w:p>
        </w:tc>
        <w:tc>
          <w:tcPr>
            <w:tcW w:w="25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SECTION 201 Forms of Securities</w:t>
              </w:r>
            </w:hyperlink>
          </w:p>
        </w:tc>
        <w:tc>
          <w:tcPr>
            <w:tcW w:w="160" w:type="dxa"/>
            <w:vAlign w:val="bottom"/>
            <w:tcBorders>
              <w:top w:val="single" w:sz="8" w:color="0000EE"/>
            </w:tcBorders>
            <w:gridSpan w:val="4"/>
          </w:tcPr>
          <w:p>
            <w:pPr>
              <w:spacing w:after="0"/>
              <w:rPr>
                <w:sz w:val="24"/>
                <w:szCs w:val="24"/>
                <w:color w:val="auto"/>
              </w:rPr>
            </w:pPr>
          </w:p>
        </w:tc>
        <w:tc>
          <w:tcPr>
            <w:tcW w:w="8000" w:type="dxa"/>
            <w:vAlign w:val="bottom"/>
            <w:gridSpan w:val="2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SECTION 202 Form of Trustee’s Certificate of Authentication</w:t>
              </w:r>
            </w:hyperlink>
          </w:p>
        </w:tc>
        <w:tc>
          <w:tcPr>
            <w:tcW w:w="61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SECTION 203 Securities Issuable in Global Form</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29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ARTICLE THREE—THE SECURITIES</w:t>
              </w:r>
            </w:hyperlink>
          </w:p>
        </w:tc>
        <w:tc>
          <w:tcPr>
            <w:tcW w:w="8080" w:type="dxa"/>
            <w:vAlign w:val="bottom"/>
            <w:gridSpan w:val="2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0700" w:type="dxa"/>
            <w:vAlign w:val="bottom"/>
            <w:gridSpan w:val="3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SECTION 301 Amount Unlimited; Issuable in Series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38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SECTION 302 Denominations</w:t>
              </w:r>
            </w:hyperlink>
          </w:p>
        </w:tc>
        <w:tc>
          <w:tcPr>
            <w:tcW w:w="686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SECTION 303 Execution, Authentication, Delivery and Dating</w:t>
              </w:r>
            </w:hyperlink>
          </w:p>
        </w:tc>
        <w:tc>
          <w:tcPr>
            <w:tcW w:w="61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SECTION 304 Temporary Securities</w:t>
              </w:r>
            </w:hyperlink>
          </w:p>
        </w:tc>
        <w:tc>
          <w:tcPr>
            <w:tcW w:w="8020" w:type="dxa"/>
            <w:vAlign w:val="bottom"/>
            <w:gridSpan w:val="2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SECTION 305 Registration, Registration of Transfer, Conversion and Exchange</w:t>
              </w:r>
            </w:hyperlink>
          </w:p>
        </w:tc>
        <w:tc>
          <w:tcPr>
            <w:tcW w:w="4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SECTION 306 Mutilated, Destroyed, Lost and Stolen Securities</w:t>
              </w:r>
            </w:hyperlink>
          </w:p>
        </w:tc>
        <w:tc>
          <w:tcPr>
            <w:tcW w:w="60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SECTION 307 Payment of Interest; Interest Rights Preserved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SECTION 308 Persons Deemed Owners</w:t>
              </w:r>
            </w:hyperlink>
          </w:p>
        </w:tc>
        <w:tc>
          <w:tcPr>
            <w:tcW w:w="1500" w:type="dxa"/>
            <w:vAlign w:val="bottom"/>
            <w:tcBorders>
              <w:top w:val="single" w:sz="8" w:color="0000EE"/>
            </w:tcBorders>
            <w:gridSpan w:val="14"/>
          </w:tcPr>
          <w:p>
            <w:pPr>
              <w:spacing w:after="0"/>
              <w:rPr>
                <w:sz w:val="17"/>
                <w:szCs w:val="17"/>
                <w:color w:val="auto"/>
              </w:rPr>
            </w:pPr>
          </w:p>
        </w:tc>
        <w:tc>
          <w:tcPr>
            <w:tcW w:w="62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20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SECTION 309 Cancellation</w:t>
              </w:r>
            </w:hyperlink>
          </w:p>
        </w:tc>
        <w:tc>
          <w:tcPr>
            <w:tcW w:w="8660" w:type="dxa"/>
            <w:vAlign w:val="bottom"/>
            <w:gridSpan w:val="3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SECTION 310 Computation of Interest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SECTION 311 CUSIP Numbers</w:t>
              </w:r>
            </w:hyperlink>
          </w:p>
        </w:tc>
        <w:tc>
          <w:tcPr>
            <w:tcW w:w="500" w:type="dxa"/>
            <w:vAlign w:val="bottom"/>
            <w:tcBorders>
              <w:top w:val="single" w:sz="8" w:color="0000EE"/>
            </w:tcBorders>
            <w:gridSpan w:val="8"/>
          </w:tcPr>
          <w:p>
            <w:pPr>
              <w:spacing w:after="0"/>
              <w:rPr>
                <w:sz w:val="17"/>
                <w:szCs w:val="17"/>
                <w:color w:val="auto"/>
              </w:rPr>
            </w:pPr>
          </w:p>
        </w:tc>
        <w:tc>
          <w:tcPr>
            <w:tcW w:w="786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42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ARTICLE FOUR—SATISFACTION AND DISCHARGE</w:t>
              </w:r>
            </w:hyperlink>
          </w:p>
        </w:tc>
        <w:tc>
          <w:tcPr>
            <w:tcW w:w="68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360" w:type="dxa"/>
            <w:vAlign w:val="bottom"/>
          </w:tcPr>
          <w:p>
            <w:pPr>
              <w:spacing w:after="0"/>
              <w:rPr>
                <w:sz w:val="24"/>
                <w:szCs w:val="24"/>
                <w:color w:val="auto"/>
              </w:rPr>
            </w:pPr>
          </w:p>
        </w:tc>
        <w:tc>
          <w:tcPr>
            <w:tcW w:w="10700" w:type="dxa"/>
            <w:vAlign w:val="bottom"/>
            <w:gridSpan w:val="3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SECTION 401 Satisfaction and Discharge of Indenture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SECTION 402 Application of Trust Funds</w:t>
              </w:r>
            </w:hyperlink>
          </w:p>
        </w:tc>
        <w:tc>
          <w:tcPr>
            <w:tcW w:w="900" w:type="dxa"/>
            <w:vAlign w:val="bottom"/>
            <w:tcBorders>
              <w:top w:val="single" w:sz="8" w:color="0000EE"/>
            </w:tcBorders>
            <w:gridSpan w:val="10"/>
          </w:tcPr>
          <w:p>
            <w:pPr>
              <w:spacing w:after="0"/>
              <w:rPr>
                <w:sz w:val="17"/>
                <w:szCs w:val="17"/>
                <w:color w:val="auto"/>
              </w:rPr>
            </w:pPr>
          </w:p>
        </w:tc>
        <w:tc>
          <w:tcPr>
            <w:tcW w:w="67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04"/>
        </w:trPr>
        <w:tc>
          <w:tcPr>
            <w:tcW w:w="11060" w:type="dxa"/>
            <w:vAlign w:val="bottom"/>
            <w:gridSpan w:val="4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ARTICLE FIVE—REMEDIES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SECTION 501 Events of Default</w:t>
              </w:r>
            </w:hyperlink>
          </w:p>
        </w:tc>
        <w:tc>
          <w:tcPr>
            <w:tcW w:w="8300" w:type="dxa"/>
            <w:vAlign w:val="bottom"/>
            <w:gridSpan w:val="3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SECTION 502 Acceleration of Maturity; Rescission and Annulment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SECTION 503 Collection of Indebtedness and Suits for Enforcement by Trustee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SECTION 504 Trustee May File Proofs of Claim</w:t>
              </w:r>
            </w:hyperlink>
          </w:p>
        </w:tc>
        <w:tc>
          <w:tcPr>
            <w:tcW w:w="2220" w:type="dxa"/>
            <w:vAlign w:val="bottom"/>
            <w:tcBorders>
              <w:top w:val="single" w:sz="8" w:color="0000EE"/>
            </w:tcBorders>
            <w:gridSpan w:val="13"/>
          </w:tcPr>
          <w:p>
            <w:pPr>
              <w:spacing w:after="0"/>
              <w:rPr>
                <w:sz w:val="17"/>
                <w:szCs w:val="17"/>
                <w:color w:val="auto"/>
              </w:rPr>
            </w:pPr>
          </w:p>
        </w:tc>
        <w:tc>
          <w:tcPr>
            <w:tcW w:w="4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65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SECTION 505 Trustee May Enforce Claims Without Possession of Securities or Coupons</w:t>
              </w:r>
            </w:hyperlink>
          </w:p>
        </w:tc>
        <w:tc>
          <w:tcPr>
            <w:tcW w:w="41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SECTION 506 Application of Money Collected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SECTION 507 Limitation on Suits</w:t>
              </w:r>
            </w:hyperlink>
          </w:p>
        </w:tc>
        <w:tc>
          <w:tcPr>
            <w:tcW w:w="940" w:type="dxa"/>
            <w:vAlign w:val="bottom"/>
            <w:tcBorders>
              <w:top w:val="single" w:sz="8" w:color="0000EE"/>
            </w:tcBorders>
            <w:gridSpan w:val="11"/>
          </w:tcPr>
          <w:p>
            <w:pPr>
              <w:spacing w:after="0"/>
              <w:rPr>
                <w:sz w:val="17"/>
                <w:szCs w:val="17"/>
                <w:color w:val="auto"/>
              </w:rPr>
            </w:pPr>
          </w:p>
        </w:tc>
        <w:tc>
          <w:tcPr>
            <w:tcW w:w="724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SECTION 508 Unconditional Right of Holders to Receive Principal, Premium or Make-Whole Amount, if any, and Interest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89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SECTION 509 Restoration of Rights and Remedies</w:t>
              </w:r>
            </w:hyperlink>
          </w:p>
        </w:tc>
        <w:tc>
          <w:tcPr>
            <w:tcW w:w="1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372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SECTION 510 Rights and Remedies Cumulative</w:t>
              </w:r>
            </w:hyperlink>
          </w:p>
        </w:tc>
        <w:tc>
          <w:tcPr>
            <w:tcW w:w="698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SECTION 511 Delay or Omission Not Waiver</w:t>
              </w:r>
            </w:hyperlink>
          </w:p>
        </w:tc>
        <w:tc>
          <w:tcPr>
            <w:tcW w:w="180" w:type="dxa"/>
            <w:vAlign w:val="bottom"/>
            <w:tcBorders>
              <w:top w:val="single" w:sz="8" w:color="0000EE"/>
            </w:tcBorders>
            <w:gridSpan w:val="2"/>
          </w:tcPr>
          <w:p>
            <w:pPr>
              <w:spacing w:after="0"/>
              <w:rPr>
                <w:sz w:val="17"/>
                <w:szCs w:val="17"/>
                <w:color w:val="auto"/>
              </w:rPr>
            </w:pPr>
          </w:p>
        </w:tc>
        <w:tc>
          <w:tcPr>
            <w:tcW w:w="716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8680" w:type="dxa"/>
            <w:vAlign w:val="bottom"/>
            <w:gridSpan w:val="46"/>
          </w:tcPr>
          <w:p>
            <w:pPr>
              <w:spacing w:after="0"/>
              <w:rPr>
                <w:sz w:val="17"/>
                <w:szCs w:val="17"/>
                <w:color w:val="auto"/>
              </w:rPr>
            </w:pPr>
          </w:p>
        </w:tc>
        <w:tc>
          <w:tcPr>
            <w:tcW w:w="132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9680" w:type="dxa"/>
            <w:vAlign w:val="bottom"/>
            <w:gridSpan w:val="4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SECTION 512 Control by Holders of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SECTION 513 Waiver of Past Defaults</w:t>
              </w:r>
            </w:hyperlink>
          </w:p>
        </w:tc>
        <w:tc>
          <w:tcPr>
            <w:tcW w:w="620" w:type="dxa"/>
            <w:vAlign w:val="bottom"/>
            <w:tcBorders>
              <w:top w:val="single" w:sz="8" w:color="0000EE"/>
            </w:tcBorders>
            <w:gridSpan w:val="6"/>
          </w:tcPr>
          <w:p>
            <w:pPr>
              <w:spacing w:after="0"/>
              <w:rPr>
                <w:sz w:val="17"/>
                <w:szCs w:val="17"/>
                <w:color w:val="auto"/>
              </w:rPr>
            </w:pPr>
          </w:p>
        </w:tc>
        <w:tc>
          <w:tcPr>
            <w:tcW w:w="6220" w:type="dxa"/>
            <w:vAlign w:val="bottom"/>
            <w:gridSpan w:val="2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41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SECTION 514 Waiver of Usury, Stay or Extension Laws</w:t>
              </w:r>
            </w:hyperlink>
          </w:p>
        </w:tc>
        <w:tc>
          <w:tcPr>
            <w:tcW w:w="556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SECTION 515 Undertaking for Costs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24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ARTICLE SIX—THE TRUSTEE</w:t>
              </w:r>
            </w:hyperlink>
          </w:p>
        </w:tc>
        <w:tc>
          <w:tcPr>
            <w:tcW w:w="7580" w:type="dxa"/>
            <w:vAlign w:val="bottom"/>
            <w:gridSpan w:val="4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360" w:type="dxa"/>
            <w:vAlign w:val="bottom"/>
          </w:tcPr>
          <w:p>
            <w:pPr>
              <w:spacing w:after="0"/>
              <w:rPr>
                <w:sz w:val="24"/>
                <w:szCs w:val="24"/>
                <w:color w:val="auto"/>
              </w:rPr>
            </w:pPr>
          </w:p>
        </w:tc>
        <w:tc>
          <w:tcPr>
            <w:tcW w:w="24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SECTION 601 Notice of Defaults</w:t>
              </w:r>
            </w:hyperlink>
          </w:p>
        </w:tc>
        <w:tc>
          <w:tcPr>
            <w:tcW w:w="7220" w:type="dxa"/>
            <w:vAlign w:val="bottom"/>
            <w:gridSpan w:val="41"/>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SECTION 602 Certain Rights of Trustee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60" w:type="dxa"/>
            <w:vAlign w:val="bottom"/>
            <w:tcBorders>
              <w:bottom w:val="single" w:sz="8" w:color="0000EE"/>
            </w:tcBorders>
            <w:gridSpan w:val="40"/>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SECTION 603 Not Responsible for Recitals or Issuance of Securities</w:t>
              </w:r>
            </w:hyperlink>
          </w:p>
        </w:tc>
        <w:tc>
          <w:tcPr>
            <w:tcW w:w="462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SECTION 604 May Hold Securities</w:t>
              </w:r>
            </w:hyperlink>
          </w:p>
        </w:tc>
        <w:tc>
          <w:tcPr>
            <w:tcW w:w="7060" w:type="dxa"/>
            <w:vAlign w:val="bottom"/>
            <w:gridSpan w:val="3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26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SECTION 605 Money Held in Trust</w:t>
              </w:r>
            </w:hyperlink>
          </w:p>
        </w:tc>
        <w:tc>
          <w:tcPr>
            <w:tcW w:w="7040" w:type="dxa"/>
            <w:vAlign w:val="bottom"/>
            <w:gridSpan w:val="3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36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SECTION 606 Compensation and Reimbursement</w:t>
              </w:r>
            </w:hyperlink>
          </w:p>
        </w:tc>
        <w:tc>
          <w:tcPr>
            <w:tcW w:w="6020" w:type="dxa"/>
            <w:vAlign w:val="bottom"/>
            <w:gridSpan w:val="2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5580" w:type="dxa"/>
            <w:vAlign w:val="bottom"/>
            <w:tcBorders>
              <w:bottom w:val="single" w:sz="8" w:color="0000EE"/>
            </w:tcBorders>
            <w:gridSpan w:val="41"/>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SECTION 607 Corporate Trustee Required; Eligibility; Conflicting Interests</w:t>
              </w:r>
            </w:hyperlink>
          </w:p>
        </w:tc>
        <w:tc>
          <w:tcPr>
            <w:tcW w:w="410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500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SECTION 608 Resignation and Removal; Appointment of Successor</w:t>
              </w:r>
            </w:hyperlink>
          </w:p>
        </w:tc>
        <w:tc>
          <w:tcPr>
            <w:tcW w:w="468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SECTION 609 Acceptance of Appointment by Successor</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SECTION 610 Merger, Conversion, Consolidation or Succession to Business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60" w:type="dxa"/>
            <w:vAlign w:val="bottom"/>
          </w:tcPr>
          <w:p>
            <w:pPr>
              <w:spacing w:after="0"/>
              <w:rPr>
                <w:sz w:val="17"/>
                <w:szCs w:val="17"/>
                <w:color w:val="auto"/>
              </w:rPr>
            </w:pPr>
          </w:p>
        </w:tc>
        <w:tc>
          <w:tcPr>
            <w:tcW w:w="562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SECTION 611 Appointment of Authenticating Agent</w:t>
              </w:r>
            </w:hyperlink>
          </w:p>
        </w:tc>
        <w:tc>
          <w:tcPr>
            <w:tcW w:w="406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SECTION 612 Certain Duties and Responsibilities of the Trustee</w:t>
              </w:r>
            </w:hyperlink>
          </w:p>
        </w:tc>
        <w:tc>
          <w:tcPr>
            <w:tcW w:w="492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304"/>
        </w:trPr>
        <w:tc>
          <w:tcPr>
            <w:tcW w:w="6740" w:type="dxa"/>
            <w:vAlign w:val="bottom"/>
            <w:tcBorders>
              <w:bottom w:val="single" w:sz="8" w:color="0000EE"/>
            </w:tcBorders>
            <w:gridSpan w:val="46"/>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ARTICLE SEVEN—HOLDERS’ LISTS AND REPORTS BY TRUSTEE AND COMPANY</w:t>
              </w:r>
            </w:hyperlink>
          </w:p>
        </w:tc>
        <w:tc>
          <w:tcPr>
            <w:tcW w:w="330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60" w:type="dxa"/>
            <w:vAlign w:val="bottom"/>
          </w:tcPr>
          <w:p>
            <w:pPr>
              <w:spacing w:after="0"/>
              <w:rPr>
                <w:sz w:val="24"/>
                <w:szCs w:val="24"/>
                <w:color w:val="auto"/>
              </w:rPr>
            </w:pPr>
          </w:p>
        </w:tc>
        <w:tc>
          <w:tcPr>
            <w:tcW w:w="454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SECTION 701 Disclosure of Names and Addresses of Holders</w:t>
              </w:r>
            </w:hyperlink>
          </w:p>
        </w:tc>
        <w:tc>
          <w:tcPr>
            <w:tcW w:w="5140" w:type="dxa"/>
            <w:vAlign w:val="bottom"/>
            <w:gridSpan w:val="1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25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SECTION 702 Reports by Trustee</w:t>
              </w:r>
            </w:hyperlink>
          </w:p>
        </w:tc>
        <w:tc>
          <w:tcPr>
            <w:tcW w:w="7180" w:type="dxa"/>
            <w:vAlign w:val="bottom"/>
            <w:gridSpan w:val="4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2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SECTION 703 Reports by Company</w:t>
              </w:r>
            </w:hyperlink>
          </w:p>
        </w:tc>
        <w:tc>
          <w:tcPr>
            <w:tcW w:w="6960" w:type="dxa"/>
            <w:vAlign w:val="bottom"/>
            <w:gridSpan w:val="3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5680" w:type="dxa"/>
            <w:vAlign w:val="bottom"/>
            <w:tcBorders>
              <w:bottom w:val="single" w:sz="8" w:color="0000EE"/>
            </w:tcBorders>
            <w:gridSpan w:val="43"/>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SECTION 704 Company to Furnish Trustee Names and Addresses of Holders</w:t>
              </w:r>
            </w:hyperlink>
          </w:p>
        </w:tc>
        <w:tc>
          <w:tcPr>
            <w:tcW w:w="400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04"/>
        </w:trPr>
        <w:tc>
          <w:tcPr>
            <w:tcW w:w="10040" w:type="dxa"/>
            <w:vAlign w:val="bottom"/>
            <w:gridSpan w:val="4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ARTICLE EIGHT—CONSOLIDATION, MERGER, SALE, LEASE OR CONVEYANCE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680" w:type="dxa"/>
            <w:vAlign w:val="bottom"/>
            <w:tcBorders>
              <w:bottom w:val="single" w:sz="8" w:color="0000EE"/>
            </w:tcBorders>
            <w:gridSpan w:val="47"/>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SECTION 801 Consolidations and Mergers of Company and Sales, Leases and Conveyances Permitted Subject to Certain Conditions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43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SECTION 802 Rights and Duties of Successor Corporation</w:t>
              </w:r>
            </w:hyperlink>
          </w:p>
        </w:tc>
        <w:tc>
          <w:tcPr>
            <w:tcW w:w="5380" w:type="dxa"/>
            <w:vAlign w:val="bottom"/>
            <w:gridSpan w:val="1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SECTION 803 Officers’ Certificate and Opinion of Counsel</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398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ARTICLE NINE—SUPPLEMENTAL INDENTURES</w:t>
              </w:r>
            </w:hyperlink>
          </w:p>
        </w:tc>
        <w:tc>
          <w:tcPr>
            <w:tcW w:w="6060" w:type="dxa"/>
            <w:vAlign w:val="bottom"/>
            <w:gridSpan w:val="2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60" w:type="dxa"/>
            <w:vAlign w:val="bottom"/>
          </w:tcPr>
          <w:p>
            <w:pPr>
              <w:spacing w:after="0"/>
              <w:rPr>
                <w:sz w:val="24"/>
                <w:szCs w:val="24"/>
                <w:color w:val="auto"/>
              </w:rPr>
            </w:pPr>
          </w:p>
        </w:tc>
        <w:tc>
          <w:tcPr>
            <w:tcW w:w="9680" w:type="dxa"/>
            <w:vAlign w:val="bottom"/>
            <w:gridSpan w:val="4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SECTION 901 Supplemental Indentures Without Consent of Holders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SECTION 902 Supplemental Indentures with Consent of Holders</w:t>
              </w:r>
            </w:hyperlink>
          </w:p>
        </w:tc>
        <w:tc>
          <w:tcPr>
            <w:tcW w:w="300" w:type="dxa"/>
            <w:vAlign w:val="bottom"/>
            <w:tcBorders>
              <w:top w:val="single" w:sz="8" w:color="0000EE"/>
            </w:tcBorders>
            <w:gridSpan w:val="6"/>
          </w:tcPr>
          <w:p>
            <w:pPr>
              <w:spacing w:after="0"/>
              <w:rPr>
                <w:sz w:val="17"/>
                <w:szCs w:val="17"/>
                <w:color w:val="auto"/>
              </w:rPr>
            </w:pPr>
          </w:p>
        </w:tc>
        <w:tc>
          <w:tcPr>
            <w:tcW w:w="4640" w:type="dxa"/>
            <w:vAlign w:val="bottom"/>
            <w:gridSpan w:val="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60" w:type="dxa"/>
            <w:vAlign w:val="bottom"/>
          </w:tcPr>
          <w:p>
            <w:pPr>
              <w:spacing w:after="0"/>
              <w:rPr>
                <w:sz w:val="17"/>
                <w:szCs w:val="17"/>
                <w:color w:val="auto"/>
              </w:rPr>
            </w:pPr>
          </w:p>
        </w:tc>
        <w:tc>
          <w:tcPr>
            <w:tcW w:w="39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903 Execution of Supplemental Indentures</w:t>
              </w:r>
            </w:hyperlink>
          </w:p>
        </w:tc>
        <w:tc>
          <w:tcPr>
            <w:tcW w:w="57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60" w:type="dxa"/>
            <w:vAlign w:val="bottom"/>
          </w:tcPr>
          <w:p>
            <w:pPr>
              <w:spacing w:after="0"/>
              <w:rPr>
                <w:sz w:val="17"/>
                <w:szCs w:val="17"/>
                <w:color w:val="auto"/>
              </w:rPr>
            </w:pPr>
          </w:p>
        </w:tc>
        <w:tc>
          <w:tcPr>
            <w:tcW w:w="36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904 Effect of Supplemental Indentures</w:t>
              </w:r>
            </w:hyperlink>
          </w:p>
        </w:tc>
        <w:tc>
          <w:tcPr>
            <w:tcW w:w="6080" w:type="dxa"/>
            <w:vAlign w:val="bottom"/>
            <w:gridSpan w:val="2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60" w:type="dxa"/>
            <w:vAlign w:val="bottom"/>
          </w:tcPr>
          <w:p>
            <w:pPr>
              <w:spacing w:after="0"/>
              <w:rPr>
                <w:sz w:val="17"/>
                <w:szCs w:val="17"/>
                <w:color w:val="auto"/>
              </w:rPr>
            </w:pPr>
          </w:p>
        </w:tc>
        <w:tc>
          <w:tcPr>
            <w:tcW w:w="380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SECTION 905 Conformity with Trust Indenture Act</w:t>
              </w:r>
            </w:hyperlink>
          </w:p>
        </w:tc>
        <w:tc>
          <w:tcPr>
            <w:tcW w:w="5880" w:type="dxa"/>
            <w:vAlign w:val="bottom"/>
            <w:gridSpan w:val="2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SECTION 906 Reference in Securities to Supplemental Indentures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10040" w:type="dxa"/>
            <w:vAlign w:val="bottom"/>
            <w:gridSpan w:val="4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ARTICLE TEN—COVENANTS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680" w:type="dxa"/>
            <w:vAlign w:val="bottom"/>
            <w:gridSpan w:val="4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SECTION 1001 Payment of Principal, Premium or Make-Whole Amount, if any; and Interest</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360" w:type="dxa"/>
            <w:vAlign w:val="bottom"/>
          </w:tcPr>
          <w:p>
            <w:pPr>
              <w:spacing w:after="0"/>
              <w:rPr>
                <w:sz w:val="17"/>
                <w:szCs w:val="17"/>
                <w:color w:val="auto"/>
              </w:rPr>
            </w:pPr>
          </w:p>
        </w:tc>
        <w:tc>
          <w:tcPr>
            <w:tcW w:w="680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SECTION 1002 Maintenance of Office or Agency</w:t>
              </w:r>
            </w:hyperlink>
          </w:p>
        </w:tc>
        <w:tc>
          <w:tcPr>
            <w:tcW w:w="28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1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6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SECTION 1003 Money for Securities Payments to Be Held in Trust</w:t>
              </w:r>
            </w:hyperlink>
          </w:p>
        </w:tc>
        <w:tc>
          <w:tcPr>
            <w:tcW w:w="472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SECTION 1004 Existence</w:t>
              </w:r>
            </w:hyperlink>
          </w:p>
        </w:tc>
        <w:tc>
          <w:tcPr>
            <w:tcW w:w="7740" w:type="dxa"/>
            <w:vAlign w:val="bottom"/>
            <w:gridSpan w:val="4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SECTION 1005 Maintenance of Properties</w:t>
              </w:r>
            </w:hyperlink>
          </w:p>
        </w:tc>
        <w:tc>
          <w:tcPr>
            <w:tcW w:w="6560" w:type="dxa"/>
            <w:vAlign w:val="bottom"/>
            <w:gridSpan w:val="3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SECTION 1006 Insurance</w:t>
              </w:r>
            </w:hyperlink>
          </w:p>
        </w:tc>
        <w:tc>
          <w:tcPr>
            <w:tcW w:w="7760" w:type="dxa"/>
            <w:vAlign w:val="bottom"/>
            <w:gridSpan w:val="4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38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SECTION 1007 Payment of Taxes and Other Claims</w:t>
              </w:r>
            </w:hyperlink>
          </w:p>
        </w:tc>
        <w:tc>
          <w:tcPr>
            <w:tcW w:w="5820" w:type="dxa"/>
            <w:vAlign w:val="bottom"/>
            <w:gridSpan w:val="2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3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SECTION 1008 Statement as to Compliance</w:t>
              </w:r>
            </w:hyperlink>
          </w:p>
        </w:tc>
        <w:tc>
          <w:tcPr>
            <w:tcW w:w="6440" w:type="dxa"/>
            <w:vAlign w:val="bottom"/>
            <w:gridSpan w:val="3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33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SECTION 1009 Waiver of Certain Covenants</w:t>
              </w:r>
            </w:hyperlink>
          </w:p>
        </w:tc>
        <w:tc>
          <w:tcPr>
            <w:tcW w:w="6360" w:type="dxa"/>
            <w:vAlign w:val="bottom"/>
            <w:gridSpan w:val="3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304"/>
        </w:trPr>
        <w:tc>
          <w:tcPr>
            <w:tcW w:w="10040" w:type="dxa"/>
            <w:vAlign w:val="bottom"/>
            <w:gridSpan w:val="4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ARTICLE ELEVEN—REDEMPTION OF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360" w:type="dxa"/>
            <w:vAlign w:val="bottom"/>
            <w:tcBorders>
              <w:top w:val="single" w:sz="8" w:color="0000EE"/>
            </w:tcBorders>
          </w:tcPr>
          <w:p>
            <w:pPr>
              <w:spacing w:after="0"/>
              <w:rPr>
                <w:sz w:val="24"/>
                <w:szCs w:val="24"/>
                <w:color w:val="auto"/>
              </w:rPr>
            </w:pPr>
          </w:p>
        </w:tc>
        <w:tc>
          <w:tcPr>
            <w:tcW w:w="3860" w:type="dxa"/>
            <w:vAlign w:val="bottom"/>
            <w:tcBorders>
              <w:top w:val="single" w:sz="8" w:color="0000EE"/>
            </w:tcBorders>
            <w:gridSpan w:val="2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SECTION 1101 Applicability of Article</w:t>
              </w:r>
            </w:hyperlink>
          </w:p>
        </w:tc>
        <w:tc>
          <w:tcPr>
            <w:tcW w:w="5820" w:type="dxa"/>
            <w:vAlign w:val="bottom"/>
            <w:gridSpan w:val="2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60" w:type="dxa"/>
            <w:vAlign w:val="bottom"/>
          </w:tcPr>
          <w:p>
            <w:pPr>
              <w:spacing w:after="0" w:line="20" w:lineRule="exact"/>
              <w:rPr>
                <w:sz w:val="1"/>
                <w:szCs w:val="1"/>
                <w:color w:val="auto"/>
              </w:rPr>
            </w:pPr>
          </w:p>
        </w:tc>
        <w:tc>
          <w:tcPr>
            <w:tcW w:w="2820" w:type="dxa"/>
            <w:vAlign w:val="bottom"/>
            <w:gridSpan w:val="11"/>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4760" w:type="dxa"/>
            <w:vAlign w:val="bottom"/>
            <w:gridSpan w:val="1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SECTION 1102 Election to Redeem; Notice to Trustee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2820" w:type="dxa"/>
            <w:vAlign w:val="bottom"/>
            <w:gridSpan w:val="11"/>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4760" w:type="dxa"/>
            <w:vAlign w:val="bottom"/>
            <w:gridSpan w:val="1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2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SECTION 1103 Selection by Trustee of Securities to Be Redeemed</w:t>
              </w:r>
            </w:hyperlink>
          </w:p>
        </w:tc>
        <w:tc>
          <w:tcPr>
            <w:tcW w:w="476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SECTION 1104 Notice of Redemption</w:t>
              </w:r>
            </w:hyperlink>
          </w:p>
        </w:tc>
        <w:tc>
          <w:tcPr>
            <w:tcW w:w="6860" w:type="dxa"/>
            <w:vAlign w:val="bottom"/>
            <w:gridSpan w:val="3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9680" w:type="dxa"/>
            <w:vAlign w:val="bottom"/>
            <w:gridSpan w:val="47"/>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SECTION 1105 Deposit of Redemption Price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3300" w:type="dxa"/>
            <w:vAlign w:val="bottom"/>
            <w:gridSpan w:val="16"/>
            <w:shd w:val="clear" w:color="auto" w:fill="0000EE"/>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5600" w:type="dxa"/>
            <w:vAlign w:val="bottom"/>
            <w:gridSpan w:val="2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SECTION 1106 Securities Payable on Redemption Date</w:t>
              </w:r>
            </w:hyperlink>
          </w:p>
        </w:tc>
        <w:tc>
          <w:tcPr>
            <w:tcW w:w="5600" w:type="dxa"/>
            <w:vAlign w:val="bottom"/>
            <w:gridSpan w:val="2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46"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8660" w:type="dxa"/>
            <w:vAlign w:val="bottom"/>
            <w:gridSpan w:val="34"/>
          </w:tcPr>
          <w:p>
            <w:pPr>
              <w:spacing w:after="0"/>
              <w:rPr>
                <w:sz w:val="17"/>
                <w:szCs w:val="17"/>
                <w:color w:val="auto"/>
              </w:rPr>
            </w:pPr>
          </w:p>
        </w:tc>
        <w:tc>
          <w:tcPr>
            <w:tcW w:w="134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9660" w:type="dxa"/>
            <w:vAlign w:val="bottom"/>
            <w:gridSpan w:val="3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SECTION 1107 Securities Redeemed in Part</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0020" w:type="dxa"/>
            <w:vAlign w:val="bottom"/>
            <w:gridSpan w:val="3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ARTICLE TWELVE—SINKING FUNDS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6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660" w:type="dxa"/>
            <w:vAlign w:val="bottom"/>
            <w:gridSpan w:val="3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SECTION 1201 Applicability of Article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2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SECTION 1202 Satisfaction of Sinking Fund Payments with Securities</w:t>
              </w:r>
            </w:hyperlink>
          </w:p>
        </w:tc>
        <w:tc>
          <w:tcPr>
            <w:tcW w:w="4460" w:type="dxa"/>
            <w:vAlign w:val="bottom"/>
            <w:gridSpan w:val="9"/>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SECTION 1203 Redemption of Securities for Sinking Fund</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544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ARTICLE THIRTEEN—REPAYMENT AT THE OPTION OF HOLDERS</w:t>
              </w:r>
            </w:hyperlink>
          </w:p>
        </w:tc>
        <w:tc>
          <w:tcPr>
            <w:tcW w:w="4580" w:type="dxa"/>
            <w:vAlign w:val="bottom"/>
            <w:gridSpan w:val="1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360" w:type="dxa"/>
            <w:vAlign w:val="bottom"/>
          </w:tcPr>
          <w:p>
            <w:pPr>
              <w:spacing w:after="0"/>
              <w:rPr>
                <w:sz w:val="24"/>
                <w:szCs w:val="24"/>
                <w:color w:val="auto"/>
              </w:rPr>
            </w:pPr>
          </w:p>
        </w:tc>
        <w:tc>
          <w:tcPr>
            <w:tcW w:w="9660" w:type="dxa"/>
            <w:vAlign w:val="bottom"/>
            <w:gridSpan w:val="3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SECTION 1301 Applicability of Article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SECTION 1302 Repayment of Securities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SECTION 1303 Exercise of Option</w:t>
              </w:r>
            </w:hyperlink>
          </w:p>
        </w:tc>
        <w:tc>
          <w:tcPr>
            <w:tcW w:w="400" w:type="dxa"/>
            <w:vAlign w:val="bottom"/>
            <w:tcBorders>
              <w:top w:val="single" w:sz="8" w:color="0000EE"/>
            </w:tcBorders>
            <w:gridSpan w:val="6"/>
          </w:tcPr>
          <w:p>
            <w:pPr>
              <w:spacing w:after="0"/>
              <w:rPr>
                <w:sz w:val="17"/>
                <w:szCs w:val="17"/>
                <w:color w:val="auto"/>
              </w:rPr>
            </w:pPr>
          </w:p>
        </w:tc>
        <w:tc>
          <w:tcPr>
            <w:tcW w:w="6680" w:type="dxa"/>
            <w:vAlign w:val="bottom"/>
            <w:gridSpan w:val="26"/>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60" w:type="dxa"/>
            <w:vAlign w:val="bottom"/>
          </w:tcPr>
          <w:p>
            <w:pPr>
              <w:spacing w:after="0"/>
              <w:rPr>
                <w:sz w:val="17"/>
                <w:szCs w:val="17"/>
                <w:color w:val="auto"/>
              </w:rPr>
            </w:pPr>
          </w:p>
        </w:tc>
        <w:tc>
          <w:tcPr>
            <w:tcW w:w="62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1304 When Securities Presented for Repayment Become Due and Payable</w:t>
              </w:r>
            </w:hyperlink>
          </w:p>
        </w:tc>
        <w:tc>
          <w:tcPr>
            <w:tcW w:w="3440" w:type="dxa"/>
            <w:vAlign w:val="bottom"/>
            <w:gridSpan w:val="5"/>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SECTION 1305 Securities Repaid in Part</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0020" w:type="dxa"/>
            <w:vAlign w:val="bottom"/>
            <w:gridSpan w:val="3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ARTICLE FOURTEEN—DEFEASANCE AND COVENANT DEFEASANCE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6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7760" w:type="dxa"/>
            <w:vAlign w:val="bottom"/>
            <w:tcBorders>
              <w:bottom w:val="single" w:sz="8" w:color="0000EE"/>
            </w:tcBorders>
            <w:gridSpan w:val="33"/>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SECTION 1401 Applicability of Article; Company’s Option to Effect Defeasance or Covenant Defeasance</w:t>
              </w:r>
            </w:hyperlink>
          </w:p>
        </w:tc>
        <w:tc>
          <w:tcPr>
            <w:tcW w:w="190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SECTION 1402 Defeasance and Discharge</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SECTION 1403 Covenant Defeasance</w:t>
              </w:r>
            </w:hyperlink>
          </w:p>
        </w:tc>
        <w:tc>
          <w:tcPr>
            <w:tcW w:w="6540" w:type="dxa"/>
            <w:vAlign w:val="bottom"/>
            <w:gridSpan w:val="2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8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SECTION 1404 Conditions to Defeasance or Covenant Defeasance</w:t>
              </w:r>
            </w:hyperlink>
          </w:p>
        </w:tc>
        <w:tc>
          <w:tcPr>
            <w:tcW w:w="4780" w:type="dxa"/>
            <w:vAlign w:val="bottom"/>
            <w:gridSpan w:val="11"/>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SECTION 1405 Deposited Money and Government Obligations to Be Held in Trust; Other Miscellaneous Provisions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0020" w:type="dxa"/>
            <w:vAlign w:val="bottom"/>
            <w:gridSpan w:val="3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ARTICLE FIFTEEN—MEETINGS OF HOLDERS OF SECURITIES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Borders>
              <w:top w:val="single" w:sz="8" w:color="0000EE"/>
            </w:tcBorders>
          </w:tcPr>
          <w:p>
            <w:pPr>
              <w:spacing w:after="0"/>
              <w:rPr>
                <w:sz w:val="24"/>
                <w:szCs w:val="24"/>
                <w:color w:val="auto"/>
              </w:rPr>
            </w:pPr>
          </w:p>
        </w:tc>
        <w:tc>
          <w:tcPr>
            <w:tcW w:w="45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SECTION 1501 Purposes for Which Meetings May Be Called</w:t>
              </w:r>
            </w:hyperlink>
          </w:p>
        </w:tc>
        <w:tc>
          <w:tcPr>
            <w:tcW w:w="240" w:type="dxa"/>
            <w:vAlign w:val="bottom"/>
            <w:tcBorders>
              <w:top w:val="single" w:sz="8" w:color="0000EE"/>
            </w:tcBorders>
          </w:tcPr>
          <w:p>
            <w:pPr>
              <w:spacing w:after="0"/>
              <w:rPr>
                <w:sz w:val="24"/>
                <w:szCs w:val="24"/>
                <w:color w:val="auto"/>
              </w:rPr>
            </w:pPr>
          </w:p>
        </w:tc>
        <w:tc>
          <w:tcPr>
            <w:tcW w:w="4920" w:type="dxa"/>
            <w:vAlign w:val="bottom"/>
            <w:gridSpan w:val="1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360" w:type="dxa"/>
            <w:vAlign w:val="bottom"/>
          </w:tcPr>
          <w:p>
            <w:pPr>
              <w:spacing w:after="0"/>
              <w:rPr>
                <w:sz w:val="17"/>
                <w:szCs w:val="17"/>
                <w:color w:val="auto"/>
              </w:rPr>
            </w:pPr>
          </w:p>
        </w:tc>
        <w:tc>
          <w:tcPr>
            <w:tcW w:w="3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SECTION 1502 Call, Notice and Place of Meetings</w:t>
              </w:r>
            </w:hyperlink>
          </w:p>
        </w:tc>
        <w:tc>
          <w:tcPr>
            <w:tcW w:w="5920" w:type="dxa"/>
            <w:vAlign w:val="bottom"/>
            <w:gridSpan w:val="20"/>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6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SECTION 1503 Persons Entitled to Vote at Meetings</w:t>
              </w:r>
            </w:hyperlink>
          </w:p>
        </w:tc>
        <w:tc>
          <w:tcPr>
            <w:tcW w:w="5820" w:type="dxa"/>
            <w:vAlign w:val="bottom"/>
            <w:gridSpan w:val="1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SECTION 1504 Quorum; Action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SECTION 1505 Determination of Voting Rights; Conduct and Adjournment of Meetings</w:t>
              </w:r>
            </w:hyperlink>
          </w:p>
        </w:tc>
        <w:tc>
          <w:tcPr>
            <w:tcW w:w="3200" w:type="dxa"/>
            <w:vAlign w:val="bottom"/>
            <w:gridSpan w:val="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48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SECTION 1506 Counting Votes and Recording Action of Meetings</w:t>
              </w:r>
            </w:hyperlink>
          </w:p>
        </w:tc>
        <w:tc>
          <w:tcPr>
            <w:tcW w:w="4780" w:type="dxa"/>
            <w:vAlign w:val="bottom"/>
            <w:gridSpan w:val="11"/>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424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ARTICLE SIXTEEN—CONVERSION OF SECURITIES</w:t>
              </w:r>
            </w:hyperlink>
          </w:p>
        </w:tc>
        <w:tc>
          <w:tcPr>
            <w:tcW w:w="5780" w:type="dxa"/>
            <w:vAlign w:val="bottom"/>
            <w:gridSpan w:val="1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60" w:type="dxa"/>
            <w:vAlign w:val="bottom"/>
          </w:tcPr>
          <w:p>
            <w:pPr>
              <w:spacing w:after="0"/>
              <w:rPr>
                <w:sz w:val="24"/>
                <w:szCs w:val="24"/>
                <w:color w:val="auto"/>
              </w:rPr>
            </w:pPr>
          </w:p>
        </w:tc>
        <w:tc>
          <w:tcPr>
            <w:tcW w:w="9660" w:type="dxa"/>
            <w:vAlign w:val="bottom"/>
            <w:gridSpan w:val="35"/>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SECTION 1601 Applicability of Article; Conversion Privilege and Conversion Price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61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SECTION 1602 Exercise of Conversion Privilege</w:t>
              </w:r>
            </w:hyperlink>
          </w:p>
        </w:tc>
        <w:tc>
          <w:tcPr>
            <w:tcW w:w="3500" w:type="dxa"/>
            <w:vAlign w:val="bottom"/>
            <w:gridSpan w:val="6"/>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3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SECTION 1603 Fractions of Shares</w:t>
              </w:r>
            </w:hyperlink>
          </w:p>
        </w:tc>
        <w:tc>
          <w:tcPr>
            <w:tcW w:w="6060" w:type="dxa"/>
            <w:vAlign w:val="bottom"/>
            <w:gridSpan w:val="21"/>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SECTION 1604 Adjustment of Conversion Price</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278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SECTION 1605 Notice of Adjustments of Conversion Price</w:t>
              </w:r>
            </w:hyperlink>
          </w:p>
        </w:tc>
        <w:tc>
          <w:tcPr>
            <w:tcW w:w="5320" w:type="dxa"/>
            <w:vAlign w:val="bottom"/>
            <w:gridSpan w:val="1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SECTION 1606 Notice of Certain Corporate Action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278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SECTION 1607 Company to Reserve Common Stock</w:t>
              </w:r>
            </w:hyperlink>
          </w:p>
        </w:tc>
        <w:tc>
          <w:tcPr>
            <w:tcW w:w="5760" w:type="dxa"/>
            <w:vAlign w:val="bottom"/>
            <w:gridSpan w:val="16"/>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2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SECTION 1608 Taxes on Conversion</w:t>
              </w:r>
            </w:hyperlink>
          </w:p>
        </w:tc>
        <w:tc>
          <w:tcPr>
            <w:tcW w:w="6880" w:type="dxa"/>
            <w:vAlign w:val="bottom"/>
            <w:gridSpan w:val="29"/>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SECTION 1609 Covenants as to Common Stock</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2960" w:type="dxa"/>
            <w:vAlign w:val="bottom"/>
            <w:gridSpan w:val="8"/>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SECTION 1610 Cancellation of Converted Securities</w:t>
              </w:r>
            </w:hyperlink>
          </w:p>
        </w:tc>
        <w:tc>
          <w:tcPr>
            <w:tcW w:w="5780" w:type="dxa"/>
            <w:vAlign w:val="bottom"/>
            <w:gridSpan w:val="1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734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SECTION 1611 Provisions in Case of Consolidation, Merger or Sale of Assets; Special Distributions</w:t>
              </w:r>
            </w:hyperlink>
          </w:p>
        </w:tc>
        <w:tc>
          <w:tcPr>
            <w:tcW w:w="232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58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SECTION 1612 Trustee Adjustment Disclaimer; Company Determination Final</w:t>
              </w:r>
            </w:hyperlink>
          </w:p>
        </w:tc>
        <w:tc>
          <w:tcPr>
            <w:tcW w:w="3840" w:type="dxa"/>
            <w:vAlign w:val="bottom"/>
            <w:gridSpan w:val="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SECTION 1613 When No Adjustment Required</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SECTION 1614 Equivalent Adjustments</w:t>
              </w:r>
            </w:hyperlink>
          </w:p>
        </w:tc>
        <w:tc>
          <w:tcPr>
            <w:tcW w:w="560" w:type="dxa"/>
            <w:vAlign w:val="bottom"/>
            <w:tcBorders>
              <w:top w:val="single" w:sz="8" w:color="0000EE"/>
            </w:tcBorders>
            <w:gridSpan w:val="5"/>
          </w:tcPr>
          <w:p>
            <w:pPr>
              <w:spacing w:after="0"/>
              <w:rPr>
                <w:sz w:val="17"/>
                <w:szCs w:val="17"/>
                <w:color w:val="auto"/>
              </w:rPr>
            </w:pPr>
          </w:p>
        </w:tc>
        <w:tc>
          <w:tcPr>
            <w:tcW w:w="6140" w:type="dxa"/>
            <w:vAlign w:val="bottom"/>
            <w:gridSpan w:val="2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446"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900" w:right="540" w:hanging="443"/>
        <w:spacing w:after="0" w:line="277" w:lineRule="auto"/>
        <w:rPr>
          <w:sz w:val="20"/>
          <w:szCs w:val="20"/>
          <w:color w:val="auto"/>
        </w:rPr>
      </w:pPr>
      <w:r>
        <w:rPr>
          <w:rFonts w:ascii="Arial" w:cs="Arial" w:eastAsia="Arial" w:hAnsi="Arial"/>
          <w:sz w:val="18"/>
          <w:szCs w:val="18"/>
          <w:color w:val="auto"/>
        </w:rPr>
        <w:t>Reconciliation and tie between the Trust Indenture Act of 1939, as amended (the “Trust Indenture Act” or “TIA”) and the Indenture, dated as of , 20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0" w:type="dxa"/>
            <w:vAlign w:val="bottom"/>
            <w:gridSpan w:val="2"/>
          </w:tcPr>
          <w:p>
            <w:pPr>
              <w:spacing w:after="0"/>
              <w:rPr>
                <w:sz w:val="20"/>
                <w:szCs w:val="20"/>
                <w:color w:val="auto"/>
              </w:rPr>
            </w:pPr>
            <w:r>
              <w:rPr>
                <w:rFonts w:ascii="Arial" w:cs="Arial" w:eastAsia="Arial" w:hAnsi="Arial"/>
                <w:sz w:val="14"/>
                <w:szCs w:val="14"/>
                <w:color w:val="auto"/>
              </w:rPr>
              <w:t>Trust Indenture Act Section</w:t>
            </w:r>
          </w:p>
        </w:tc>
        <w:tc>
          <w:tcPr>
            <w:tcW w:w="1580" w:type="dxa"/>
            <w:vAlign w:val="bottom"/>
            <w:gridSpan w:val="2"/>
          </w:tcPr>
          <w:p>
            <w:pPr>
              <w:ind w:left="540"/>
              <w:spacing w:after="0"/>
              <w:rPr>
                <w:sz w:val="20"/>
                <w:szCs w:val="20"/>
                <w:color w:val="auto"/>
              </w:rPr>
            </w:pPr>
            <w:r>
              <w:rPr>
                <w:rFonts w:ascii="Arial" w:cs="Arial" w:eastAsia="Arial" w:hAnsi="Arial"/>
                <w:sz w:val="14"/>
                <w:szCs w:val="14"/>
                <w:color w:val="auto"/>
                <w:w w:val="92"/>
              </w:rPr>
              <w:t>Indenture Section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310(a)(1)</w:t>
            </w:r>
          </w:p>
        </w:tc>
        <w:tc>
          <w:tcPr>
            <w:tcW w:w="8180" w:type="dxa"/>
            <w:vAlign w:val="bottom"/>
          </w:tcPr>
          <w:p>
            <w:pPr>
              <w:spacing w:after="0"/>
              <w:rPr>
                <w:sz w:val="16"/>
                <w:szCs w:val="16"/>
                <w:color w:val="auto"/>
              </w:rPr>
            </w:pPr>
          </w:p>
        </w:tc>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w:t>
            </w:r>
          </w:p>
        </w:tc>
        <w:tc>
          <w:tcPr>
            <w:tcW w:w="20" w:type="dxa"/>
            <w:vAlign w:val="bottom"/>
          </w:tcPr>
          <w:p>
            <w:pPr>
              <w:spacing w:after="0"/>
              <w:rPr>
                <w:sz w:val="16"/>
                <w:szCs w:val="16"/>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(b)</w:t>
            </w:r>
          </w:p>
        </w:tc>
        <w:tc>
          <w:tcPr>
            <w:tcW w:w="1560" w:type="dxa"/>
            <w:vAlign w:val="bottom"/>
          </w:tcPr>
          <w:p>
            <w:pPr>
              <w:jc w:val="right"/>
              <w:spacing w:after="0"/>
              <w:rPr>
                <w:sz w:val="20"/>
                <w:szCs w:val="20"/>
                <w:color w:val="auto"/>
              </w:rPr>
            </w:pPr>
            <w:r>
              <w:rPr>
                <w:rFonts w:ascii="Arial" w:cs="Arial" w:eastAsia="Arial" w:hAnsi="Arial"/>
                <w:sz w:val="18"/>
                <w:szCs w:val="18"/>
                <w:color w:val="auto"/>
              </w:rPr>
              <w:t>607,608</w:t>
            </w:r>
          </w:p>
        </w:tc>
        <w:tc>
          <w:tcPr>
            <w:tcW w:w="2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312(c)</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313(a)</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314(a)</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(a)(4)</w:t>
            </w:r>
          </w:p>
        </w:tc>
        <w:tc>
          <w:tcPr>
            <w:tcW w:w="1560" w:type="dxa"/>
            <w:vAlign w:val="bottom"/>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315(b)</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316(a) (last sentence)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101(“Outstanding”)</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(a)(1)(A)</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502, 512</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(a)(1)(B)</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317(a)(1)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 318(a)</w:t>
            </w:r>
          </w:p>
        </w:tc>
        <w:tc>
          <w:tcPr>
            <w:tcW w:w="15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230"/>
        </w:trPr>
        <w:tc>
          <w:tcPr>
            <w:tcW w:w="9800" w:type="dxa"/>
            <w:vAlign w:val="bottom"/>
            <w:gridSpan w:val="2"/>
          </w:tcPr>
          <w:p>
            <w:pPr>
              <w:spacing w:after="0"/>
              <w:rPr>
                <w:sz w:val="20"/>
                <w:szCs w:val="20"/>
                <w:color w:val="auto"/>
              </w:rPr>
            </w:pPr>
            <w:r>
              <w:rPr>
                <w:rFonts w:ascii="Arial" w:cs="Arial" w:eastAsia="Arial" w:hAnsi="Arial"/>
                <w:sz w:val="18"/>
                <w:szCs w:val="18"/>
                <w:color w:val="auto"/>
              </w:rPr>
              <w:t>(c)</w:t>
            </w:r>
          </w:p>
        </w:tc>
        <w:tc>
          <w:tcPr>
            <w:tcW w:w="15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459"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519"/>
        </w:trPr>
        <w:tc>
          <w:tcPr>
            <w:tcW w:w="2840" w:type="dxa"/>
            <w:vAlign w:val="bottom"/>
            <w:gridSpan w:val="2"/>
          </w:tcPr>
          <w:p>
            <w:pPr>
              <w:ind w:left="460"/>
              <w:spacing w:after="0"/>
              <w:rPr>
                <w:sz w:val="20"/>
                <w:szCs w:val="20"/>
                <w:color w:val="auto"/>
              </w:rPr>
            </w:pPr>
            <w:r>
              <w:rPr>
                <w:rFonts w:ascii="Arial" w:cs="Arial" w:eastAsia="Arial" w:hAnsi="Arial"/>
                <w:sz w:val="18"/>
                <w:szCs w:val="18"/>
                <w:color w:val="auto"/>
              </w:rPr>
              <w:t>INDENTURE, dated as of</w:t>
            </w:r>
          </w:p>
        </w:tc>
        <w:tc>
          <w:tcPr>
            <w:tcW w:w="820" w:type="dxa"/>
            <w:vAlign w:val="bottom"/>
          </w:tcPr>
          <w:p>
            <w:pPr>
              <w:jc w:val="right"/>
              <w:spacing w:after="0"/>
              <w:rPr>
                <w:sz w:val="20"/>
                <w:szCs w:val="20"/>
                <w:color w:val="auto"/>
              </w:rPr>
            </w:pPr>
            <w:r>
              <w:rPr>
                <w:rFonts w:ascii="Arial" w:cs="Arial" w:eastAsia="Arial" w:hAnsi="Arial"/>
                <w:sz w:val="18"/>
                <w:szCs w:val="18"/>
                <w:color w:val="auto"/>
              </w:rPr>
              <w:t>, 20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1"/>
              </w:rPr>
              <w:t>, ZAFGEN, INC., a corporation organized under the laws of the State of Delaware (hereinafter called the</w:t>
            </w:r>
          </w:p>
        </w:tc>
      </w:tr>
      <w:tr>
        <w:trPr>
          <w:trHeight w:val="216"/>
        </w:trPr>
        <w:tc>
          <w:tcPr>
            <w:tcW w:w="7520" w:type="dxa"/>
            <w:vAlign w:val="bottom"/>
            <w:gridSpan w:val="4"/>
          </w:tcPr>
          <w:p>
            <w:pPr>
              <w:spacing w:after="0"/>
              <w:rPr>
                <w:sz w:val="20"/>
                <w:szCs w:val="20"/>
                <w:color w:val="auto"/>
              </w:rPr>
            </w:pPr>
            <w:r>
              <w:rPr>
                <w:rFonts w:ascii="Arial" w:cs="Arial" w:eastAsia="Arial" w:hAnsi="Arial"/>
                <w:sz w:val="18"/>
                <w:szCs w:val="18"/>
                <w:color w:val="auto"/>
                <w:w w:val="98"/>
              </w:rPr>
              <w:t>“Company”), having its principal office at 175 Portland Street, 4th Floor, Boston, MA 02114, and</w:t>
            </w:r>
          </w:p>
        </w:tc>
        <w:tc>
          <w:tcPr>
            <w:tcW w:w="3800" w:type="dxa"/>
            <w:vAlign w:val="bottom"/>
          </w:tcPr>
          <w:p>
            <w:pPr>
              <w:ind w:left="460"/>
              <w:spacing w:after="0"/>
              <w:rPr>
                <w:sz w:val="20"/>
                <w:szCs w:val="20"/>
                <w:color w:val="auto"/>
              </w:rPr>
            </w:pPr>
            <w:r>
              <w:rPr>
                <w:rFonts w:ascii="Arial" w:cs="Arial" w:eastAsia="Arial" w:hAnsi="Arial"/>
                <w:sz w:val="18"/>
                <w:szCs w:val="18"/>
                <w:color w:val="auto"/>
                <w:w w:val="91"/>
              </w:rPr>
              <w:t>, as Trustee hereunder (hereinafter called the</w:t>
            </w: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“Trustee”), having a Corporate Trust Office at</w:t>
            </w:r>
          </w:p>
        </w:tc>
        <w:tc>
          <w:tcPr>
            <w:tcW w:w="3860" w:type="dxa"/>
            <w:vAlign w:val="bottom"/>
          </w:tcPr>
          <w:p>
            <w:pPr>
              <w:jc w:val="right"/>
              <w:ind w:right="311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20"/>
                <w:szCs w:val="20"/>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ONE—DEFINITIONS AND OTHER PROVISIONS OF GENERAL APPLICATION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129"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117"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ectPr>
          <w:pgSz w:w="11900" w:h="16838" w:orient="portrait"/>
          <w:cols w:equalWidth="0" w:num="1">
            <w:col w:w="11400"/>
          </w:cols>
          <w:pgMar w:left="240" w:top="446"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Global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the Chief Executive Officer, the President, or a Vice President, and by its Treasurer, an Assistant Treasurer, the Secretary or an Assistant Secretary, of the Company, and delivered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1601.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46"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which office at the date hereof is located at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operator of the Euroclear System.</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7" w:lineRule="exact"/>
        <w:rPr>
          <w:rFonts w:ascii="Arial" w:cs="Arial" w:eastAsia="Arial" w:hAnsi="Arial"/>
          <w:sz w:val="18"/>
          <w:szCs w:val="18"/>
          <w:color w:val="auto"/>
        </w:rPr>
      </w:pPr>
    </w:p>
    <w:p>
      <w:pPr>
        <w:ind w:right="60" w:firstLine="464"/>
        <w:spacing w:after="0" w:line="257" w:lineRule="auto"/>
        <w:tabs>
          <w:tab w:leader="none" w:pos="7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80" w:lineRule="exact"/>
        <w:rPr>
          <w:rFonts w:ascii="Arial" w:cs="Arial" w:eastAsia="Arial" w:hAnsi="Arial"/>
          <w:sz w:val="18"/>
          <w:szCs w:val="18"/>
          <w:color w:val="auto"/>
        </w:rPr>
      </w:pPr>
    </w:p>
    <w:p>
      <w:pPr>
        <w:ind w:right="140" w:firstLine="464"/>
        <w:spacing w:after="0" w:line="277" w:lineRule="auto"/>
        <w:tabs>
          <w:tab w:leader="none" w:pos="7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right="220" w:firstLine="464"/>
        <w:spacing w:after="0" w:line="286" w:lineRule="auto"/>
        <w:tabs>
          <w:tab w:leader="none" w:pos="7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right="10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8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and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Market is open for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62" w:lineRule="exact"/>
        <w:rPr>
          <w:sz w:val="20"/>
          <w:szCs w:val="20"/>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40"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68" w:lineRule="auto"/>
        <w:tabs>
          <w:tab w:leader="none" w:pos="7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7" w:lineRule="exact"/>
        <w:rPr>
          <w:rFonts w:ascii="Arial" w:cs="Arial" w:eastAsia="Arial" w:hAnsi="Arial"/>
          <w:sz w:val="17"/>
          <w:szCs w:val="17"/>
          <w:color w:val="auto"/>
        </w:rPr>
      </w:pPr>
    </w:p>
    <w:p>
      <w:pPr>
        <w:jc w:val="both"/>
        <w:ind w:right="40" w:firstLine="464"/>
        <w:spacing w:after="0" w:line="297" w:lineRule="auto"/>
        <w:tabs>
          <w:tab w:leader="none" w:pos="7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58" w:lineRule="exact"/>
        <w:rPr>
          <w:rFonts w:ascii="Arial" w:cs="Arial" w:eastAsia="Arial" w:hAnsi="Arial"/>
          <w:sz w:val="16"/>
          <w:szCs w:val="16"/>
          <w:color w:val="auto"/>
        </w:rPr>
      </w:pPr>
    </w:p>
    <w:p>
      <w:pPr>
        <w:ind w:right="180" w:firstLine="464"/>
        <w:spacing w:after="0" w:line="277" w:lineRule="auto"/>
        <w:tabs>
          <w:tab w:leader="none" w:pos="7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right="140" w:firstLine="464"/>
        <w:spacing w:after="0" w:line="271"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78" w:lineRule="exact"/>
        <w:rPr>
          <w:rFonts w:ascii="Arial" w:cs="Arial" w:eastAsia="Arial" w:hAnsi="Arial"/>
          <w:sz w:val="17"/>
          <w:szCs w:val="17"/>
          <w:color w:val="auto"/>
        </w:rPr>
      </w:pPr>
    </w:p>
    <w:p>
      <w:pPr>
        <w:ind w:firstLine="464"/>
        <w:spacing w:after="0" w:line="273" w:lineRule="auto"/>
        <w:tabs>
          <w:tab w:leader="none" w:pos="7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173" w:lineRule="exact"/>
        <w:rPr>
          <w:sz w:val="20"/>
          <w:szCs w:val="20"/>
          <w:color w:val="auto"/>
        </w:rPr>
      </w:pPr>
    </w:p>
    <w:p>
      <w:pPr>
        <w:ind w:firstLine="464"/>
        <w:spacing w:after="0" w:line="279" w:lineRule="auto"/>
        <w:tabs>
          <w:tab w:leader="none" w:pos="681"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Trustee by any Holder or by the Company shall be sufficient for every purpose hereunder if made, given, furnished or filed in writing to or with</w:t>
      </w:r>
    </w:p>
    <w:p>
      <w:pPr>
        <w:spacing w:after="0" w:line="46" w:lineRule="exact"/>
        <w:rPr>
          <w:sz w:val="20"/>
          <w:szCs w:val="20"/>
          <w:color w:val="auto"/>
        </w:rPr>
      </w:pPr>
    </w:p>
    <w:p>
      <w:pPr>
        <w:spacing w:after="0"/>
        <w:tabs>
          <w:tab w:leader="none" w:pos="1960" w:val="left"/>
          <w:tab w:leader="none" w:pos="10060" w:val="left"/>
        </w:tabs>
        <w:rPr>
          <w:sz w:val="20"/>
          <w:szCs w:val="20"/>
          <w:color w:val="auto"/>
        </w:rPr>
      </w:pPr>
      <w:r>
        <w:rPr>
          <w:rFonts w:ascii="Arial" w:cs="Arial" w:eastAsia="Arial" w:hAnsi="Arial"/>
          <w:sz w:val="18"/>
          <w:szCs w:val="18"/>
          <w:color w:val="auto"/>
        </w:rPr>
        <w:t>the Trustee at [</w:t>
      </w:r>
      <w:r>
        <w:rPr>
          <w:sz w:val="20"/>
          <w:szCs w:val="20"/>
          <w:color w:val="auto"/>
        </w:rPr>
        <w:tab/>
      </w:r>
      <w:r>
        <w:rPr>
          <w:rFonts w:ascii="Arial" w:cs="Arial" w:eastAsia="Arial" w:hAnsi="Arial"/>
          <w:sz w:val="18"/>
          <w:szCs w:val="18"/>
          <w:color w:val="auto"/>
        </w:rPr>
        <w:t>] or at any other address previously furnished in writing to the Company by the Trustee, Attention: [</w:t>
      </w:r>
      <w:r>
        <w:rPr>
          <w:sz w:val="20"/>
          <w:szCs w:val="20"/>
          <w:color w:val="auto"/>
        </w:rPr>
        <w:tab/>
      </w:r>
      <w:r>
        <w:rPr>
          <w:rFonts w:ascii="Arial" w:cs="Arial" w:eastAsia="Arial" w:hAnsi="Arial"/>
          <w:sz w:val="18"/>
          <w:szCs w:val="18"/>
          <w:color w:val="auto"/>
        </w:rPr>
        <w:t>]; or</w:t>
      </w:r>
    </w:p>
    <w:p>
      <w:pPr>
        <w:spacing w:after="0" w:line="211" w:lineRule="exact"/>
        <w:rPr>
          <w:sz w:val="20"/>
          <w:szCs w:val="20"/>
          <w:color w:val="auto"/>
        </w:rPr>
      </w:pPr>
    </w:p>
    <w:p>
      <w:pPr>
        <w:jc w:val="both"/>
        <w:ind w:right="400" w:firstLine="464"/>
        <w:spacing w:after="0" w:line="291" w:lineRule="auto"/>
        <w:tabs>
          <w:tab w:leader="none" w:pos="7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w:t>
      </w:r>
    </w:p>
    <w:p>
      <w:pPr>
        <w:spacing w:after="0"/>
        <w:tabs>
          <w:tab w:leader="none" w:pos="8700" w:val="left"/>
        </w:tabs>
        <w:rPr>
          <w:sz w:val="20"/>
          <w:szCs w:val="20"/>
          <w:color w:val="auto"/>
        </w:rPr>
      </w:pPr>
      <w:r>
        <w:rPr>
          <w:rFonts w:ascii="Arial" w:cs="Arial" w:eastAsia="Arial" w:hAnsi="Arial"/>
          <w:sz w:val="18"/>
          <w:szCs w:val="18"/>
          <w:color w:val="auto"/>
        </w:rPr>
        <w:t>Indenture or at any other address previously furnished in writing to the Trustee by the Company, Attention: [</w:t>
      </w:r>
      <w:r>
        <w:rPr>
          <w:sz w:val="20"/>
          <w:szCs w:val="20"/>
          <w:color w:val="auto"/>
        </w:rPr>
        <w:tab/>
      </w:r>
      <w:r>
        <w:rPr>
          <w:rFonts w:ascii="Arial" w:cs="Arial" w:eastAsia="Arial" w:hAnsi="Arial"/>
          <w:sz w:val="18"/>
          <w:szCs w:val="18"/>
          <w:color w:val="auto"/>
        </w:rPr>
        <w:t>]; or</w:t>
      </w:r>
    </w:p>
    <w:p>
      <w:pPr>
        <w:spacing w:after="0" w:line="211" w:lineRule="exact"/>
        <w:rPr>
          <w:sz w:val="20"/>
          <w:szCs w:val="20"/>
          <w:color w:val="auto"/>
        </w:rPr>
      </w:pPr>
    </w:p>
    <w:p>
      <w:pPr>
        <w:ind w:right="280" w:firstLine="464"/>
        <w:spacing w:after="0" w:line="291" w:lineRule="auto"/>
        <w:tabs>
          <w:tab w:leader="none" w:pos="7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w:t>
      </w:r>
    </w:p>
    <w:p>
      <w:pPr>
        <w:spacing w:after="0"/>
        <w:tabs>
          <w:tab w:leader="none" w:pos="940" w:val="left"/>
          <w:tab w:leader="none" w:pos="5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if to the Company at facsimile number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Limited Liability; Immunity of Stockholders, Directors, Officers and Agents of the Company</w:t>
      </w:r>
      <w:r>
        <w:rPr>
          <w:rFonts w:ascii="Arial" w:cs="Arial" w:eastAsia="Arial" w:hAnsi="Arial"/>
          <w:sz w:val="17"/>
          <w:szCs w:val="17"/>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TWO—SECURITIES FORMS</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3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as Trustee</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w w:val="90"/>
              </w:rPr>
              <w:t>Dated:</w:t>
            </w:r>
          </w:p>
        </w:tc>
        <w:tc>
          <w:tcPr>
            <w:tcW w:w="50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92"/>
              </w:rPr>
              <w:t>By:</w:t>
            </w:r>
          </w:p>
        </w:tc>
        <w:tc>
          <w:tcPr>
            <w:tcW w:w="5020" w:type="dxa"/>
            <w:vAlign w:val="bottom"/>
            <w:tcBorders>
              <w:bottom w:val="single" w:sz="8" w:color="auto"/>
            </w:tcBorders>
          </w:tcPr>
          <w:p>
            <w:pPr>
              <w:spacing w:after="0"/>
              <w:rPr>
                <w:sz w:val="24"/>
                <w:szCs w:val="24"/>
                <w:color w:val="auto"/>
              </w:rPr>
            </w:pPr>
          </w:p>
        </w:tc>
      </w:tr>
      <w:tr>
        <w:trPr>
          <w:trHeight w:val="224"/>
        </w:trPr>
        <w:tc>
          <w:tcPr>
            <w:tcW w:w="5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Securities Issuable in Global Form</w:t>
      </w:r>
      <w:r>
        <w:rPr>
          <w:rFonts w:ascii="Arial" w:cs="Arial" w:eastAsia="Arial" w:hAnsi="Arial"/>
          <w:sz w:val="17"/>
          <w:szCs w:val="17"/>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the last sentence of Section 303 shall apply to any Security represented by a Global Security if such Security was never issued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sold by the Company and the Company delivers to the Trustee the Global Security together with written instructions (which need not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102 and need not be accompanied by an Opinion of Counsel) with regard to the reduction in the principal amount of Securities represented thereby,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written statement contemplated by the last sentence of Section 303.</w:t>
      </w:r>
    </w:p>
    <w:p>
      <w:pPr>
        <w:spacing w:after="0" w:line="21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THREE—THE SECURITIES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39" w:lineRule="exact"/>
        <w:rPr>
          <w:sz w:val="20"/>
          <w:szCs w:val="20"/>
          <w:color w:val="auto"/>
        </w:rPr>
      </w:pPr>
    </w:p>
    <w:p>
      <w:pPr>
        <w:ind w:right="320" w:firstLine="464"/>
        <w:spacing w:after="0" w:line="277"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right="40" w:firstLine="464"/>
        <w:spacing w:after="0" w:line="312" w:lineRule="auto"/>
        <w:tabs>
          <w:tab w:leader="none" w:pos="7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64"/>
        <w:spacing w:after="0" w:line="312" w:lineRule="auto"/>
        <w:tabs>
          <w:tab w:leader="none" w:pos="71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38" w:lineRule="exact"/>
        <w:rPr>
          <w:rFonts w:ascii="Arial" w:cs="Arial" w:eastAsia="Arial" w:hAnsi="Arial"/>
          <w:sz w:val="16"/>
          <w:szCs w:val="16"/>
          <w:color w:val="auto"/>
        </w:rPr>
      </w:pPr>
    </w:p>
    <w:p>
      <w:pPr>
        <w:ind w:right="22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117"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62" w:lineRule="exact"/>
        <w:rPr>
          <w:rFonts w:ascii="Arial" w:cs="Arial" w:eastAsia="Arial" w:hAnsi="Arial"/>
          <w:sz w:val="18"/>
          <w:szCs w:val="18"/>
          <w:color w:val="auto"/>
        </w:rPr>
      </w:pPr>
    </w:p>
    <w:p>
      <w:pPr>
        <w:ind w:right="100" w:firstLine="464"/>
        <w:spacing w:after="0" w:line="259"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78"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62" w:lineRule="exact"/>
        <w:rPr>
          <w:rFonts w:ascii="Arial" w:cs="Arial" w:eastAsia="Arial" w:hAnsi="Arial"/>
          <w:sz w:val="18"/>
          <w:szCs w:val="18"/>
          <w:color w:val="auto"/>
        </w:rPr>
      </w:pPr>
    </w:p>
    <w:p>
      <w:pPr>
        <w:jc w:val="both"/>
        <w:ind w:right="240" w:firstLine="464"/>
        <w:spacing w:after="0" w:line="264"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73" w:lineRule="exact"/>
        <w:rPr>
          <w:rFonts w:ascii="Arial" w:cs="Arial" w:eastAsia="Arial" w:hAnsi="Arial"/>
          <w:sz w:val="18"/>
          <w:szCs w:val="18"/>
          <w:color w:val="auto"/>
        </w:rPr>
      </w:pPr>
    </w:p>
    <w:p>
      <w:pPr>
        <w:ind w:right="520" w:firstLine="464"/>
        <w:spacing w:after="0" w:line="308" w:lineRule="auto"/>
        <w:tabs>
          <w:tab w:leader="none" w:pos="80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38" w:lineRule="exact"/>
        <w:rPr>
          <w:rFonts w:ascii="Arial" w:cs="Arial" w:eastAsia="Arial" w:hAnsi="Arial"/>
          <w:sz w:val="17"/>
          <w:szCs w:val="17"/>
          <w:color w:val="auto"/>
        </w:rPr>
      </w:pPr>
    </w:p>
    <w:p>
      <w:pPr>
        <w:ind w:right="40" w:firstLine="464"/>
        <w:spacing w:after="0" w:line="264" w:lineRule="auto"/>
        <w:tabs>
          <w:tab w:leader="none" w:pos="7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73" w:lineRule="exact"/>
        <w:rPr>
          <w:rFonts w:ascii="Arial" w:cs="Arial" w:eastAsia="Arial" w:hAnsi="Arial"/>
          <w:sz w:val="18"/>
          <w:szCs w:val="18"/>
          <w:color w:val="auto"/>
        </w:rPr>
      </w:pPr>
    </w:p>
    <w:p>
      <w:pPr>
        <w:ind w:right="160" w:firstLine="464"/>
        <w:spacing w:after="0" w:line="264" w:lineRule="auto"/>
        <w:tabs>
          <w:tab w:leader="none" w:pos="8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73" w:lineRule="exact"/>
        <w:rPr>
          <w:rFonts w:ascii="Arial" w:cs="Arial" w:eastAsia="Arial" w:hAnsi="Arial"/>
          <w:sz w:val="18"/>
          <w:szCs w:val="18"/>
          <w:color w:val="auto"/>
        </w:rPr>
      </w:pPr>
    </w:p>
    <w:p>
      <w:pPr>
        <w:ind w:firstLine="464"/>
        <w:spacing w:after="0" w:line="259" w:lineRule="auto"/>
        <w:tabs>
          <w:tab w:leader="none" w:pos="8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78" w:lineRule="exact"/>
        <w:rPr>
          <w:rFonts w:ascii="Arial" w:cs="Arial" w:eastAsia="Arial" w:hAnsi="Arial"/>
          <w:sz w:val="18"/>
          <w:szCs w:val="18"/>
          <w:color w:val="auto"/>
        </w:rPr>
      </w:pPr>
    </w:p>
    <w:p>
      <w:pPr>
        <w:ind w:right="80" w:firstLine="464"/>
        <w:spacing w:after="0" w:line="279" w:lineRule="auto"/>
        <w:tabs>
          <w:tab w:leader="none" w:pos="801"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 w:lineRule="exact"/>
        <w:rPr>
          <w:sz w:val="20"/>
          <w:szCs w:val="20"/>
          <w:color w:val="auto"/>
        </w:rPr>
      </w:pPr>
    </w:p>
    <w:p>
      <w:pPr>
        <w:ind w:left="800" w:hanging="336"/>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Provisions, if any, granting special rights to the Holders of Securities of the series upon the occurrence of such events as may be specified;</w:t>
      </w:r>
    </w:p>
    <w:p>
      <w:pPr>
        <w:spacing w:after="0" w:line="128" w:lineRule="exact"/>
        <w:rPr>
          <w:rFonts w:ascii="Arial" w:cs="Arial" w:eastAsia="Arial" w:hAnsi="Arial"/>
          <w:sz w:val="17"/>
          <w:szCs w:val="17"/>
          <w:color w:val="auto"/>
        </w:rPr>
      </w:pPr>
    </w:p>
    <w:p>
      <w:pPr>
        <w:ind w:right="260" w:firstLine="464"/>
        <w:spacing w:after="0" w:line="277" w:lineRule="auto"/>
        <w:tabs>
          <w:tab w:leader="none" w:pos="8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62" w:lineRule="exact"/>
        <w:rPr>
          <w:rFonts w:ascii="Arial" w:cs="Arial" w:eastAsia="Arial" w:hAnsi="Arial"/>
          <w:sz w:val="18"/>
          <w:szCs w:val="18"/>
          <w:color w:val="auto"/>
        </w:rPr>
      </w:pPr>
    </w:p>
    <w:p>
      <w:pPr>
        <w:ind w:right="440" w:firstLine="464"/>
        <w:spacing w:after="0" w:line="342" w:lineRule="auto"/>
        <w:tabs>
          <w:tab w:leader="none" w:pos="8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5" w:lineRule="exact"/>
        <w:rPr>
          <w:rFonts w:ascii="Arial" w:cs="Arial" w:eastAsia="Arial" w:hAnsi="Arial"/>
          <w:sz w:val="16"/>
          <w:szCs w:val="16"/>
          <w:color w:val="auto"/>
        </w:rPr>
      </w:pPr>
    </w:p>
    <w:p>
      <w:pPr>
        <w:ind w:right="140" w:firstLine="464"/>
        <w:spacing w:after="0" w:line="254" w:lineRule="auto"/>
        <w:tabs>
          <w:tab w:leader="none" w:pos="8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84" w:lineRule="exact"/>
        <w:rPr>
          <w:rFonts w:ascii="Arial" w:cs="Arial" w:eastAsia="Arial" w:hAnsi="Arial"/>
          <w:sz w:val="18"/>
          <w:szCs w:val="18"/>
          <w:color w:val="auto"/>
        </w:rPr>
      </w:pPr>
    </w:p>
    <w:p>
      <w:pPr>
        <w:ind w:right="140" w:firstLine="464"/>
        <w:spacing w:after="0" w:line="277" w:lineRule="auto"/>
        <w:tabs>
          <w:tab w:leader="none" w:pos="8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firstLine="464"/>
        <w:spacing w:after="0" w:line="293" w:lineRule="auto"/>
        <w:tabs>
          <w:tab w:leader="none" w:pos="8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provided, however, in each case, that the manner of determining such Person or making such payment shall be acceptable to the Trustee (as not imposing on it any undue administrative burden or risk of liability);</w:t>
      </w:r>
    </w:p>
    <w:p>
      <w:pPr>
        <w:spacing w:after="0" w:line="56" w:lineRule="exact"/>
        <w:rPr>
          <w:rFonts w:ascii="Arial" w:cs="Arial" w:eastAsia="Arial" w:hAnsi="Arial"/>
          <w:sz w:val="16"/>
          <w:szCs w:val="16"/>
          <w:color w:val="auto"/>
        </w:rPr>
      </w:pPr>
    </w:p>
    <w:p>
      <w:pPr>
        <w:ind w:left="800" w:hanging="336"/>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of Article Fourteen hereof to the Securities of the series;</w:t>
      </w:r>
    </w:p>
    <w:p>
      <w:pPr>
        <w:spacing w:after="0" w:line="128" w:lineRule="exact"/>
        <w:rPr>
          <w:rFonts w:ascii="Arial" w:cs="Arial" w:eastAsia="Arial" w:hAnsi="Arial"/>
          <w:sz w:val="17"/>
          <w:szCs w:val="17"/>
          <w:color w:val="auto"/>
        </w:rPr>
      </w:pPr>
    </w:p>
    <w:p>
      <w:pPr>
        <w:ind w:right="40" w:firstLine="464"/>
        <w:spacing w:after="0" w:line="259" w:lineRule="auto"/>
        <w:tabs>
          <w:tab w:leader="none" w:pos="8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78" w:lineRule="exact"/>
        <w:rPr>
          <w:rFonts w:ascii="Arial" w:cs="Arial" w:eastAsia="Arial" w:hAnsi="Arial"/>
          <w:sz w:val="18"/>
          <w:szCs w:val="18"/>
          <w:color w:val="auto"/>
        </w:rPr>
      </w:pPr>
    </w:p>
    <w:p>
      <w:pPr>
        <w:ind w:right="80" w:firstLine="464"/>
        <w:spacing w:after="0" w:line="264" w:lineRule="auto"/>
        <w:tabs>
          <w:tab w:leader="none" w:pos="8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3" w:lineRule="exact"/>
        <w:rPr>
          <w:rFonts w:ascii="Arial" w:cs="Arial" w:eastAsia="Arial" w:hAnsi="Arial"/>
          <w:sz w:val="18"/>
          <w:szCs w:val="18"/>
          <w:color w:val="auto"/>
        </w:rPr>
      </w:pPr>
    </w:p>
    <w:p>
      <w:pPr>
        <w:ind w:right="220" w:firstLine="464"/>
        <w:spacing w:after="0" w:line="308" w:lineRule="auto"/>
        <w:tabs>
          <w:tab w:leader="none" w:pos="801"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Any other terms of the series (which terms shall not be inconsistent with the provisions of this Indenture).</w:t>
      </w:r>
    </w:p>
    <w:p>
      <w:pPr>
        <w:spacing w:after="0" w:line="225"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The Securities of each series shall be issuable in such denominations as shall be specified as contemplated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301. With respect to Securities of any series denominated in Dollars, in the absence of any such provisions with respect to the Securities of any series,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of such series, other than Global Securities (which may be of any denomination), shall be issuable in denominations of $1,000 and any integral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multiple thereof or the equivalent amounts thereof in the case of Securities denominated in the Foreign Currency or currency unit.</w:t>
      </w:r>
    </w:p>
    <w:p>
      <w:pPr>
        <w:spacing w:after="0" w:line="21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The Securities and any coupons appertaining thereto shall be executed on behalf of the Company by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its original 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all the Securities of any series are not to be issued at one time and if the Board Resolution or supplemental indenture establishing such series shall so permit, such Company Order may set forth procedures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87" w:lineRule="exact"/>
        <w:rPr>
          <w:sz w:val="20"/>
          <w:szCs w:val="20"/>
          <w:color w:val="auto"/>
        </w:rPr>
      </w:pPr>
    </w:p>
    <w:p>
      <w:pPr>
        <w:ind w:left="460" w:hanging="224"/>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Opinion of Counsel stating that</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form or forms of such Securities and any coupons have been established in conformity with the provisions of this Indenture;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terms of such Securities and any coupons have been established in conformity with the provisions of this Indenture; and</w:t>
      </w:r>
    </w:p>
    <w:p>
      <w:pPr>
        <w:spacing w:after="0" w:line="225" w:lineRule="exact"/>
        <w:rPr>
          <w:rFonts w:ascii="Arial" w:cs="Arial" w:eastAsia="Arial" w:hAnsi="Arial"/>
          <w:sz w:val="18"/>
          <w:szCs w:val="18"/>
          <w:color w:val="auto"/>
        </w:rPr>
      </w:pPr>
    </w:p>
    <w:p>
      <w:pPr>
        <w:ind w:right="40" w:firstLine="464"/>
        <w:spacing w:after="0" w:line="297" w:lineRule="auto"/>
        <w:tabs>
          <w:tab w:leader="none" w:pos="701"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58" w:lineRule="exact"/>
        <w:rPr>
          <w:sz w:val="20"/>
          <w:szCs w:val="20"/>
          <w:color w:val="auto"/>
        </w:rPr>
      </w:pPr>
    </w:p>
    <w:p>
      <w:pPr>
        <w:jc w:val="both"/>
        <w:ind w:right="80" w:firstLine="236"/>
        <w:spacing w:after="0" w:line="264" w:lineRule="auto"/>
        <w:tabs>
          <w:tab w:leader="none" w:pos="4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1"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55" w:lineRule="auto"/>
        <w:tabs>
          <w:tab w:leader="none" w:pos="7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73" w:lineRule="exact"/>
        <w:rPr>
          <w:sz w:val="20"/>
          <w:szCs w:val="20"/>
          <w:color w:val="auto"/>
        </w:rPr>
      </w:pPr>
    </w:p>
    <w:p>
      <w:pPr>
        <w:ind w:right="40" w:firstLine="464"/>
        <w:spacing w:after="0" w:line="276" w:lineRule="auto"/>
        <w:tabs>
          <w:tab w:leader="none" w:pos="7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to this Indenture or in such other form as may be established pursuant to Section 301;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definitive Bearer Securities shall be delivered in exchange for a portion of a temporary Global Security only in compliance with the requirements of Section 303.</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Until exchanged in full as hereinabove provided, the temporary Securities of any series shall in all respects be entitled to the same benefits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definitive Securities of the same series and of like tenor authenticated and delivered hereunder, except that, unless otherwise specified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301, interest payable on a temporary Global Security on an Interest Payment Date for Securities of such series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Exchange Date shall be payable to Euroclear and Clearstream on such Interest Payment Date upon delivery by Euroclear and Clearstream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of a certificate or certificates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forms as may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credit without further interest on or after such Interest Payment Date to the respective accounts of Persons who are the beneficial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temporary Global Security on such Interest Payment Date and who have each delivered to Euroclear or Clearstream, as the case may be, a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 earlier than 15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such other forms as may be established pursuant to Section 301). Notwithstanding anything to the contrary herein contained, the certifications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paragraph shall satisfy the certification requirements of the preceding two paragraphs of this Section 304(b) and of the third paragraph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this Indenture and the interests of the Persons who are the beneficial owners of the temporary Global Security with respect 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was made will be exchanged for definitive Securities of the same series and of like tenor on the Exchange Date or the date of certification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occurs after the Exchange Date, without further act or deed by such beneficial owners. Except as otherwise provided in this paragraph, no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or interest owing with respect to a beneficial interest in a temporary Global Security will be made unless and until such interest in such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Security shall have been exchanged for an interest in a definitive Security. Any interest so received by Euroclear and Clearstream and not paid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provided shall be returned to the Trustee prior to the expiration of two years after such Interest Payment Date in order to be repaid to the Company.</w:t>
      </w:r>
    </w:p>
    <w:p>
      <w:pPr>
        <w:spacing w:after="0" w:line="23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With respect to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Registration, Registration of Transfer, Conversion and Exchange</w:t>
      </w:r>
      <w:r>
        <w:rPr>
          <w:rFonts w:ascii="Arial" w:cs="Arial" w:eastAsia="Arial" w:hAnsi="Arial"/>
          <w:sz w:val="17"/>
          <w:szCs w:val="17"/>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3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6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jc w:val="both"/>
        <w:ind w:right="220" w:firstLine="456"/>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2"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on any Registered Security may at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63" w:lineRule="exact"/>
        <w:rPr>
          <w:sz w:val="20"/>
          <w:szCs w:val="20"/>
          <w:color w:val="auto"/>
        </w:rPr>
      </w:pPr>
    </w:p>
    <w:p>
      <w:pPr>
        <w:ind w:firstLine="464"/>
        <w:spacing w:after="0" w:line="284" w:lineRule="auto"/>
        <w:tabs>
          <w:tab w:leader="none" w:pos="71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62" w:lineRule="exact"/>
        <w:rPr>
          <w:sz w:val="20"/>
          <w:szCs w:val="20"/>
          <w:color w:val="auto"/>
        </w:rPr>
      </w:pPr>
    </w:p>
    <w:p>
      <w:pPr>
        <w:jc w:val="both"/>
        <w:ind w:right="40" w:firstLine="464"/>
        <w:spacing w:after="0" w:line="259"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6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5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FOUR—SATISFACTION AND DISCHARGE</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54" w:lineRule="exact"/>
        <w:rPr>
          <w:sz w:val="20"/>
          <w:szCs w:val="20"/>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460" w:right="60" w:firstLine="443"/>
        <w:spacing w:after="0" w:line="272" w:lineRule="auto"/>
        <w:tabs>
          <w:tab w:leader="none" w:pos="1193"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77" w:lineRule="exact"/>
        <w:rPr>
          <w:rFonts w:ascii="Arial" w:cs="Arial" w:eastAsia="Arial" w:hAnsi="Arial"/>
          <w:sz w:val="17"/>
          <w:szCs w:val="17"/>
          <w:color w:val="auto"/>
        </w:rPr>
      </w:pPr>
    </w:p>
    <w:p>
      <w:pPr>
        <w:ind w:left="460" w:right="180" w:firstLine="443"/>
        <w:spacing w:after="0" w:line="277" w:lineRule="auto"/>
        <w:tabs>
          <w:tab w:leader="none" w:pos="118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w:t>
      </w:r>
    </w:p>
    <w:p>
      <w:pPr>
        <w:spacing w:after="0" w:line="170" w:lineRule="exact"/>
        <w:rPr>
          <w:sz w:val="20"/>
          <w:szCs w:val="20"/>
          <w:color w:val="auto"/>
        </w:rPr>
      </w:pPr>
    </w:p>
    <w:p>
      <w:pPr>
        <w:ind w:left="1120" w:hanging="217"/>
        <w:spacing w:after="0"/>
        <w:tabs>
          <w:tab w:leader="none" w:pos="11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460" w:right="240" w:firstLine="443"/>
        <w:spacing w:after="0" w:line="291" w:lineRule="auto"/>
        <w:tabs>
          <w:tab w:leader="none" w:pos="1213"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w:t>
      </w:r>
    </w:p>
    <w:p>
      <w:pPr>
        <w:ind w:left="780" w:hanging="316"/>
        <w:spacing w:after="0"/>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above, has irrevocably deposited or caused to be deposited with the Trustee as trust funds in trust for the purpose an amount in the currency or</w:t>
      </w:r>
    </w:p>
    <w:p>
      <w:pPr>
        <w:spacing w:after="0" w:line="32" w:lineRule="exact"/>
        <w:rPr>
          <w:rFonts w:ascii="Arial" w:cs="Arial" w:eastAsia="Arial" w:hAnsi="Arial"/>
          <w:sz w:val="16"/>
          <w:szCs w:val="16"/>
          <w:color w:val="auto"/>
        </w:rPr>
      </w:pPr>
    </w:p>
    <w:p>
      <w:pPr>
        <w:ind w:left="460" w:right="80"/>
        <w:spacing w:after="0" w:line="254" w:lineRule="auto"/>
        <w:rPr>
          <w:rFonts w:ascii="Arial" w:cs="Arial" w:eastAsia="Arial" w:hAnsi="Arial"/>
          <w:sz w:val="16"/>
          <w:szCs w:val="16"/>
          <w:color w:val="auto"/>
        </w:rPr>
      </w:pPr>
      <w:r>
        <w:rPr>
          <w:rFonts w:ascii="Arial" w:cs="Arial" w:eastAsia="Arial" w:hAnsi="Arial"/>
          <w:sz w:val="18"/>
          <w:szCs w:val="18"/>
          <w:color w:val="auto"/>
        </w:rPr>
        <w:t>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Funds</w:t>
      </w:r>
      <w:r>
        <w:rPr>
          <w:rFonts w:ascii="Arial" w:cs="Arial" w:eastAsia="Arial" w:hAnsi="Arial"/>
          <w:sz w:val="17"/>
          <w:szCs w:val="17"/>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FIVE—REMEDIES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57" w:lineRule="exact"/>
        <w:rPr>
          <w:sz w:val="20"/>
          <w:szCs w:val="20"/>
          <w:color w:val="auto"/>
        </w:rPr>
      </w:pPr>
    </w:p>
    <w:p>
      <w:pPr>
        <w:ind w:right="20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62"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62" w:lineRule="exact"/>
        <w:rPr>
          <w:rFonts w:ascii="Arial" w:cs="Arial" w:eastAsia="Arial" w:hAnsi="Arial"/>
          <w:sz w:val="18"/>
          <w:szCs w:val="18"/>
          <w:color w:val="auto"/>
        </w:rPr>
      </w:pPr>
    </w:p>
    <w:p>
      <w:pPr>
        <w:ind w:right="58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62" w:lineRule="exact"/>
        <w:rPr>
          <w:rFonts w:ascii="Arial" w:cs="Arial" w:eastAsia="Arial" w:hAnsi="Arial"/>
          <w:sz w:val="18"/>
          <w:szCs w:val="18"/>
          <w:color w:val="auto"/>
        </w:rPr>
      </w:pPr>
    </w:p>
    <w:p>
      <w:pPr>
        <w:ind w:firstLine="464"/>
        <w:spacing w:after="0" w:line="273" w:lineRule="auto"/>
        <w:tabs>
          <w:tab w:leader="none" w:pos="7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0" w:lineRule="exact"/>
        <w:rPr>
          <w:rFonts w:ascii="Arial" w:cs="Arial" w:eastAsia="Arial" w:hAnsi="Arial"/>
          <w:sz w:val="17"/>
          <w:szCs w:val="17"/>
          <w:color w:val="auto"/>
        </w:rPr>
      </w:pPr>
    </w:p>
    <w:p>
      <w:pPr>
        <w:ind w:right="140" w:firstLine="464"/>
        <w:spacing w:after="0" w:line="25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under any bond, debenture, note, mortgage, indenture or instrument under which there may be issued or by which there may be secured or evidenced any indebtedness for money borrowed by the Company,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57"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39" w:lineRule="exact"/>
        <w:rPr>
          <w:sz w:val="20"/>
          <w:szCs w:val="20"/>
          <w:color w:val="auto"/>
        </w:rPr>
      </w:pPr>
    </w:p>
    <w:p>
      <w:pPr>
        <w:ind w:right="520" w:firstLine="464"/>
        <w:spacing w:after="0" w:line="308" w:lineRule="auto"/>
        <w:tabs>
          <w:tab w:leader="none" w:pos="7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38" w:lineRule="exact"/>
        <w:rPr>
          <w:rFonts w:ascii="Arial" w:cs="Arial" w:eastAsia="Arial" w:hAnsi="Arial"/>
          <w:sz w:val="17"/>
          <w:szCs w:val="17"/>
          <w:color w:val="auto"/>
        </w:rPr>
      </w:pPr>
    </w:p>
    <w:p>
      <w:pPr>
        <w:ind w:left="1200" w:hanging="297"/>
        <w:spacing w:after="0"/>
        <w:tabs>
          <w:tab w:leader="none" w:pos="12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60" w:firstLine="443"/>
        <w:spacing w:after="0" w:line="342" w:lineRule="auto"/>
        <w:tabs>
          <w:tab w:leader="none" w:pos="1183"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5" w:lineRule="exact"/>
        <w:rPr>
          <w:rFonts w:ascii="Arial" w:cs="Arial" w:eastAsia="Arial" w:hAnsi="Arial"/>
          <w:sz w:val="16"/>
          <w:szCs w:val="16"/>
          <w:color w:val="auto"/>
        </w:rPr>
      </w:pPr>
    </w:p>
    <w:p>
      <w:pPr>
        <w:ind w:left="460" w:right="20" w:firstLine="443"/>
        <w:spacing w:after="0" w:line="277" w:lineRule="auto"/>
        <w:tabs>
          <w:tab w:leader="none" w:pos="11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right="120" w:firstLine="464"/>
        <w:spacing w:after="0" w:line="277"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firstLine="464"/>
        <w:spacing w:after="0" w:line="255"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or Make-Whole Amount, if any, on) any Security of any series at its Maturity, 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85" w:lineRule="exact"/>
        <w:rPr>
          <w:sz w:val="20"/>
          <w:szCs w:val="20"/>
          <w:color w:val="auto"/>
        </w:rPr>
      </w:pPr>
    </w:p>
    <w:p>
      <w:pPr>
        <w:ind w:left="460" w:right="40" w:firstLine="443"/>
        <w:spacing w:after="0" w:line="277" w:lineRule="auto"/>
        <w:tabs>
          <w:tab w:leader="none" w:pos="111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file and prove a claim for the whole amount, or such lesser amount as may be provided for in the Securities of such series, of principal (and premium or Make-Whole Amount, if any) and interest owing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3" w:lineRule="exact"/>
        <w:rPr>
          <w:sz w:val="20"/>
          <w:szCs w:val="20"/>
          <w:color w:val="auto"/>
        </w:rPr>
      </w:pPr>
    </w:p>
    <w:p>
      <w:pPr>
        <w:ind w:left="460" w:firstLine="443"/>
        <w:spacing w:after="0" w:line="320" w:lineRule="auto"/>
        <w:tabs>
          <w:tab w:leader="none" w:pos="1163" w:val="left"/>
        </w:tabs>
        <w:numPr>
          <w:ilvl w:val="0"/>
          <w:numId w:val="76"/>
        </w:numPr>
        <w:rPr>
          <w:rFonts w:ascii="Arial" w:cs="Arial" w:eastAsia="Arial" w:hAnsi="Arial"/>
          <w:sz w:val="15"/>
          <w:szCs w:val="15"/>
          <w:color w:val="auto"/>
        </w:rPr>
      </w:pPr>
      <w:r>
        <w:rPr>
          <w:rFonts w:ascii="Arial" w:cs="Arial" w:eastAsia="Arial" w:hAnsi="Arial"/>
          <w:sz w:val="15"/>
          <w:szCs w:val="15"/>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 or Coupons</w:t>
      </w:r>
      <w:r>
        <w:rPr>
          <w:rFonts w:ascii="Arial" w:cs="Arial" w:eastAsia="Arial" w:hAnsi="Arial"/>
          <w:sz w:val="16"/>
          <w:szCs w:val="16"/>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or any related coupon shall have any right to institute any proceeding, judicial or otherwise, with respect to this Indenture or the Securities or any related coupon, or for the appointment of a receiver or trustee, or for any other remedy hereunder, unless:</w:t>
      </w:r>
    </w:p>
    <w:p>
      <w:pPr>
        <w:spacing w:after="0" w:line="73" w:lineRule="exact"/>
        <w:rPr>
          <w:sz w:val="20"/>
          <w:szCs w:val="20"/>
          <w:color w:val="auto"/>
        </w:rPr>
      </w:pPr>
    </w:p>
    <w:p>
      <w:pPr>
        <w:ind w:left="720" w:hanging="256"/>
        <w:spacing w:after="0"/>
        <w:tabs>
          <w:tab w:leader="none" w:pos="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17"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or the Securities, except in the manner herein provided and for the equal and ratable benefit of all such Holders.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Unconditional Right of Holders to Receive Principal, Premium or Make-Whole Amount, if any, and Interest</w:t>
      </w:r>
      <w:r>
        <w:rPr>
          <w:rFonts w:ascii="Arial" w:cs="Arial" w:eastAsia="Arial" w:hAnsi="Arial"/>
          <w:sz w:val="17"/>
          <w:szCs w:val="17"/>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5620" w:right="4900" w:hanging="5156"/>
        <w:spacing w:after="0" w:line="388" w:lineRule="auto"/>
        <w:tabs>
          <w:tab w:leader="none" w:pos="716"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30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1" w:lineRule="exact"/>
        <w:rPr>
          <w:sz w:val="20"/>
          <w:szCs w:val="20"/>
          <w:color w:val="auto"/>
        </w:rPr>
      </w:pPr>
    </w:p>
    <w:p>
      <w:pPr>
        <w:ind w:left="720" w:hanging="256"/>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payment of the principal of (or premium or Make-Whole Amount, if any) or interest on any Security of such series or any related coupons, or</w:t>
      </w:r>
    </w:p>
    <w:p>
      <w:pPr>
        <w:spacing w:after="0" w:line="248" w:lineRule="exact"/>
        <w:rPr>
          <w:rFonts w:ascii="Arial" w:cs="Arial" w:eastAsia="Arial" w:hAnsi="Arial"/>
          <w:sz w:val="16"/>
          <w:szCs w:val="16"/>
          <w:color w:val="auto"/>
        </w:rPr>
      </w:pPr>
    </w:p>
    <w:p>
      <w:pPr>
        <w:ind w:right="32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right="400" w:firstLine="456"/>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Usury,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SIX—THE TRUSTEE</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117" w:lineRule="exact"/>
        <w:rPr>
          <w:sz w:val="20"/>
          <w:szCs w:val="20"/>
          <w:color w:val="auto"/>
        </w:rPr>
      </w:pPr>
    </w:p>
    <w:p>
      <w:pPr>
        <w:ind w:right="360" w:firstLine="464"/>
        <w:spacing w:after="0" w:line="286" w:lineRule="auto"/>
        <w:tabs>
          <w:tab w:leader="none" w:pos="711"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57" w:lineRule="exact"/>
        <w:rPr>
          <w:rFonts w:ascii="Arial" w:cs="Arial" w:eastAsia="Arial" w:hAnsi="Arial"/>
          <w:sz w:val="17"/>
          <w:szCs w:val="17"/>
          <w:color w:val="auto"/>
        </w:rPr>
      </w:pPr>
    </w:p>
    <w:p>
      <w:pPr>
        <w:ind w:right="40" w:firstLine="464"/>
        <w:spacing w:after="0" w:line="312" w:lineRule="auto"/>
        <w:tabs>
          <w:tab w:leader="none" w:pos="71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38" w:lineRule="exact"/>
        <w:rPr>
          <w:rFonts w:ascii="Arial" w:cs="Arial" w:eastAsia="Arial" w:hAnsi="Arial"/>
          <w:sz w:val="16"/>
          <w:szCs w:val="16"/>
          <w:color w:val="auto"/>
        </w:rPr>
      </w:pPr>
    </w:p>
    <w:p>
      <w:pPr>
        <w:jc w:val="both"/>
        <w:ind w:right="180" w:firstLine="464"/>
        <w:spacing w:after="0" w:line="264"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right="600" w:firstLine="464"/>
        <w:spacing w:after="0" w:line="342" w:lineRule="auto"/>
        <w:tabs>
          <w:tab w:leader="none" w:pos="71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right="100" w:firstLine="464"/>
        <w:spacing w:after="0" w:line="259"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8" w:lineRule="exact"/>
        <w:rPr>
          <w:rFonts w:ascii="Arial" w:cs="Arial" w:eastAsia="Arial" w:hAnsi="Arial"/>
          <w:sz w:val="18"/>
          <w:szCs w:val="18"/>
          <w:color w:val="auto"/>
        </w:rPr>
      </w:pPr>
    </w:p>
    <w:p>
      <w:pPr>
        <w:ind w:firstLine="464"/>
        <w:spacing w:after="0" w:line="270" w:lineRule="auto"/>
        <w:tabs>
          <w:tab w:leader="none" w:pos="711"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69" w:lineRule="exact"/>
        <w:rPr>
          <w:rFonts w:ascii="Arial" w:cs="Arial" w:eastAsia="Arial" w:hAnsi="Arial"/>
          <w:sz w:val="17"/>
          <w:szCs w:val="17"/>
          <w:color w:val="auto"/>
        </w:rPr>
      </w:pPr>
    </w:p>
    <w:p>
      <w:pPr>
        <w:ind w:right="200" w:firstLine="464"/>
        <w:spacing w:after="0" w:line="342" w:lineRule="auto"/>
        <w:tabs>
          <w:tab w:leader="none" w:pos="71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62" w:lineRule="exact"/>
        <w:rPr>
          <w:rFonts w:ascii="Arial" w:cs="Arial" w:eastAsia="Arial" w:hAnsi="Arial"/>
          <w:sz w:val="18"/>
          <w:szCs w:val="18"/>
          <w:color w:val="auto"/>
        </w:rPr>
      </w:pPr>
    </w:p>
    <w:p>
      <w:pPr>
        <w:ind w:right="140" w:firstLine="464"/>
        <w:spacing w:after="0" w:line="264" w:lineRule="auto"/>
        <w:tabs>
          <w:tab w:leader="none" w:pos="8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73" w:lineRule="exact"/>
        <w:rPr>
          <w:rFonts w:ascii="Arial" w:cs="Arial" w:eastAsia="Arial" w:hAnsi="Arial"/>
          <w:sz w:val="18"/>
          <w:szCs w:val="18"/>
          <w:color w:val="auto"/>
        </w:rPr>
      </w:pPr>
    </w:p>
    <w:p>
      <w:pPr>
        <w:ind w:right="900" w:firstLine="464"/>
        <w:spacing w:after="0" w:line="277" w:lineRule="auto"/>
        <w:tabs>
          <w:tab w:leader="none" w:pos="7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62" w:lineRule="exact"/>
        <w:rPr>
          <w:rFonts w:ascii="Arial" w:cs="Arial" w:eastAsia="Arial" w:hAnsi="Arial"/>
          <w:sz w:val="18"/>
          <w:szCs w:val="18"/>
          <w:color w:val="auto"/>
        </w:rPr>
      </w:pPr>
    </w:p>
    <w:p>
      <w:pPr>
        <w:ind w:right="140" w:firstLine="464"/>
        <w:spacing w:after="0" w:line="264" w:lineRule="auto"/>
        <w:tabs>
          <w:tab w:leader="none" w:pos="8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73" w:lineRule="exact"/>
        <w:rPr>
          <w:rFonts w:ascii="Arial" w:cs="Arial" w:eastAsia="Arial" w:hAnsi="Arial"/>
          <w:sz w:val="18"/>
          <w:szCs w:val="18"/>
          <w:color w:val="auto"/>
        </w:rPr>
      </w:pPr>
    </w:p>
    <w:p>
      <w:pPr>
        <w:ind w:right="100" w:firstLine="464"/>
        <w:spacing w:after="0" w:line="286" w:lineRule="auto"/>
        <w:tabs>
          <w:tab w:leader="none" w:pos="80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May Hold Securities</w:t>
      </w:r>
      <w:r>
        <w:rPr>
          <w:rFonts w:ascii="Arial" w:cs="Arial" w:eastAsia="Arial" w:hAnsi="Arial"/>
          <w:sz w:val="16"/>
          <w:szCs w:val="16"/>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4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117" w:lineRule="exact"/>
        <w:rPr>
          <w:sz w:val="20"/>
          <w:szCs w:val="20"/>
          <w:color w:val="auto"/>
        </w:rPr>
      </w:pPr>
    </w:p>
    <w:p>
      <w:pPr>
        <w:ind w:right="720" w:firstLine="464"/>
        <w:spacing w:after="0" w:line="308" w:lineRule="auto"/>
        <w:tabs>
          <w:tab w:leader="none" w:pos="71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38" w:lineRule="exact"/>
        <w:rPr>
          <w:rFonts w:ascii="Arial" w:cs="Arial" w:eastAsia="Arial" w:hAnsi="Arial"/>
          <w:sz w:val="17"/>
          <w:szCs w:val="17"/>
          <w:color w:val="auto"/>
        </w:rPr>
      </w:pPr>
    </w:p>
    <w:p>
      <w:pPr>
        <w:jc w:val="both"/>
        <w:ind w:right="60" w:firstLine="464"/>
        <w:spacing w:after="0" w:line="259"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78"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Corporate Trustee Required; Eligibility; Conflicting Interests</w:t>
      </w:r>
      <w:r>
        <w:rPr>
          <w:rFonts w:ascii="Arial" w:cs="Arial" w:eastAsia="Arial" w:hAnsi="Arial"/>
          <w:sz w:val="17"/>
          <w:szCs w:val="17"/>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660" w:firstLine="464"/>
        <w:spacing w:after="0" w:line="277" w:lineRule="auto"/>
        <w:tabs>
          <w:tab w:leader="none" w:pos="7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ind w:right="120" w:firstLine="464"/>
        <w:spacing w:after="0" w:line="312" w:lineRule="auto"/>
        <w:tabs>
          <w:tab w:leader="none" w:pos="71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64"/>
        <w:spacing w:after="0" w:line="259" w:lineRule="auto"/>
        <w:tabs>
          <w:tab w:leader="none" w:pos="7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right="440" w:firstLine="464"/>
        <w:spacing w:after="0" w:line="277"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160" w:firstLine="464"/>
        <w:spacing w:after="0" w:line="255"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93" w:lineRule="exact"/>
        <w:rPr>
          <w:sz w:val="20"/>
          <w:szCs w:val="20"/>
          <w:color w:val="auto"/>
        </w:rPr>
      </w:pPr>
    </w:p>
    <w:p>
      <w:pPr>
        <w:ind w:right="20" w:firstLine="464"/>
        <w:spacing w:after="0" w:line="287" w:lineRule="auto"/>
        <w:tabs>
          <w:tab w:leader="none" w:pos="701"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2" w:lineRule="exact"/>
        <w:rPr>
          <w:rFonts w:ascii="Arial" w:cs="Arial" w:eastAsia="Arial" w:hAnsi="Arial"/>
          <w:sz w:val="16"/>
          <w:szCs w:val="16"/>
          <w:color w:val="auto"/>
        </w:rPr>
      </w:pPr>
    </w:p>
    <w:p>
      <w:pPr>
        <w:ind w:firstLine="464"/>
        <w:spacing w:after="0" w:line="312" w:lineRule="auto"/>
        <w:tabs>
          <w:tab w:leader="none" w:pos="6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55" w:lineRule="auto"/>
        <w:tabs>
          <w:tab w:leader="none" w:pos="7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6" w:lineRule="auto"/>
        <w:tabs>
          <w:tab w:leader="none" w:pos="711"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8" w:lineRule="exact"/>
        <w:rPr>
          <w:rFonts w:ascii="Arial" w:cs="Arial" w:eastAsia="Arial" w:hAnsi="Arial"/>
          <w:sz w:val="16"/>
          <w:szCs w:val="16"/>
          <w:color w:val="auto"/>
        </w:rPr>
      </w:pPr>
    </w:p>
    <w:p>
      <w:pPr>
        <w:ind w:right="720" w:firstLine="464"/>
        <w:spacing w:after="0" w:line="342" w:lineRule="auto"/>
        <w:tabs>
          <w:tab w:leader="none" w:pos="7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Appointment of Authenticating Agent</w:t>
      </w:r>
      <w:r>
        <w:rPr>
          <w:rFonts w:ascii="Arial" w:cs="Arial" w:eastAsia="Arial" w:hAnsi="Arial"/>
          <w:sz w:val="17"/>
          <w:szCs w:val="17"/>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9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6"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3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as Trustee</w:t>
            </w:r>
          </w:p>
        </w:tc>
      </w:tr>
      <w:tr>
        <w:trPr>
          <w:trHeight w:val="418"/>
        </w:trPr>
        <w:tc>
          <w:tcPr>
            <w:tcW w:w="5500" w:type="dxa"/>
            <w:vAlign w:val="bottom"/>
            <w:gridSpan w:val="4"/>
          </w:tcPr>
          <w:p>
            <w:pPr>
              <w:spacing w:after="0"/>
              <w:rPr>
                <w:sz w:val="20"/>
                <w:szCs w:val="20"/>
                <w:color w:val="auto"/>
              </w:rPr>
            </w:pPr>
            <w:r>
              <w:rPr>
                <w:rFonts w:ascii="Arial" w:cs="Arial" w:eastAsia="Arial" w:hAnsi="Arial"/>
                <w:sz w:val="18"/>
                <w:szCs w:val="18"/>
                <w:color w:val="auto"/>
              </w:rPr>
              <w:t>Dated:</w:t>
            </w:r>
          </w:p>
        </w:tc>
        <w:tc>
          <w:tcPr>
            <w:tcW w:w="560" w:type="dxa"/>
            <w:vAlign w:val="bottom"/>
          </w:tcPr>
          <w:p>
            <w:pPr>
              <w:spacing w:after="0"/>
              <w:rPr>
                <w:sz w:val="24"/>
                <w:szCs w:val="24"/>
                <w:color w:val="auto"/>
              </w:rPr>
            </w:pP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By:</w:t>
            </w:r>
          </w:p>
        </w:tc>
      </w:tr>
      <w:tr>
        <w:trPr>
          <w:trHeight w:val="224"/>
        </w:trPr>
        <w:tc>
          <w:tcPr>
            <w:tcW w:w="5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as Authenticating Agent</w:t>
            </w:r>
          </w:p>
        </w:tc>
      </w:tr>
      <w:tr>
        <w:trPr>
          <w:trHeight w:val="418"/>
        </w:trPr>
        <w:tc>
          <w:tcPr>
            <w:tcW w:w="5500" w:type="dxa"/>
            <w:vAlign w:val="bottom"/>
            <w:gridSpan w:val="4"/>
          </w:tcPr>
          <w:p>
            <w:pPr>
              <w:spacing w:after="0"/>
              <w:rPr>
                <w:sz w:val="20"/>
                <w:szCs w:val="20"/>
                <w:color w:val="auto"/>
              </w:rPr>
            </w:pPr>
            <w:r>
              <w:rPr>
                <w:rFonts w:ascii="Arial" w:cs="Arial" w:eastAsia="Arial" w:hAnsi="Arial"/>
                <w:sz w:val="18"/>
                <w:szCs w:val="18"/>
                <w:color w:val="auto"/>
              </w:rPr>
              <w:t>Dated:</w:t>
            </w:r>
          </w:p>
        </w:tc>
        <w:tc>
          <w:tcPr>
            <w:tcW w:w="560" w:type="dxa"/>
            <w:vAlign w:val="bottom"/>
          </w:tcPr>
          <w:p>
            <w:pPr>
              <w:spacing w:after="0"/>
              <w:rPr>
                <w:sz w:val="24"/>
                <w:szCs w:val="24"/>
                <w:color w:val="auto"/>
              </w:rPr>
            </w:pP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By:</w:t>
            </w:r>
          </w:p>
        </w:tc>
      </w:tr>
      <w:tr>
        <w:trPr>
          <w:trHeight w:val="224"/>
        </w:trPr>
        <w:tc>
          <w:tcPr>
            <w:tcW w:w="5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as Authenticating Agent</w:t>
            </w:r>
          </w:p>
        </w:tc>
      </w:tr>
      <w:tr>
        <w:trPr>
          <w:trHeight w:val="377"/>
        </w:trPr>
        <w:tc>
          <w:tcPr>
            <w:tcW w:w="5500" w:type="dxa"/>
            <w:vAlign w:val="bottom"/>
            <w:gridSpan w:val="4"/>
          </w:tcPr>
          <w:p>
            <w:pPr>
              <w:ind w:left="460"/>
              <w:spacing w:after="0"/>
              <w:rPr>
                <w:sz w:val="20"/>
                <w:szCs w:val="20"/>
                <w:color w:val="auto"/>
              </w:rPr>
            </w:pPr>
            <w:r>
              <w:rPr>
                <w:rFonts w:ascii="Arial" w:cs="Arial" w:eastAsia="Arial" w:hAnsi="Arial"/>
                <w:sz w:val="18"/>
                <w:szCs w:val="18"/>
                <w:color w:val="auto"/>
                <w:w w:val="96"/>
              </w:rPr>
              <w:t>SECTION 612 Certain Duties and Responsibilities of the Trustee.</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With respect to the Securities of any series, except during the continuance of an Event of Default with respect to the Securities of such series:</w:t>
      </w:r>
    </w:p>
    <w:p>
      <w:pPr>
        <w:spacing w:after="0" w:line="129" w:lineRule="exact"/>
        <w:rPr>
          <w:sz w:val="20"/>
          <w:szCs w:val="20"/>
          <w:color w:val="auto"/>
        </w:rPr>
      </w:pPr>
    </w:p>
    <w:p>
      <w:pPr>
        <w:ind w:right="560" w:firstLine="464"/>
        <w:spacing w:after="0" w:line="277"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57" w:lineRule="auto"/>
        <w:tabs>
          <w:tab w:leader="none" w:pos="7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8" w:lineRule="exact"/>
        <w:rPr>
          <w:sz w:val="20"/>
          <w:szCs w:val="20"/>
          <w:color w:val="auto"/>
        </w:rPr>
      </w:pPr>
    </w:p>
    <w:p>
      <w:pPr>
        <w:ind w:right="20" w:firstLine="464"/>
        <w:spacing w:after="0" w:line="264" w:lineRule="auto"/>
        <w:tabs>
          <w:tab w:leader="none" w:pos="71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1"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sz w:val="20"/>
          <w:szCs w:val="20"/>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78" w:lineRule="exact"/>
        <w:rPr>
          <w:rFonts w:ascii="Arial" w:cs="Arial" w:eastAsia="Arial" w:hAnsi="Arial"/>
          <w:sz w:val="18"/>
          <w:szCs w:val="18"/>
          <w:color w:val="auto"/>
        </w:rPr>
      </w:pPr>
    </w:p>
    <w:p>
      <w:pPr>
        <w:ind w:firstLine="464"/>
        <w:spacing w:after="0" w:line="257"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8" w:lineRule="exact"/>
        <w:rPr>
          <w:sz w:val="20"/>
          <w:szCs w:val="20"/>
          <w:color w:val="auto"/>
        </w:rPr>
      </w:pPr>
    </w:p>
    <w:p>
      <w:pPr>
        <w:ind w:right="480" w:firstLine="464"/>
        <w:spacing w:after="0" w:line="277" w:lineRule="auto"/>
        <w:tabs>
          <w:tab w:leader="none" w:pos="7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firstLine="464"/>
        <w:spacing w:after="0" w:line="277" w:lineRule="auto"/>
        <w:tabs>
          <w:tab w:leader="none" w:pos="7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SEVEN—HOLDERS’ LISTS AND REPORTS BY TRUSTEE AND COMPANY</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Reports by Trustee</w:t>
      </w:r>
      <w:r>
        <w:rPr>
          <w:rFonts w:ascii="Arial" w:cs="Arial" w:eastAsia="Arial" w:hAnsi="Arial"/>
          <w:sz w:val="17"/>
          <w:szCs w:val="17"/>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117" w:lineRule="exact"/>
        <w:rPr>
          <w:sz w:val="20"/>
          <w:szCs w:val="20"/>
          <w:color w:val="auto"/>
        </w:rPr>
      </w:pPr>
    </w:p>
    <w:p>
      <w:pPr>
        <w:ind w:right="100" w:firstLine="464"/>
        <w:spacing w:after="0" w:line="272" w:lineRule="auto"/>
        <w:tabs>
          <w:tab w:leader="none" w:pos="711" w:val="left"/>
        </w:tabs>
        <w:numPr>
          <w:ilvl w:val="0"/>
          <w:numId w:val="96"/>
        </w:numPr>
        <w:rPr>
          <w:rFonts w:ascii="Arial" w:cs="Arial" w:eastAsia="Arial" w:hAnsi="Arial"/>
          <w:sz w:val="17"/>
          <w:szCs w:val="17"/>
          <w:color w:val="auto"/>
        </w:rPr>
      </w:pPr>
      <w:r>
        <w:rPr>
          <w:rFonts w:ascii="Arial" w:cs="Arial" w:eastAsia="Arial" w:hAnsi="Arial"/>
          <w:sz w:val="17"/>
          <w:szCs w:val="17"/>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69" w:lineRule="exact"/>
        <w:rPr>
          <w:rFonts w:ascii="Arial" w:cs="Arial" w:eastAsia="Arial" w:hAnsi="Arial"/>
          <w:sz w:val="17"/>
          <w:szCs w:val="17"/>
          <w:color w:val="auto"/>
        </w:rPr>
      </w:pPr>
    </w:p>
    <w:p>
      <w:pPr>
        <w:ind w:right="360" w:firstLine="464"/>
        <w:spacing w:after="0" w:line="264" w:lineRule="auto"/>
        <w:tabs>
          <w:tab w:leader="none" w:pos="7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73" w:lineRule="exact"/>
        <w:rPr>
          <w:rFonts w:ascii="Arial" w:cs="Arial" w:eastAsia="Arial" w:hAnsi="Arial"/>
          <w:sz w:val="18"/>
          <w:szCs w:val="18"/>
          <w:color w:val="auto"/>
        </w:rPr>
      </w:pPr>
    </w:p>
    <w:p>
      <w:pPr>
        <w:ind w:firstLine="464"/>
        <w:spacing w:after="0" w:line="264" w:lineRule="auto"/>
        <w:tabs>
          <w:tab w:leader="none" w:pos="7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73"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129" w:lineRule="exact"/>
        <w:rPr>
          <w:sz w:val="20"/>
          <w:szCs w:val="20"/>
          <w:color w:val="auto"/>
        </w:rPr>
      </w:pPr>
    </w:p>
    <w:p>
      <w:pPr>
        <w:ind w:right="40" w:firstLine="464"/>
        <w:spacing w:after="0" w:line="259"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78"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EIGHT—CONSOLIDATION, MERGER, SALE, LEASE OR CONVEYANCE</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Consolidations and Mergers of Company and Sales, Leases and Conveyances Permitted Subject to Certain Conditions</w:t>
      </w:r>
      <w:r>
        <w:rPr>
          <w:rFonts w:ascii="Arial" w:cs="Arial" w:eastAsia="Arial" w:hAnsi="Arial"/>
          <w:sz w:val="18"/>
          <w:szCs w:val="18"/>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as a result thereof as having been incurred by the Company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7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NINE—SUPPLEMENTAL INDENTURES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73" w:lineRule="exact"/>
        <w:rPr>
          <w:sz w:val="20"/>
          <w:szCs w:val="20"/>
          <w:color w:val="auto"/>
        </w:rPr>
      </w:pPr>
    </w:p>
    <w:p>
      <w:pPr>
        <w:ind w:right="40" w:firstLine="464"/>
        <w:spacing w:after="0" w:line="277"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62" w:lineRule="exact"/>
        <w:rPr>
          <w:rFonts w:ascii="Arial" w:cs="Arial" w:eastAsia="Arial" w:hAnsi="Arial"/>
          <w:sz w:val="18"/>
          <w:szCs w:val="18"/>
          <w:color w:val="auto"/>
        </w:rPr>
      </w:pPr>
    </w:p>
    <w:p>
      <w:pPr>
        <w:ind w:right="260" w:firstLine="464"/>
        <w:spacing w:after="0" w:line="264"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right="20" w:firstLine="464"/>
        <w:spacing w:after="0" w:line="273" w:lineRule="auto"/>
        <w:tabs>
          <w:tab w:leader="none" w:pos="71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57"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any series or any related coupons in any material respect; or</w:t>
      </w:r>
    </w:p>
    <w:p>
      <w:pPr>
        <w:spacing w:after="0" w:line="80" w:lineRule="exact"/>
        <w:rPr>
          <w:rFonts w:ascii="Arial" w:cs="Arial" w:eastAsia="Arial" w:hAnsi="Arial"/>
          <w:sz w:val="18"/>
          <w:szCs w:val="18"/>
          <w:color w:val="auto"/>
        </w:rPr>
      </w:pPr>
    </w:p>
    <w:p>
      <w:pPr>
        <w:ind w:right="80" w:firstLine="464"/>
        <w:spacing w:after="0" w:line="342" w:lineRule="auto"/>
        <w:tabs>
          <w:tab w:leader="none" w:pos="7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establish the form or terms of Securities of any series and any related coupons as permitted or contemplated by Sections 201 and 301; or</w:t>
      </w:r>
    </w:p>
    <w:p>
      <w:pPr>
        <w:spacing w:after="0" w:line="128" w:lineRule="exact"/>
        <w:rPr>
          <w:rFonts w:ascii="Arial" w:cs="Arial" w:eastAsia="Arial" w:hAnsi="Arial"/>
          <w:sz w:val="17"/>
          <w:szCs w:val="17"/>
          <w:color w:val="auto"/>
        </w:rPr>
      </w:pPr>
    </w:p>
    <w:p>
      <w:pPr>
        <w:ind w:right="40" w:firstLine="464"/>
        <w:spacing w:after="0" w:line="264"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8"/>
          <w:szCs w:val="18"/>
          <w:color w:val="auto"/>
        </w:rPr>
      </w:pPr>
    </w:p>
    <w:p>
      <w:pPr>
        <w:ind w:right="160" w:firstLine="464"/>
        <w:spacing w:after="0" w:line="259"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provisions shall not adversely affect the interests of the Holders of Securities of any series or any related coupons in any material respect; or</w:t>
      </w:r>
    </w:p>
    <w:p>
      <w:pPr>
        <w:spacing w:after="0" w:line="78" w:lineRule="exact"/>
        <w:rPr>
          <w:rFonts w:ascii="Arial" w:cs="Arial" w:eastAsia="Arial" w:hAnsi="Arial"/>
          <w:sz w:val="18"/>
          <w:szCs w:val="18"/>
          <w:color w:val="auto"/>
        </w:rPr>
      </w:pPr>
    </w:p>
    <w:p>
      <w:pPr>
        <w:ind w:right="260" w:firstLine="464"/>
        <w:spacing w:after="0" w:line="264" w:lineRule="auto"/>
        <w:tabs>
          <w:tab w:leader="none" w:pos="8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73" w:lineRule="exact"/>
        <w:rPr>
          <w:rFonts w:ascii="Arial" w:cs="Arial" w:eastAsia="Arial" w:hAnsi="Arial"/>
          <w:sz w:val="18"/>
          <w:szCs w:val="18"/>
          <w:color w:val="auto"/>
        </w:rPr>
      </w:pPr>
    </w:p>
    <w:p>
      <w:pPr>
        <w:ind w:left="800" w:hanging="336"/>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make provisions with respect to Holders’ rights of conversion with respect to any series of Securities pursuant to Article Sixteen.</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 no such supplemental indenture shall, without the consent of the Holder of each Outstanding Security affected thereby:</w:t>
      </w:r>
    </w:p>
    <w:p>
      <w:pPr>
        <w:spacing w:after="0" w:line="85" w:lineRule="exact"/>
        <w:rPr>
          <w:sz w:val="20"/>
          <w:szCs w:val="20"/>
          <w:color w:val="auto"/>
        </w:rPr>
      </w:pPr>
    </w:p>
    <w:p>
      <w:pPr>
        <w:ind w:right="40" w:firstLine="464"/>
        <w:spacing w:after="0" w:line="270" w:lineRule="auto"/>
        <w:tabs>
          <w:tab w:leader="none" w:pos="71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64"/>
        <w:spacing w:after="0" w:line="259" w:lineRule="auto"/>
        <w:tabs>
          <w:tab w:leader="none" w:pos="7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78" w:lineRule="exact"/>
        <w:rPr>
          <w:rFonts w:ascii="Arial" w:cs="Arial" w:eastAsia="Arial" w:hAnsi="Arial"/>
          <w:sz w:val="18"/>
          <w:szCs w:val="18"/>
          <w:color w:val="auto"/>
        </w:rPr>
      </w:pPr>
    </w:p>
    <w:p>
      <w:pPr>
        <w:ind w:firstLine="464"/>
        <w:spacing w:after="0" w:line="257" w:lineRule="auto"/>
        <w:tabs>
          <w:tab w:leader="none" w:pos="7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jc w:val="both"/>
        <w:ind w:right="620" w:firstLine="456"/>
        <w:spacing w:after="0" w:line="31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TEN—COVENANTS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or Make-Whole Amount, if any; and Interest</w:t>
      </w:r>
      <w:r>
        <w:rPr>
          <w:rFonts w:ascii="Arial" w:cs="Arial" w:eastAsia="Arial" w:hAnsi="Arial"/>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2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39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7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w:t>
      </w:r>
    </w:p>
    <w:p>
      <w:pPr>
        <w:spacing w:after="0" w:line="5" w:lineRule="exact"/>
        <w:rPr>
          <w:sz w:val="20"/>
          <w:szCs w:val="20"/>
          <w:color w:val="auto"/>
        </w:rPr>
      </w:pPr>
    </w:p>
    <w:p>
      <w:pPr>
        <w:ind w:right="200" w:firstLine="8"/>
        <w:spacing w:after="0" w:line="302" w:lineRule="auto"/>
        <w:tabs>
          <w:tab w:leader="none" w:pos="2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right="460" w:firstLine="464"/>
        <w:spacing w:after="0" w:line="308" w:lineRule="auto"/>
        <w:tabs>
          <w:tab w:leader="none" w:pos="71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right="28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70"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xml:space="preserve">. The Company will cause all of its material properties used or useful in the conduct of its business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prevented from (i) removing permanently any property that has been condemned or suffered a loss due to casualty based on the Company’s reasonable judgment that such removal is in the best interest of the Company, or (ii) selling or otherwise disposing of its properties for value in the ordinary course of business.</w:t>
      </w:r>
    </w:p>
    <w:p>
      <w:pPr>
        <w:spacing w:after="0" w:line="17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cause its insurable properties to be insured against loss or damage in an amount deemed reasonable by the Board of Directors with insurers of recognized responsibility.</w:t>
      </w:r>
    </w:p>
    <w:p>
      <w:pPr>
        <w:spacing w:after="0" w:line="17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Payment of Taxes and Other Claims</w:t>
      </w:r>
      <w:r>
        <w:rPr>
          <w:rFonts w:ascii="Arial" w:cs="Arial" w:eastAsia="Arial" w:hAnsi="Arial"/>
          <w:sz w:val="17"/>
          <w:szCs w:val="17"/>
          <w:color w:val="auto"/>
        </w:rPr>
        <w:t xml:space="preserve">. The Company will pay or discharge or cause to be paid or discharged, before the same shall become delinquent, (1) all taxes, assessments and governmental charges levied or imposed upon it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ELEVEN—REDEMPTION OF SECURITIES</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117"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64"/>
        <w:spacing w:after="0" w:line="342" w:lineRule="auto"/>
        <w:tabs>
          <w:tab w:leader="none" w:pos="71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right="160" w:firstLine="464"/>
        <w:spacing w:after="0" w:line="286" w:lineRule="auto"/>
        <w:tabs>
          <w:tab w:leader="none" w:pos="7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57" w:lineRule="exact"/>
        <w:rPr>
          <w:rFonts w:ascii="Arial" w:cs="Arial" w:eastAsia="Arial" w:hAnsi="Arial"/>
          <w:sz w:val="17"/>
          <w:szCs w:val="17"/>
          <w:color w:val="auto"/>
        </w:rPr>
      </w:pPr>
    </w:p>
    <w:p>
      <w:pPr>
        <w:ind w:right="60" w:firstLine="464"/>
        <w:spacing w:after="0" w:line="264"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73" w:lineRule="exact"/>
        <w:rPr>
          <w:rFonts w:ascii="Arial" w:cs="Arial" w:eastAsia="Arial" w:hAnsi="Arial"/>
          <w:sz w:val="18"/>
          <w:szCs w:val="18"/>
          <w:color w:val="auto"/>
        </w:rPr>
      </w:pPr>
    </w:p>
    <w:p>
      <w:pPr>
        <w:ind w:left="800" w:hanging="336"/>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117" w:lineRule="exact"/>
        <w:rPr>
          <w:rFonts w:ascii="Arial" w:cs="Arial" w:eastAsia="Arial" w:hAnsi="Arial"/>
          <w:sz w:val="18"/>
          <w:szCs w:val="18"/>
          <w:color w:val="auto"/>
        </w:rPr>
      </w:pPr>
    </w:p>
    <w:p>
      <w:pPr>
        <w:jc w:val="both"/>
        <w:ind w:firstLine="464"/>
        <w:spacing w:after="0" w:line="264" w:lineRule="auto"/>
        <w:tabs>
          <w:tab w:leader="none" w:pos="7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as otherwise provided with respect to Securities convertible into the Company’s Common Stock or Preferred Stock, installments of interest on Registered Securities whose Stated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TWELVE—SINKING FUNDS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THIRTEEN—REPAYMENT AT THE OPTION OF HOLDERS</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Exercise of Option</w:t>
      </w:r>
      <w:r>
        <w:rPr>
          <w:rFonts w:ascii="Arial" w:cs="Arial" w:eastAsia="Arial" w:hAnsi="Arial"/>
          <w:sz w:val="17"/>
          <w:szCs w:val="17"/>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FOURTEEN—DEFEASANCE AND COVENANT DEFEASANCE</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4" w:lineRule="exact"/>
        <w:rPr>
          <w:sz w:val="20"/>
          <w:szCs w:val="20"/>
          <w:color w:val="auto"/>
        </w:rPr>
      </w:pPr>
    </w:p>
    <w:p>
      <w:pPr>
        <w:ind w:right="120" w:firstLine="8"/>
        <w:spacing w:after="0" w:line="261" w:lineRule="auto"/>
        <w:tabs>
          <w:tab w:leader="none" w:pos="2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The following shall be the conditions to application of Section 1402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pacing w:after="0" w:line="103" w:lineRule="exact"/>
        <w:rPr>
          <w:sz w:val="20"/>
          <w:szCs w:val="20"/>
          <w:color w:val="auto"/>
        </w:rPr>
      </w:pPr>
    </w:p>
    <w:p>
      <w:pPr>
        <w:ind w:right="140" w:firstLine="464"/>
        <w:spacing w:after="0" w:line="269" w:lineRule="auto"/>
        <w:tabs>
          <w:tab w:leader="none" w:pos="70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46" w:lineRule="exact"/>
        <w:rPr>
          <w:sz w:val="20"/>
          <w:szCs w:val="20"/>
          <w:color w:val="auto"/>
        </w:rPr>
      </w:pPr>
    </w:p>
    <w:p>
      <w:pPr>
        <w:ind w:right="520" w:firstLine="464"/>
        <w:spacing w:after="0" w:line="277"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2" w:lineRule="exact"/>
        <w:rPr>
          <w:rFonts w:ascii="Arial" w:cs="Arial" w:eastAsia="Arial" w:hAnsi="Arial"/>
          <w:sz w:val="18"/>
          <w:szCs w:val="18"/>
          <w:color w:val="auto"/>
        </w:rPr>
      </w:pPr>
    </w:p>
    <w:p>
      <w:pPr>
        <w:ind w:firstLine="464"/>
        <w:spacing w:after="0" w:line="259" w:lineRule="auto"/>
        <w:tabs>
          <w:tab w:leader="none" w:pos="7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78" w:lineRule="exact"/>
        <w:rPr>
          <w:rFonts w:ascii="Arial" w:cs="Arial" w:eastAsia="Arial" w:hAnsi="Arial"/>
          <w:sz w:val="18"/>
          <w:szCs w:val="18"/>
          <w:color w:val="auto"/>
        </w:rPr>
      </w:pPr>
    </w:p>
    <w:p>
      <w:pPr>
        <w:ind w:right="100" w:firstLine="464"/>
        <w:spacing w:after="0" w:line="255"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5" w:lineRule="exact"/>
        <w:rPr>
          <w:rFonts w:ascii="Arial" w:cs="Arial" w:eastAsia="Arial" w:hAnsi="Arial"/>
          <w:sz w:val="18"/>
          <w:szCs w:val="18"/>
          <w:color w:val="auto"/>
        </w:rPr>
      </w:pPr>
    </w:p>
    <w:p>
      <w:pPr>
        <w:ind w:right="80" w:firstLine="464"/>
        <w:spacing w:after="0" w:line="259" w:lineRule="auto"/>
        <w:tabs>
          <w:tab w:leader="none" w:pos="7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firstLine="464"/>
        <w:spacing w:after="0" w:line="297" w:lineRule="auto"/>
        <w:tabs>
          <w:tab w:leader="none" w:pos="6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50" w:lineRule="exact"/>
        <w:rPr>
          <w:rFonts w:ascii="Arial" w:cs="Arial" w:eastAsia="Arial" w:hAnsi="Arial"/>
          <w:sz w:val="16"/>
          <w:szCs w:val="16"/>
          <w:color w:val="auto"/>
        </w:rPr>
      </w:pPr>
    </w:p>
    <w:p>
      <w:pPr>
        <w:ind w:right="60" w:firstLine="464"/>
        <w:spacing w:after="0" w:line="308" w:lineRule="auto"/>
        <w:tabs>
          <w:tab w:leader="none" w:pos="71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38" w:lineRule="exact"/>
        <w:rPr>
          <w:rFonts w:ascii="Arial" w:cs="Arial" w:eastAsia="Arial" w:hAnsi="Arial"/>
          <w:sz w:val="17"/>
          <w:szCs w:val="17"/>
          <w:color w:val="auto"/>
        </w:rPr>
      </w:pPr>
    </w:p>
    <w:p>
      <w:pPr>
        <w:ind w:left="720" w:hanging="256"/>
        <w:spacing w:after="0"/>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 Trustee.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Deposited Money and Government Obligations to Be Held in Trust; Other Miscellaneous Provisions</w:t>
      </w:r>
      <w:r>
        <w:rPr>
          <w:rFonts w:ascii="Arial" w:cs="Arial" w:eastAsia="Arial" w:hAnsi="Arial"/>
          <w:sz w:val="16"/>
          <w:szCs w:val="16"/>
          <w:color w:val="auto"/>
        </w:rPr>
        <w:t>. Subject to the provisions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last paragraph of Section 1003, all money and Government Obligations (or other property as may be provided pursuant to Section 301)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thereof) deposited with the Trustee (or other qualifying trustee, collectively for purposes of this Section 1405, the “Trustee”)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1404 in respect of any Outstanding Securities of any series and any coupons appertaining thereto shall be held in trust and applied by the Trustee,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provisions of such Securities and any coupons appertaining thereto and this Indenture, to the payment, either directly or through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Paying Agent (including the Company acting as its own Paying Agent) as the Trustee may determine, to the Holders of such Securities and any coupons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appertaining thereto of all sums due and to become due thereon in respect of principal (and premium or Make-Whole Amount, if any) and interest, but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money need not be segregated from other funds except to the extent required by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FIFTEEN—MEETINGS OF HOLDERS OF SECURITIES</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6" w:lineRule="exact"/>
        <w:rPr>
          <w:rFonts w:ascii="Arial" w:cs="Arial" w:eastAsia="Arial" w:hAnsi="Arial"/>
          <w:sz w:val="18"/>
          <w:szCs w:val="18"/>
          <w:color w:val="auto"/>
        </w:rPr>
      </w:pPr>
    </w:p>
    <w:p>
      <w:pPr>
        <w:ind w:right="40" w:firstLine="464"/>
        <w:spacing w:after="0" w:line="293" w:lineRule="auto"/>
        <w:tabs>
          <w:tab w:leader="none" w:pos="71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1120" w:hanging="217"/>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ind w:left="460" w:right="180" w:firstLine="443"/>
        <w:spacing w:after="0" w:line="264" w:lineRule="auto"/>
        <w:tabs>
          <w:tab w:leader="none" w:pos="11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312" w:lineRule="auto"/>
        <w:tabs>
          <w:tab w:leader="none" w:pos="70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73" w:lineRule="exact"/>
        <w:rPr>
          <w:sz w:val="20"/>
          <w:szCs w:val="20"/>
          <w:color w:val="auto"/>
        </w:rPr>
      </w:pPr>
    </w:p>
    <w:p>
      <w:pPr>
        <w:ind w:right="320" w:firstLine="464"/>
        <w:spacing w:after="0" w:line="302" w:lineRule="auto"/>
        <w:tabs>
          <w:tab w:leader="none" w:pos="71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right="180" w:firstLine="464"/>
        <w:spacing w:after="0" w:line="259"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SIXTEEN—CONVERSION OF SECURITIES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u w:val="single" w:color="auto"/>
          <w:color w:val="auto"/>
        </w:rPr>
        <w:t>Applicability of Article; Conversion Privilege and Conversion Price</w:t>
      </w:r>
      <w:r>
        <w:rPr>
          <w:rFonts w:ascii="Arial" w:cs="Arial" w:eastAsia="Arial" w:hAnsi="Arial"/>
          <w:sz w:val="17"/>
          <w:szCs w:val="17"/>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8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Exercise of Conversion Privilege</w:t>
      </w:r>
      <w:r>
        <w:rPr>
          <w:rFonts w:ascii="Arial" w:cs="Arial" w:eastAsia="Arial" w:hAnsi="Arial"/>
          <w:sz w:val="17"/>
          <w:szCs w:val="17"/>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117" w:lineRule="exact"/>
        <w:rPr>
          <w:sz w:val="20"/>
          <w:szCs w:val="20"/>
          <w:color w:val="auto"/>
        </w:rPr>
      </w:pPr>
    </w:p>
    <w:p>
      <w:pPr>
        <w:ind w:right="160" w:firstLine="464"/>
        <w:spacing w:after="0" w:line="270" w:lineRule="auto"/>
        <w:tabs>
          <w:tab w:leader="none" w:pos="71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69" w:lineRule="exact"/>
        <w:rPr>
          <w:rFonts w:ascii="Arial" w:cs="Arial" w:eastAsia="Arial" w:hAnsi="Arial"/>
          <w:sz w:val="17"/>
          <w:szCs w:val="17"/>
          <w:color w:val="auto"/>
        </w:rPr>
      </w:pPr>
    </w:p>
    <w:p>
      <w:pPr>
        <w:ind w:firstLine="464"/>
        <w:spacing w:after="0" w:line="283" w:lineRule="auto"/>
        <w:tabs>
          <w:tab w:leader="none" w:pos="71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of this Section 1604) of the Common Stock of the Company on the Rights Record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55" w:lineRule="auto"/>
        <w:tabs>
          <w:tab w:leader="none" w:pos="7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85" w:lineRule="exact"/>
        <w:rPr>
          <w:rFonts w:ascii="Arial" w:cs="Arial" w:eastAsia="Arial" w:hAnsi="Arial"/>
          <w:sz w:val="18"/>
          <w:szCs w:val="18"/>
          <w:color w:val="auto"/>
        </w:rPr>
      </w:pPr>
    </w:p>
    <w:p>
      <w:pPr>
        <w:ind w:firstLine="464"/>
        <w:spacing w:after="0" w:line="283" w:lineRule="auto"/>
        <w:tabs>
          <w:tab w:leader="none" w:pos="71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w:t>
      </w:r>
    </w:p>
    <w:p>
      <w:pPr>
        <w:spacing w:after="0" w:line="5"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84" w:lineRule="exact"/>
        <w:rPr>
          <w:rFonts w:ascii="Arial" w:cs="Arial" w:eastAsia="Arial" w:hAnsi="Arial"/>
          <w:sz w:val="16"/>
          <w:szCs w:val="16"/>
          <w:color w:val="auto"/>
        </w:rPr>
      </w:pPr>
    </w:p>
    <w:p>
      <w:pPr>
        <w:ind w:left="720" w:hanging="256"/>
        <w:spacing w:after="0"/>
        <w:tabs>
          <w:tab w:leader="none" w:pos="7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may, but shall not be required to, make such reductions in the Conversion Price, in addition to those required by paragraphs (1), (2),</w:t>
      </w:r>
    </w:p>
    <w:p>
      <w:pPr>
        <w:spacing w:after="0" w:line="46" w:lineRule="exact"/>
        <w:rPr>
          <w:rFonts w:ascii="Arial" w:cs="Arial" w:eastAsia="Arial" w:hAnsi="Arial"/>
          <w:sz w:val="16"/>
          <w:szCs w:val="16"/>
          <w:color w:val="auto"/>
        </w:rPr>
      </w:pPr>
    </w:p>
    <w:p>
      <w:pPr>
        <w:ind w:right="120"/>
        <w:spacing w:after="0" w:line="254" w:lineRule="auto"/>
        <w:rPr>
          <w:rFonts w:ascii="Arial" w:cs="Arial" w:eastAsia="Arial" w:hAnsi="Arial"/>
          <w:sz w:val="16"/>
          <w:szCs w:val="16"/>
          <w:color w:val="auto"/>
        </w:rPr>
      </w:pPr>
      <w:r>
        <w:rPr>
          <w:rFonts w:ascii="Arial" w:cs="Arial" w:eastAsia="Arial" w:hAnsi="Arial"/>
          <w:sz w:val="18"/>
          <w:szCs w:val="18"/>
          <w:color w:val="auto"/>
        </w:rPr>
        <w:t>(3),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81" w:lineRule="exact"/>
        <w:rPr>
          <w:rFonts w:ascii="Arial" w:cs="Arial" w:eastAsia="Arial" w:hAnsi="Arial"/>
          <w:sz w:val="16"/>
          <w:szCs w:val="16"/>
          <w:color w:val="auto"/>
        </w:rPr>
      </w:pPr>
    </w:p>
    <w:p>
      <w:pPr>
        <w:ind w:right="60" w:firstLine="464"/>
        <w:spacing w:after="0" w:line="269" w:lineRule="auto"/>
        <w:tabs>
          <w:tab w:leader="none" w:pos="71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64"/>
        <w:spacing w:after="0" w:line="264" w:lineRule="auto"/>
        <w:tabs>
          <w:tab w:leader="none" w:pos="7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73"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adjustment in the Conversion Price shall be required unless such adjustment would require an increase or decrease of at least 1% in the Conversion Price; provided, however,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78" w:lineRule="exact"/>
        <w:rPr>
          <w:rFonts w:ascii="Arial" w:cs="Arial" w:eastAsia="Arial" w:hAnsi="Arial"/>
          <w:sz w:val="18"/>
          <w:szCs w:val="18"/>
          <w:color w:val="auto"/>
        </w:rPr>
      </w:pPr>
    </w:p>
    <w:p>
      <w:pPr>
        <w:ind w:firstLine="464"/>
        <w:spacing w:after="0" w:line="276" w:lineRule="auto"/>
        <w:tabs>
          <w:tab w:leader="none" w:pos="7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64" w:lineRule="exact"/>
        <w:rPr>
          <w:rFonts w:ascii="Arial" w:cs="Arial" w:eastAsia="Arial" w:hAnsi="Arial"/>
          <w:sz w:val="17"/>
          <w:szCs w:val="17"/>
          <w:color w:val="auto"/>
        </w:rPr>
      </w:pPr>
    </w:p>
    <w:p>
      <w:pPr>
        <w:ind w:right="60" w:firstLine="464"/>
        <w:spacing w:after="0" w:line="279" w:lineRule="auto"/>
        <w:tabs>
          <w:tab w:leader="none" w:pos="80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1604,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63" w:lineRule="exact"/>
        <w:rPr>
          <w:rFonts w:ascii="Arial" w:cs="Arial" w:eastAsia="Arial" w:hAnsi="Arial"/>
          <w:sz w:val="17"/>
          <w:szCs w:val="17"/>
          <w:color w:val="auto"/>
        </w:rPr>
      </w:pPr>
    </w:p>
    <w:p>
      <w:pPr>
        <w:ind w:right="60" w:firstLine="464"/>
        <w:spacing w:after="0" w:line="289" w:lineRule="auto"/>
        <w:tabs>
          <w:tab w:leader="none" w:pos="7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event that this Article Sixteen requires adjustments to the Conversion Price under more than one of paragraphs (1), (2), (3) or (4) 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117" w:lineRule="exact"/>
        <w:rPr>
          <w:sz w:val="20"/>
          <w:szCs w:val="20"/>
          <w:color w:val="auto"/>
        </w:rPr>
      </w:pPr>
    </w:p>
    <w:p>
      <w:pPr>
        <w:ind w:right="280" w:firstLine="464"/>
        <w:spacing w:after="0" w:line="259" w:lineRule="auto"/>
        <w:tabs>
          <w:tab w:leader="none" w:pos="7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78" w:lineRule="exact"/>
        <w:rPr>
          <w:rFonts w:ascii="Arial" w:cs="Arial" w:eastAsia="Arial" w:hAnsi="Arial"/>
          <w:sz w:val="18"/>
          <w:szCs w:val="18"/>
          <w:color w:val="auto"/>
        </w:rPr>
      </w:pPr>
    </w:p>
    <w:p>
      <w:pPr>
        <w:jc w:val="both"/>
        <w:ind w:right="240" w:firstLine="464"/>
        <w:spacing w:after="0" w:line="264" w:lineRule="auto"/>
        <w:tabs>
          <w:tab w:leader="none" w:pos="7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 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117" w:lineRule="exact"/>
        <w:rPr>
          <w:sz w:val="20"/>
          <w:szCs w:val="20"/>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take any action that would require a Conversion Price adjustment pursuant to Section 1604 or Section 1611; or</w:t>
      </w:r>
    </w:p>
    <w:p>
      <w:pPr>
        <w:spacing w:after="0" w:line="117" w:lineRule="exact"/>
        <w:rPr>
          <w:rFonts w:ascii="Arial" w:cs="Arial" w:eastAsia="Arial" w:hAnsi="Arial"/>
          <w:sz w:val="18"/>
          <w:szCs w:val="18"/>
          <w:color w:val="auto"/>
        </w:rPr>
      </w:pPr>
    </w:p>
    <w:p>
      <w:pPr>
        <w:jc w:val="both"/>
        <w:ind w:right="240" w:firstLine="464"/>
        <w:spacing w:after="0" w:line="264" w:lineRule="auto"/>
        <w:tabs>
          <w:tab w:leader="none" w:pos="7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73" w:lineRule="exact"/>
        <w:rPr>
          <w:rFonts w:ascii="Arial" w:cs="Arial" w:eastAsia="Arial" w:hAnsi="Arial"/>
          <w:sz w:val="18"/>
          <w:szCs w:val="18"/>
          <w:color w:val="auto"/>
        </w:rPr>
      </w:pPr>
    </w:p>
    <w:p>
      <w:pPr>
        <w:ind w:right="40" w:firstLine="464"/>
        <w:spacing w:after="0" w:line="253" w:lineRule="auto"/>
        <w:tabs>
          <w:tab w:leader="none" w:pos="7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9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Covenants as to Common Stock</w:t>
      </w:r>
      <w:r>
        <w:rPr>
          <w:rFonts w:ascii="Arial" w:cs="Arial" w:eastAsia="Arial" w:hAnsi="Arial"/>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If any of the following shall occur, namely:</w:t>
      </w:r>
    </w:p>
    <w:p>
      <w:pPr>
        <w:spacing w:after="0" w:line="35" w:lineRule="exact"/>
        <w:rPr>
          <w:sz w:val="20"/>
          <w:szCs w:val="20"/>
          <w:color w:val="auto"/>
        </w:rPr>
      </w:pPr>
    </w:p>
    <w:p>
      <w:pPr>
        <w:ind w:right="220" w:firstLine="8"/>
        <w:spacing w:after="0" w:line="277" w:lineRule="auto"/>
        <w:tabs>
          <w:tab w:leader="none" w:pos="21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59" w:lineRule="exact"/>
        <w:rPr>
          <w:sz w:val="20"/>
          <w:szCs w:val="20"/>
          <w:color w:val="auto"/>
        </w:rPr>
      </w:pPr>
    </w:p>
    <w:p>
      <w:pPr>
        <w:ind w:right="40" w:firstLine="464"/>
        <w:spacing w:after="0" w:line="264"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73" w:lineRule="exact"/>
        <w:rPr>
          <w:rFonts w:ascii="Arial" w:cs="Arial" w:eastAsia="Arial" w:hAnsi="Arial"/>
          <w:sz w:val="18"/>
          <w:szCs w:val="18"/>
          <w:color w:val="auto"/>
        </w:rPr>
      </w:pPr>
    </w:p>
    <w:p>
      <w:pPr>
        <w:ind w:right="80" w:firstLine="464"/>
        <w:spacing w:after="0" w:line="297" w:lineRule="auto"/>
        <w:tabs>
          <w:tab w:leader="none" w:pos="71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78"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u w:val="single" w:color="auto"/>
          <w:color w:val="auto"/>
        </w:rPr>
        <w:t>Trustee Adjustment Disclaimer; Company Determination Final</w:t>
      </w:r>
      <w:r>
        <w:rPr>
          <w:rFonts w:ascii="Arial" w:cs="Arial" w:eastAsia="Arial" w:hAnsi="Arial"/>
          <w:sz w:val="17"/>
          <w:szCs w:val="17"/>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7" w:lineRule="exact"/>
        <w:rPr>
          <w:sz w:val="20"/>
          <w:szCs w:val="20"/>
          <w:color w:val="auto"/>
        </w:rPr>
      </w:pPr>
    </w:p>
    <w:p>
      <w:pPr>
        <w:ind w:right="60" w:firstLine="464"/>
        <w:spacing w:after="0" w:line="312" w:lineRule="auto"/>
        <w:tabs>
          <w:tab w:leader="none" w:pos="71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1614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In the event that, as a result of an adjustment made pursuant to Section 1604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52" w:lineRule="exact"/>
        <w:rPr>
          <w:sz w:val="20"/>
          <w:szCs w:val="20"/>
          <w:color w:val="auto"/>
        </w:rPr>
      </w:pPr>
    </w:p>
    <w:p>
      <w:pPr>
        <w:ind w:left="10260"/>
        <w:spacing w:after="0"/>
        <w:rPr>
          <w:sz w:val="20"/>
          <w:szCs w:val="20"/>
          <w:color w:val="auto"/>
        </w:rPr>
      </w:pPr>
      <w:r>
        <w:rPr>
          <w:rFonts w:ascii="Arial" w:cs="Arial" w:eastAsia="Arial" w:hAnsi="Arial"/>
          <w:sz w:val="17"/>
          <w:szCs w:val="17"/>
          <w:color w:val="auto"/>
        </w:rPr>
        <w:t>ZAFGEN,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-130810</wp:posOffset>
            </wp:positionV>
            <wp:extent cx="25641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-130810</wp:posOffset>
            </wp:positionV>
            <wp:extent cx="25641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REDEEMABLE OR NON-REDEEMABLE SENIOR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8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an Original Issue Discount Security, insert</w:t>
      </w:r>
      <w:r>
        <w:rPr>
          <w:rFonts w:ascii="Arial" w:cs="Arial" w:eastAsia="Arial" w:hAnsi="Arial"/>
          <w:sz w:val="18"/>
          <w:szCs w:val="18"/>
          <w:color w:val="auto"/>
        </w:rPr>
        <w:t>—FOR PURPOSES OF SECTION 1273 and 1275 OF THE UNITED STATES INTERNAL REVENUE CODE, THE AMOUNT OF ORIGINAL ISSUE DISCOUNT ON THIS SECURITY IS % OF ITS PRINCIPAL AMOUNT, THE ISSUE DATE IS , 20 , AND THE YIELD TO MATURITY IS %. THE METHOD USED TO DETERMINE THE AMOUNT OF ORIGINAL ISSUE DISCOUNT APPLICABLE TO THE SHORT ACCRUAL PERIOD OF , 20 TO , 20 , IS % OF THE PRINCIPAL AMOUNT OF THIS SECURITY.]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[Designation of Series]</w:t>
      </w:r>
    </w:p>
    <w:p>
      <w:pPr>
        <w:sectPr>
          <w:pgSz w:w="11900" w:h="16838" w:orient="portrait"/>
          <w:cols w:equalWidth="0" w:num="1">
            <w:col w:w="11420"/>
          </w:cols>
          <w:pgMar w:left="240" w:top="459"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10620" w:space="720"/>
            <w:col w:w="80"/>
          </w:cols>
          <w:pgMar w:left="240" w:top="45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CUSIP No.</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ZAFGEN, INC., a Delaware corporation (herein referred to as the “Company,” which term includes any successor corporation under the Indenture referred to</w:t>
      </w:r>
    </w:p>
    <w:p>
      <w:pPr>
        <w:spacing w:after="0" w:line="46" w:lineRule="exact"/>
        <w:rPr>
          <w:sz w:val="20"/>
          <w:szCs w:val="20"/>
          <w:color w:val="auto"/>
        </w:rPr>
      </w:pPr>
    </w:p>
    <w:p>
      <w:pPr>
        <w:spacing w:after="0"/>
        <w:tabs>
          <w:tab w:leader="none" w:pos="5900" w:val="left"/>
          <w:tab w:leader="none" w:pos="7040" w:val="left"/>
          <w:tab w:leader="none" w:pos="10240" w:val="left"/>
        </w:tabs>
        <w:rPr>
          <w:sz w:val="20"/>
          <w:szCs w:val="20"/>
          <w:color w:val="auto"/>
        </w:rPr>
      </w:pPr>
      <w:r>
        <w:rPr>
          <w:rFonts w:ascii="Arial" w:cs="Arial" w:eastAsia="Arial" w:hAnsi="Arial"/>
          <w:sz w:val="18"/>
          <w:szCs w:val="18"/>
          <w:color w:val="auto"/>
        </w:rPr>
        <w:t>on the reverse hereof), for value received, hereby promises to pay to</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registered assigns the principal sum of</w:t>
      </w:r>
      <w:r>
        <w:rPr>
          <w:sz w:val="20"/>
          <w:szCs w:val="20"/>
          <w:color w:val="auto"/>
        </w:rPr>
        <w:tab/>
      </w:r>
      <w:r>
        <w:rPr>
          <w:rFonts w:ascii="Arial" w:cs="Arial" w:eastAsia="Arial" w:hAnsi="Arial"/>
          <w:sz w:val="16"/>
          <w:szCs w:val="16"/>
          <w:color w:val="auto"/>
        </w:rPr>
        <w:t>Dollars on</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(the “Stated Maturity Date”) [or </w:t>
      </w:r>
      <w:r>
        <w:rPr>
          <w:rFonts w:ascii="Arial" w:cs="Arial" w:eastAsia="Arial" w:hAnsi="Arial"/>
          <w:sz w:val="16"/>
          <w:szCs w:val="16"/>
          <w:u w:val="single" w:color="auto"/>
          <w:color w:val="auto"/>
        </w:rPr>
        <w:t>insert date fixed for earlier redemption</w:t>
      </w:r>
      <w:r>
        <w:rPr>
          <w:rFonts w:ascii="Arial" w:cs="Arial" w:eastAsia="Arial" w:hAnsi="Arial"/>
          <w:sz w:val="16"/>
          <w:szCs w:val="16"/>
          <w:color w:val="auto"/>
        </w:rPr>
        <w:t xml:space="preserve"> (the “Redemption Date,” and together with the Stated Maturity Date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principal repayable on such date, the “Maturity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5"/>
          </w:tcPr>
          <w:p>
            <w:pPr>
              <w:spacing w:after="0"/>
              <w:rPr>
                <w:sz w:val="20"/>
                <w:szCs w:val="20"/>
                <w:color w:val="auto"/>
              </w:rPr>
            </w:pPr>
            <w:r>
              <w:rPr>
                <w:rFonts w:ascii="Arial" w:cs="Arial" w:eastAsia="Arial" w:hAnsi="Arial"/>
                <w:sz w:val="18"/>
                <w:szCs w:val="18"/>
                <w:color w:val="auto"/>
                <w:w w:val="95"/>
              </w:rPr>
              <w:t>[If the Security is to bear interest prior to Maturity, insert—and to pay interest thereon from</w:t>
            </w:r>
          </w:p>
        </w:tc>
        <w:tc>
          <w:tcPr>
            <w:tcW w:w="4540" w:type="dxa"/>
            <w:vAlign w:val="bottom"/>
          </w:tcPr>
          <w:p>
            <w:pPr>
              <w:ind w:left="720"/>
              <w:spacing w:after="0"/>
              <w:rPr>
                <w:sz w:val="20"/>
                <w:szCs w:val="20"/>
                <w:color w:val="auto"/>
              </w:rPr>
            </w:pPr>
            <w:r>
              <w:rPr>
                <w:rFonts w:ascii="Arial" w:cs="Arial" w:eastAsia="Arial" w:hAnsi="Arial"/>
                <w:sz w:val="18"/>
                <w:szCs w:val="18"/>
                <w:color w:val="auto"/>
                <w:w w:val="97"/>
              </w:rPr>
              <w:t>or from the most recent Interest Payment Date to</w:t>
            </w:r>
          </w:p>
        </w:tc>
      </w:tr>
      <w:tr>
        <w:trPr>
          <w:trHeight w:val="20"/>
        </w:trPr>
        <w:tc>
          <w:tcPr>
            <w:tcW w:w="60" w:type="dxa"/>
            <w:vAlign w:val="bottom"/>
          </w:tcPr>
          <w:p>
            <w:pPr>
              <w:spacing w:after="0" w:line="20" w:lineRule="exact"/>
              <w:rPr>
                <w:sz w:val="1"/>
                <w:szCs w:val="1"/>
                <w:color w:val="auto"/>
              </w:rPr>
            </w:pPr>
          </w:p>
        </w:tc>
        <w:tc>
          <w:tcPr>
            <w:tcW w:w="406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which interest has been paid or duly provided for, semi-annually on</w:t>
            </w:r>
          </w:p>
        </w:tc>
        <w:tc>
          <w:tcPr>
            <w:tcW w:w="1500" w:type="dxa"/>
            <w:vAlign w:val="bottom"/>
          </w:tcPr>
          <w:p>
            <w:pPr>
              <w:ind w:left="500"/>
              <w:spacing w:after="0"/>
              <w:rPr>
                <w:sz w:val="20"/>
                <w:szCs w:val="20"/>
                <w:color w:val="auto"/>
              </w:rPr>
            </w:pPr>
            <w:r>
              <w:rPr>
                <w:rFonts w:ascii="Arial" w:cs="Arial" w:eastAsia="Arial" w:hAnsi="Arial"/>
                <w:sz w:val="18"/>
                <w:szCs w:val="18"/>
                <w:color w:val="auto"/>
              </w:rPr>
              <w:t>and</w:t>
            </w:r>
          </w:p>
        </w:tc>
        <w:tc>
          <w:tcPr>
            <w:tcW w:w="4540" w:type="dxa"/>
            <w:vAlign w:val="bottom"/>
          </w:tcPr>
          <w:p>
            <w:pPr>
              <w:ind w:left="260"/>
              <w:spacing w:after="0"/>
              <w:rPr>
                <w:sz w:val="20"/>
                <w:szCs w:val="20"/>
                <w:color w:val="auto"/>
              </w:rPr>
            </w:pPr>
            <w:r>
              <w:rPr>
                <w:rFonts w:ascii="Arial" w:cs="Arial" w:eastAsia="Arial" w:hAnsi="Arial"/>
                <w:sz w:val="18"/>
                <w:szCs w:val="18"/>
                <w:color w:val="auto"/>
              </w:rPr>
              <w:t>in each year (each, an “Interest Payment Date”),</w:t>
            </w: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commencing</w:t>
            </w:r>
          </w:p>
        </w:tc>
        <w:tc>
          <w:tcPr>
            <w:tcW w:w="9980" w:type="dxa"/>
            <w:vAlign w:val="bottom"/>
            <w:gridSpan w:val="4"/>
          </w:tcPr>
          <w:p>
            <w:pPr>
              <w:ind w:left="460"/>
              <w:spacing w:after="0"/>
              <w:rPr>
                <w:sz w:val="20"/>
                <w:szCs w:val="20"/>
                <w:color w:val="auto"/>
              </w:rPr>
            </w:pPr>
            <w:r>
              <w:rPr>
                <w:rFonts w:ascii="Arial" w:cs="Arial" w:eastAsia="Arial" w:hAnsi="Arial"/>
                <w:sz w:val="18"/>
                <w:szCs w:val="18"/>
                <w:color w:val="auto"/>
                <w:w w:val="91"/>
              </w:rPr>
              <w:t>, at the rate of   % per annum, until the principal hereof is paid or duly provided for. The interest so payable, and punctually paid or</w:t>
            </w:r>
          </w:p>
        </w:tc>
      </w:tr>
    </w:tbl>
    <w:p>
      <w:pPr>
        <w:spacing w:after="0"/>
        <w:rPr>
          <w:sz w:val="20"/>
          <w:szCs w:val="20"/>
          <w:color w:val="auto"/>
        </w:rPr>
      </w:pPr>
      <w:r>
        <w:rPr>
          <w:rFonts w:ascii="Arial" w:cs="Arial" w:eastAsia="Arial" w:hAnsi="Arial"/>
          <w:sz w:val="17"/>
          <w:szCs w:val="17"/>
          <w:color w:val="auto"/>
        </w:rPr>
        <w:t>duly provided for, on any Interest Payment Date will, as provided in such Indenture, be paid to the Holder in whose name this Security (or one or more</w:t>
      </w:r>
    </w:p>
    <w:p>
      <w:pPr>
        <w:spacing w:after="0" w:line="2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Predecessor Securities) is registered at the close of business on the Regular Record Date for such interest, which shall be the</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(whether or not a Business Day), as the case may be, next preceding such Interest Payment Date [at the office or agency of the Company maintained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the Security is not to bear interest prior to Maturity, insert</w:t>
      </w:r>
      <w:r>
        <w:rPr>
          <w:rFonts w:ascii="Arial" w:cs="Arial" w:eastAsia="Arial" w:hAnsi="Arial"/>
          <w:sz w:val="17"/>
          <w:szCs w:val="17"/>
          <w:color w:val="auto"/>
        </w:rPr>
        <w:t>—The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ind w:right="340"/>
        <w:spacing w:after="0" w:line="261"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4"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spacing w:after="0" w:line="288" w:lineRule="auto"/>
        <w:rPr>
          <w:sz w:val="20"/>
          <w:szCs w:val="20"/>
          <w:color w:val="auto"/>
        </w:rPr>
      </w:pPr>
      <w:r>
        <w:rPr>
          <w:rFonts w:ascii="Arial" w:cs="Arial" w:eastAsia="Arial" w:hAnsi="Arial"/>
          <w:sz w:val="16"/>
          <w:szCs w:val="16"/>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ZAFGEN,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459" w:right="1440"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Indenture, dated as of , 20 (herein called the “Indenture”) between the Company and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—and the aggregate principal</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13"/>
          </w:tcPr>
          <w:p>
            <w:pPr>
              <w:spacing w:after="0"/>
              <w:rPr>
                <w:sz w:val="20"/>
                <w:szCs w:val="20"/>
                <w:color w:val="auto"/>
              </w:rPr>
            </w:pPr>
            <w:r>
              <w:rPr>
                <w:rFonts w:ascii="Arial" w:cs="Arial" w:eastAsia="Arial" w:hAnsi="Arial"/>
                <w:sz w:val="18"/>
                <w:szCs w:val="18"/>
                <w:color w:val="auto"/>
                <w:w w:val="97"/>
              </w:rPr>
              <w:t>[If applicable, insert—The Securities may not be redeemed prior to the Stated Maturity Date.]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7240" w:type="dxa"/>
            <w:vAlign w:val="bottom"/>
            <w:gridSpan w:val="13"/>
          </w:tcPr>
          <w:p>
            <w:pPr>
              <w:spacing w:after="0"/>
              <w:rPr>
                <w:sz w:val="20"/>
                <w:szCs w:val="20"/>
                <w:color w:val="auto"/>
              </w:rPr>
            </w:pPr>
            <w:r>
              <w:rPr>
                <w:rFonts w:ascii="Arial" w:cs="Arial" w:eastAsia="Arial" w:hAnsi="Arial"/>
                <w:sz w:val="18"/>
                <w:szCs w:val="18"/>
                <w:color w:val="auto"/>
                <w:w w:val="99"/>
              </w:rPr>
              <w:t>[If applicable, insert—The Securities are subject to redemption [ (l) (If applicable, insert—on</w:t>
            </w:r>
          </w:p>
        </w:tc>
        <w:tc>
          <w:tcPr>
            <w:tcW w:w="400" w:type="dxa"/>
            <w:vAlign w:val="bottom"/>
          </w:tcPr>
          <w:p>
            <w:pPr>
              <w:spacing w:after="0"/>
              <w:rPr>
                <w:sz w:val="24"/>
                <w:szCs w:val="24"/>
                <w:color w:val="auto"/>
              </w:rPr>
            </w:pPr>
          </w:p>
        </w:tc>
        <w:tc>
          <w:tcPr>
            <w:tcW w:w="3280" w:type="dxa"/>
            <w:vAlign w:val="bottom"/>
            <w:gridSpan w:val="6"/>
          </w:tcPr>
          <w:p>
            <w:pPr>
              <w:ind w:left="80"/>
              <w:spacing w:after="0"/>
              <w:rPr>
                <w:sz w:val="20"/>
                <w:szCs w:val="20"/>
                <w:color w:val="auto"/>
              </w:rPr>
            </w:pPr>
            <w:r>
              <w:rPr>
                <w:rFonts w:ascii="Arial" w:cs="Arial" w:eastAsia="Arial" w:hAnsi="Arial"/>
                <w:sz w:val="18"/>
                <w:szCs w:val="18"/>
                <w:color w:val="auto"/>
              </w:rPr>
              <w:t>in any year commencing with the year</w:t>
            </w:r>
          </w:p>
        </w:tc>
        <w:tc>
          <w:tcPr>
            <w:tcW w:w="460" w:type="dxa"/>
            <w:vAlign w:val="bottom"/>
            <w:gridSpan w:val="2"/>
          </w:tcPr>
          <w:p>
            <w:pPr>
              <w:spacing w:after="0"/>
              <w:rPr>
                <w:sz w:val="20"/>
                <w:szCs w:val="20"/>
                <w:color w:val="auto"/>
              </w:rPr>
            </w:pPr>
            <w:r>
              <w:rPr>
                <w:rFonts w:ascii="Arial" w:cs="Arial" w:eastAsia="Arial" w:hAnsi="Arial"/>
                <w:sz w:val="18"/>
                <w:szCs w:val="18"/>
                <w:color w:val="auto"/>
              </w:rPr>
              <w:t>and</w:t>
            </w:r>
          </w:p>
        </w:tc>
      </w:tr>
      <w:tr>
        <w:trPr>
          <w:trHeight w:val="20"/>
        </w:trPr>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60" w:type="dxa"/>
            <w:vAlign w:val="bottom"/>
            <w:gridSpan w:val="5"/>
          </w:tcPr>
          <w:p>
            <w:pPr>
              <w:spacing w:after="0" w:line="196" w:lineRule="exact"/>
              <w:rPr>
                <w:sz w:val="20"/>
                <w:szCs w:val="20"/>
                <w:color w:val="auto"/>
              </w:rPr>
            </w:pPr>
            <w:r>
              <w:rPr>
                <w:rFonts w:ascii="Arial" w:cs="Arial" w:eastAsia="Arial" w:hAnsi="Arial"/>
                <w:sz w:val="18"/>
                <w:szCs w:val="18"/>
                <w:color w:val="auto"/>
              </w:rPr>
              <w:t>ending with the year</w:t>
            </w:r>
          </w:p>
        </w:tc>
        <w:tc>
          <w:tcPr>
            <w:tcW w:w="9520" w:type="dxa"/>
            <w:vAlign w:val="bottom"/>
            <w:gridSpan w:val="17"/>
          </w:tcPr>
          <w:p>
            <w:pPr>
              <w:ind w:left="80"/>
              <w:spacing w:after="0" w:line="196" w:lineRule="exact"/>
              <w:rPr>
                <w:sz w:val="20"/>
                <w:szCs w:val="20"/>
                <w:color w:val="auto"/>
              </w:rPr>
            </w:pPr>
            <w:r>
              <w:rPr>
                <w:rFonts w:ascii="Arial" w:cs="Arial" w:eastAsia="Arial" w:hAnsi="Arial"/>
                <w:sz w:val="18"/>
                <w:szCs w:val="18"/>
                <w:color w:val="auto"/>
                <w:w w:val="95"/>
              </w:rPr>
              <w:t>through operation of the sinking fund for this series at a Redemption Price equal to 100% of the principal amount, and (2) ] [If</w:t>
            </w:r>
          </w:p>
        </w:tc>
      </w:tr>
      <w:tr>
        <w:trPr>
          <w:trHeight w:val="20"/>
        </w:trPr>
        <w:tc>
          <w:tcPr>
            <w:tcW w:w="124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380" w:type="dxa"/>
            <w:vAlign w:val="bottom"/>
            <w:gridSpan w:val="6"/>
          </w:tcPr>
          <w:p>
            <w:pPr>
              <w:spacing w:after="0" w:line="196" w:lineRule="exact"/>
              <w:rPr>
                <w:sz w:val="20"/>
                <w:szCs w:val="20"/>
                <w:color w:val="auto"/>
              </w:rPr>
            </w:pPr>
            <w:r>
              <w:rPr>
                <w:rFonts w:ascii="Arial" w:cs="Arial" w:eastAsia="Arial" w:hAnsi="Arial"/>
                <w:sz w:val="18"/>
                <w:szCs w:val="18"/>
                <w:color w:val="auto"/>
              </w:rPr>
              <w:t>applicable, insert—at any time [on or after</w:t>
            </w:r>
          </w:p>
        </w:tc>
        <w:tc>
          <w:tcPr>
            <w:tcW w:w="200" w:type="dxa"/>
            <w:vAlign w:val="bottom"/>
          </w:tcPr>
          <w:p>
            <w:pPr>
              <w:spacing w:after="0"/>
              <w:rPr>
                <w:sz w:val="17"/>
                <w:szCs w:val="17"/>
                <w:color w:val="auto"/>
              </w:rPr>
            </w:pPr>
          </w:p>
        </w:tc>
        <w:tc>
          <w:tcPr>
            <w:tcW w:w="7800" w:type="dxa"/>
            <w:vAlign w:val="bottom"/>
            <w:gridSpan w:val="15"/>
          </w:tcPr>
          <w:p>
            <w:pPr>
              <w:ind w:left="440"/>
              <w:spacing w:after="0" w:line="196" w:lineRule="exact"/>
              <w:rPr>
                <w:sz w:val="20"/>
                <w:szCs w:val="20"/>
                <w:color w:val="auto"/>
              </w:rPr>
            </w:pPr>
            <w:r>
              <w:rPr>
                <w:rFonts w:ascii="Arial" w:cs="Arial" w:eastAsia="Arial" w:hAnsi="Arial"/>
                <w:sz w:val="18"/>
                <w:szCs w:val="18"/>
                <w:color w:val="auto"/>
                <w:w w:val="90"/>
              </w:rPr>
              <w:t>], as a whole or in part, at the election of the Company, at the following Redemption Prices (expressed</w:t>
            </w:r>
          </w:p>
        </w:tc>
      </w:tr>
      <w:tr>
        <w:trPr>
          <w:trHeight w:val="20"/>
        </w:trPr>
        <w:tc>
          <w:tcPr>
            <w:tcW w:w="1240" w:type="dxa"/>
            <w:vAlign w:val="bottom"/>
            <w:gridSpan w:val="3"/>
            <w:shd w:val="clear" w:color="auto" w:fill="000000"/>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3380" w:type="dxa"/>
            <w:vAlign w:val="bottom"/>
            <w:gridSpan w:val="6"/>
          </w:tcPr>
          <w:p>
            <w:pPr>
              <w:spacing w:after="0"/>
              <w:rPr>
                <w:sz w:val="20"/>
                <w:szCs w:val="20"/>
                <w:color w:val="auto"/>
              </w:rPr>
            </w:pPr>
            <w:r>
              <w:rPr>
                <w:rFonts w:ascii="Arial" w:cs="Arial" w:eastAsia="Arial" w:hAnsi="Arial"/>
                <w:sz w:val="18"/>
                <w:szCs w:val="18"/>
                <w:color w:val="auto"/>
              </w:rPr>
              <w:t>as percentages of the principal amount):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10"/>
        </w:trPr>
        <w:tc>
          <w:tcPr>
            <w:tcW w:w="1860" w:type="dxa"/>
            <w:vAlign w:val="bottom"/>
            <w:gridSpan w:val="5"/>
          </w:tcPr>
          <w:p>
            <w:pPr>
              <w:spacing w:after="0"/>
              <w:rPr>
                <w:sz w:val="20"/>
                <w:szCs w:val="20"/>
                <w:color w:val="auto"/>
              </w:rPr>
            </w:pPr>
            <w:r>
              <w:rPr>
                <w:rFonts w:ascii="Arial" w:cs="Arial" w:eastAsia="Arial" w:hAnsi="Arial"/>
                <w:sz w:val="18"/>
                <w:szCs w:val="18"/>
                <w:color w:val="auto"/>
                <w:w w:val="92"/>
              </w:rPr>
              <w:t>If redeemed on or before</w:t>
            </w:r>
          </w:p>
        </w:tc>
        <w:tc>
          <w:tcPr>
            <w:tcW w:w="5380" w:type="dxa"/>
            <w:vAlign w:val="bottom"/>
            <w:gridSpan w:val="8"/>
          </w:tcPr>
          <w:p>
            <w:pPr>
              <w:ind w:left="880"/>
              <w:spacing w:after="0"/>
              <w:rPr>
                <w:sz w:val="20"/>
                <w:szCs w:val="20"/>
                <w:color w:val="auto"/>
              </w:rPr>
            </w:pPr>
            <w:r>
              <w:rPr>
                <w:rFonts w:ascii="Arial" w:cs="Arial" w:eastAsia="Arial" w:hAnsi="Arial"/>
                <w:sz w:val="18"/>
                <w:szCs w:val="18"/>
                <w:color w:val="auto"/>
                <w:w w:val="94"/>
              </w:rPr>
              <w:t>,   % and if redeemed during the 12-month period beginning</w:t>
            </w:r>
          </w:p>
        </w:tc>
        <w:tc>
          <w:tcPr>
            <w:tcW w:w="400" w:type="dxa"/>
            <w:vAlign w:val="bottom"/>
          </w:tcPr>
          <w:p>
            <w:pPr>
              <w:spacing w:after="0"/>
              <w:rPr>
                <w:sz w:val="24"/>
                <w:szCs w:val="24"/>
                <w:color w:val="auto"/>
              </w:rPr>
            </w:pPr>
          </w:p>
        </w:tc>
        <w:tc>
          <w:tcPr>
            <w:tcW w:w="3740" w:type="dxa"/>
            <w:vAlign w:val="bottom"/>
            <w:gridSpan w:val="8"/>
          </w:tcPr>
          <w:p>
            <w:pPr>
              <w:ind w:left="520"/>
              <w:spacing w:after="0"/>
              <w:rPr>
                <w:sz w:val="20"/>
                <w:szCs w:val="20"/>
                <w:color w:val="auto"/>
              </w:rPr>
            </w:pPr>
            <w:r>
              <w:rPr>
                <w:rFonts w:ascii="Arial" w:cs="Arial" w:eastAsia="Arial" w:hAnsi="Arial"/>
                <w:sz w:val="18"/>
                <w:szCs w:val="18"/>
                <w:color w:val="auto"/>
                <w:w w:val="99"/>
              </w:rPr>
              <w:t>of the years indicated at the Redemption</w:t>
            </w:r>
          </w:p>
        </w:tc>
      </w:tr>
      <w:tr>
        <w:trPr>
          <w:trHeight w:val="230"/>
        </w:trPr>
        <w:tc>
          <w:tcPr>
            <w:tcW w:w="1860" w:type="dxa"/>
            <w:vAlign w:val="bottom"/>
            <w:gridSpan w:val="5"/>
          </w:tcPr>
          <w:p>
            <w:pPr>
              <w:spacing w:after="0"/>
              <w:rPr>
                <w:sz w:val="20"/>
                <w:szCs w:val="20"/>
                <w:color w:val="auto"/>
              </w:rPr>
            </w:pPr>
            <w:r>
              <w:rPr>
                <w:rFonts w:ascii="Arial" w:cs="Arial" w:eastAsia="Arial" w:hAnsi="Arial"/>
                <w:sz w:val="18"/>
                <w:szCs w:val="18"/>
                <w:color w:val="auto"/>
                <w:w w:val="99"/>
              </w:rPr>
              <w:t>Prices indicated below.</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05"/>
        </w:trPr>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Year</w:t>
            </w:r>
          </w:p>
        </w:tc>
        <w:tc>
          <w:tcPr>
            <w:tcW w:w="20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Redemption Price</w:t>
            </w:r>
          </w:p>
        </w:tc>
        <w:tc>
          <w:tcPr>
            <w:tcW w:w="840" w:type="dxa"/>
            <w:vAlign w:val="bottom"/>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Year</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Redemption Price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88"/>
        </w:trPr>
        <w:tc>
          <w:tcPr>
            <w:tcW w:w="3380" w:type="dxa"/>
            <w:vAlign w:val="bottom"/>
            <w:gridSpan w:val="6"/>
          </w:tcPr>
          <w:p>
            <w:pPr>
              <w:spacing w:after="0"/>
              <w:rPr>
                <w:sz w:val="20"/>
                <w:szCs w:val="20"/>
                <w:color w:val="auto"/>
              </w:rPr>
            </w:pPr>
            <w:r>
              <w:rPr>
                <w:rFonts w:ascii="Arial" w:cs="Arial" w:eastAsia="Arial" w:hAnsi="Arial"/>
                <w:sz w:val="18"/>
                <w:szCs w:val="18"/>
                <w:color w:val="auto"/>
                <w:w w:val="92"/>
              </w:rPr>
              <w:t>and thereafter at a Redemption Price equal to</w:t>
            </w:r>
          </w:p>
        </w:tc>
        <w:tc>
          <w:tcPr>
            <w:tcW w:w="7540" w:type="dxa"/>
            <w:vAlign w:val="bottom"/>
            <w:gridSpan w:val="14"/>
          </w:tcPr>
          <w:p>
            <w:pPr>
              <w:ind w:left="100"/>
              <w:spacing w:after="0"/>
              <w:rPr>
                <w:sz w:val="20"/>
                <w:szCs w:val="20"/>
                <w:color w:val="auto"/>
              </w:rPr>
            </w:pPr>
            <w:r>
              <w:rPr>
                <w:rFonts w:ascii="Arial" w:cs="Arial" w:eastAsia="Arial" w:hAnsi="Arial"/>
                <w:sz w:val="18"/>
                <w:szCs w:val="18"/>
                <w:color w:val="auto"/>
                <w:w w:val="91"/>
              </w:rPr>
              <w:t>% of the principal amount, together in the case of any such redemption [If applicable, insert—(whether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through operation of the sinking fund or otherwise)] with accrued interest to the Redemption Date;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5580" w:type="dxa"/>
            <w:vAlign w:val="bottom"/>
            <w:gridSpan w:val="3"/>
          </w:tcPr>
          <w:p>
            <w:pPr>
              <w:ind w:left="60"/>
              <w:spacing w:after="0"/>
              <w:rPr>
                <w:sz w:val="20"/>
                <w:szCs w:val="20"/>
                <w:color w:val="auto"/>
              </w:rPr>
            </w:pPr>
            <w:r>
              <w:rPr>
                <w:rFonts w:ascii="Arial" w:cs="Arial" w:eastAsia="Arial" w:hAnsi="Arial"/>
                <w:sz w:val="18"/>
                <w:szCs w:val="18"/>
                <w:color w:val="auto"/>
              </w:rPr>
              <w:t>[If applicable, insert—The Securities are subject to redemption (1) on</w:t>
            </w: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w w:val="97"/>
              </w:rPr>
              <w:t>in any year commencing with the year</w:t>
            </w:r>
          </w:p>
        </w:tc>
        <w:tc>
          <w:tcPr>
            <w:tcW w:w="1740" w:type="dxa"/>
            <w:vAlign w:val="bottom"/>
          </w:tcPr>
          <w:p>
            <w:pPr>
              <w:ind w:left="220"/>
              <w:spacing w:after="0"/>
              <w:rPr>
                <w:sz w:val="20"/>
                <w:szCs w:val="20"/>
                <w:color w:val="auto"/>
              </w:rPr>
            </w:pPr>
            <w:r>
              <w:rPr>
                <w:rFonts w:ascii="Arial" w:cs="Arial" w:eastAsia="Arial" w:hAnsi="Arial"/>
                <w:sz w:val="18"/>
                <w:szCs w:val="18"/>
                <w:color w:val="auto"/>
                <w:w w:val="96"/>
              </w:rPr>
              <w:t>and ending with the</w:t>
            </w: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80" w:type="dxa"/>
            <w:vAlign w:val="bottom"/>
            <w:gridSpan w:val="4"/>
          </w:tcPr>
          <w:p>
            <w:pPr>
              <w:spacing w:after="0" w:line="20" w:lineRule="exact"/>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19"/>
                <w:szCs w:val="19"/>
                <w:color w:val="auto"/>
              </w:rPr>
            </w:pPr>
          </w:p>
        </w:tc>
        <w:tc>
          <w:tcPr>
            <w:tcW w:w="10680" w:type="dxa"/>
            <w:vAlign w:val="bottom"/>
            <w:gridSpan w:val="5"/>
          </w:tcPr>
          <w:p>
            <w:pPr>
              <w:ind w:left="240"/>
              <w:spacing w:after="0"/>
              <w:rPr>
                <w:sz w:val="20"/>
                <w:szCs w:val="20"/>
                <w:color w:val="auto"/>
              </w:rPr>
            </w:pPr>
            <w:r>
              <w:rPr>
                <w:rFonts w:ascii="Arial" w:cs="Arial" w:eastAsia="Arial" w:hAnsi="Arial"/>
                <w:sz w:val="18"/>
                <w:szCs w:val="18"/>
                <w:color w:val="auto"/>
                <w:w w:val="90"/>
              </w:rPr>
              <w:t>through operation of the sinking fund for this series at the Redemption Prices for redemption through operation of the sinking fund (expressed as</w:t>
            </w:r>
          </w:p>
        </w:tc>
      </w:tr>
      <w:tr>
        <w:trPr>
          <w:trHeight w:val="230"/>
        </w:trPr>
        <w:tc>
          <w:tcPr>
            <w:tcW w:w="7380" w:type="dxa"/>
            <w:vAlign w:val="bottom"/>
            <w:gridSpan w:val="5"/>
          </w:tcPr>
          <w:p>
            <w:pPr>
              <w:spacing w:after="0"/>
              <w:rPr>
                <w:sz w:val="20"/>
                <w:szCs w:val="20"/>
                <w:color w:val="auto"/>
              </w:rPr>
            </w:pPr>
            <w:r>
              <w:rPr>
                <w:rFonts w:ascii="Arial" w:cs="Arial" w:eastAsia="Arial" w:hAnsi="Arial"/>
                <w:sz w:val="18"/>
                <w:szCs w:val="18"/>
                <w:color w:val="auto"/>
                <w:w w:val="96"/>
              </w:rPr>
              <w:t>percentages of the principal amount) set forth in the table below, and (2) at any time [on or after</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w w:val="95"/>
              </w:rPr>
              <w:t>], as a whole or in part, at the election of the</w:t>
            </w:r>
          </w:p>
        </w:tc>
      </w:tr>
    </w:tbl>
    <w:p>
      <w:pPr>
        <w:spacing w:after="0"/>
        <w:rPr>
          <w:sz w:val="20"/>
          <w:szCs w:val="20"/>
          <w:color w:val="auto"/>
        </w:rPr>
      </w:pPr>
      <w:r>
        <w:rPr>
          <w:rFonts w:ascii="Arial" w:cs="Arial" w:eastAsia="Arial" w:hAnsi="Arial"/>
          <w:sz w:val="16"/>
          <w:szCs w:val="16"/>
          <w:color w:val="auto"/>
        </w:rPr>
        <w:t>Company, at the Redemption Prices for redemption otherwise than through operation of the sinking fund (expressed as percentages of the principal amount)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w w:val="94"/>
              </w:rPr>
              <w:t>set forth in the table below: If redeemed during the 12-month period beginning</w:t>
            </w:r>
          </w:p>
        </w:tc>
        <w:tc>
          <w:tcPr>
            <w:tcW w:w="2940" w:type="dxa"/>
            <w:vAlign w:val="bottom"/>
            <w:gridSpan w:val="2"/>
          </w:tcPr>
          <w:p>
            <w:pPr>
              <w:ind w:left="820"/>
              <w:spacing w:after="0"/>
              <w:rPr>
                <w:sz w:val="20"/>
                <w:szCs w:val="20"/>
                <w:color w:val="auto"/>
              </w:rPr>
            </w:pPr>
            <w:r>
              <w:rPr>
                <w:rFonts w:ascii="Arial" w:cs="Arial" w:eastAsia="Arial" w:hAnsi="Arial"/>
                <w:sz w:val="18"/>
                <w:szCs w:val="18"/>
                <w:color w:val="auto"/>
              </w:rPr>
              <w:t>of the years indicated,</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Redemption Price for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20" w:type="dxa"/>
            <w:vAlign w:val="bottom"/>
            <w:gridSpan w:val="3"/>
          </w:tcPr>
          <w:p>
            <w:pPr>
              <w:jc w:val="center"/>
              <w:ind w:right="1440"/>
              <w:spacing w:after="0" w:line="149" w:lineRule="exact"/>
              <w:rPr>
                <w:sz w:val="20"/>
                <w:szCs w:val="20"/>
                <w:color w:val="auto"/>
              </w:rPr>
            </w:pPr>
            <w:r>
              <w:rPr>
                <w:rFonts w:ascii="Arial" w:cs="Arial" w:eastAsia="Arial" w:hAnsi="Arial"/>
                <w:sz w:val="14"/>
                <w:szCs w:val="14"/>
                <w:color w:val="auto"/>
                <w:w w:val="92"/>
              </w:rPr>
              <w:t>Redemption Price for</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3"/>
              </w:rPr>
              <w:t>Redemption Otherwise Than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280" w:type="dxa"/>
            <w:vAlign w:val="bottom"/>
            <w:vMerge w:val="restart"/>
          </w:tcPr>
          <w:p>
            <w:pPr>
              <w:spacing w:after="0"/>
              <w:rPr>
                <w:sz w:val="20"/>
                <w:szCs w:val="20"/>
                <w:color w:val="auto"/>
              </w:rPr>
            </w:pPr>
            <w:r>
              <w:rPr>
                <w:rFonts w:ascii="Arial" w:cs="Arial" w:eastAsia="Arial" w:hAnsi="Arial"/>
                <w:sz w:val="14"/>
                <w:szCs w:val="14"/>
                <w:color w:val="auto"/>
              </w:rPr>
              <w:t>Year</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2"/>
          </w:tcPr>
          <w:p>
            <w:pPr>
              <w:jc w:val="center"/>
              <w:ind w:right="1720"/>
              <w:spacing w:after="0" w:line="149" w:lineRule="exact"/>
              <w:rPr>
                <w:sz w:val="20"/>
                <w:szCs w:val="20"/>
                <w:color w:val="auto"/>
              </w:rPr>
            </w:pPr>
            <w:r>
              <w:rPr>
                <w:rFonts w:ascii="Arial" w:cs="Arial" w:eastAsia="Arial" w:hAnsi="Arial"/>
                <w:sz w:val="14"/>
                <w:szCs w:val="14"/>
                <w:color w:val="auto"/>
                <w:w w:val="92"/>
              </w:rPr>
              <w:t>Redemption Through</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3"/>
              </w:rPr>
              <w:t>Through Operation of the</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3280" w:type="dxa"/>
            <w:vAlign w:val="bottom"/>
            <w:tcBorders>
              <w:bottom w:val="single" w:sz="8" w:color="auto"/>
            </w:tcBorders>
            <w:vMerge w:val="continue"/>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Operation of the Sinking Fund</w:t>
            </w:r>
          </w:p>
        </w:tc>
        <w:tc>
          <w:tcPr>
            <w:tcW w:w="14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Sinking Fund</w:t>
            </w: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w w:val="92"/>
              </w:rPr>
              <w:t>A-4</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5"/>
          </w:tcPr>
          <w:p>
            <w:pPr>
              <w:ind w:left="460"/>
              <w:spacing w:after="0"/>
              <w:rPr>
                <w:sz w:val="20"/>
                <w:szCs w:val="20"/>
                <w:color w:val="auto"/>
              </w:rPr>
            </w:pPr>
            <w:r>
              <w:rPr>
                <w:rFonts w:ascii="Arial" w:cs="Arial" w:eastAsia="Arial" w:hAnsi="Arial"/>
                <w:sz w:val="18"/>
                <w:szCs w:val="18"/>
                <w:color w:val="auto"/>
              </w:rPr>
              <w:t>[If applicable, insert—Notwithstanding the foregoing, the Company may not, prior to</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 redeem any Securities as contemplated by [Clause</w:t>
            </w:r>
          </w:p>
        </w:tc>
      </w:tr>
      <w:tr>
        <w:trPr>
          <w:trHeight w:val="20"/>
        </w:trPr>
        <w:tc>
          <w:tcPr>
            <w:tcW w:w="52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10940" w:type="dxa"/>
            <w:vAlign w:val="bottom"/>
            <w:gridSpan w:val="6"/>
          </w:tcPr>
          <w:p>
            <w:pPr>
              <w:spacing w:after="0"/>
              <w:rPr>
                <w:sz w:val="20"/>
                <w:szCs w:val="20"/>
                <w:color w:val="auto"/>
              </w:rPr>
            </w:pPr>
            <w:r>
              <w:rPr>
                <w:rFonts w:ascii="Arial" w:cs="Arial" w:eastAsia="Arial" w:hAnsi="Arial"/>
                <w:sz w:val="18"/>
                <w:szCs w:val="18"/>
                <w:color w:val="auto"/>
                <w:w w:val="92"/>
              </w:rPr>
              <w:t>(2) of] the preceding paragraph as a part of, or in anticipation of, any refunding operation by the application, directly or indirectly, of moneys borrowed</w:t>
            </w:r>
          </w:p>
        </w:tc>
        <w:tc>
          <w:tcPr>
            <w:tcW w:w="480" w:type="dxa"/>
            <w:vAlign w:val="bottom"/>
          </w:tcPr>
          <w:p>
            <w:pPr>
              <w:spacing w:after="0"/>
              <w:rPr>
                <w:sz w:val="19"/>
                <w:szCs w:val="19"/>
                <w:color w:val="auto"/>
              </w:rPr>
            </w:pPr>
          </w:p>
        </w:tc>
      </w:tr>
      <w:tr>
        <w:trPr>
          <w:trHeight w:val="230"/>
        </w:trPr>
        <w:tc>
          <w:tcPr>
            <w:tcW w:w="10940" w:type="dxa"/>
            <w:vAlign w:val="bottom"/>
            <w:gridSpan w:val="6"/>
          </w:tcPr>
          <w:p>
            <w:pPr>
              <w:spacing w:after="0"/>
              <w:rPr>
                <w:sz w:val="20"/>
                <w:szCs w:val="20"/>
                <w:color w:val="auto"/>
              </w:rPr>
            </w:pPr>
            <w:r>
              <w:rPr>
                <w:rFonts w:ascii="Arial" w:cs="Arial" w:eastAsia="Arial" w:hAnsi="Arial"/>
                <w:sz w:val="18"/>
                <w:szCs w:val="18"/>
                <w:color w:val="auto"/>
              </w:rPr>
              <w:t>having an interest cost to the Company (calculated in accordance with generally accepted financial practice) of less than   % per annum.]</w:t>
            </w:r>
          </w:p>
        </w:tc>
        <w:tc>
          <w:tcPr>
            <w:tcW w:w="480" w:type="dxa"/>
            <w:vAlign w:val="bottom"/>
          </w:tcPr>
          <w:p>
            <w:pPr>
              <w:spacing w:after="0"/>
              <w:rPr>
                <w:sz w:val="20"/>
                <w:szCs w:val="20"/>
                <w:color w:val="auto"/>
              </w:rPr>
            </w:pPr>
          </w:p>
        </w:tc>
      </w:tr>
      <w:tr>
        <w:trPr>
          <w:trHeight w:val="392"/>
        </w:trPr>
        <w:tc>
          <w:tcPr>
            <w:tcW w:w="7440" w:type="dxa"/>
            <w:vAlign w:val="bottom"/>
            <w:gridSpan w:val="5"/>
          </w:tcPr>
          <w:p>
            <w:pPr>
              <w:ind w:left="460"/>
              <w:spacing w:after="0"/>
              <w:rPr>
                <w:sz w:val="20"/>
                <w:szCs w:val="20"/>
                <w:color w:val="auto"/>
              </w:rPr>
            </w:pPr>
            <w:r>
              <w:rPr>
                <w:rFonts w:ascii="Arial" w:cs="Arial" w:eastAsia="Arial" w:hAnsi="Arial"/>
                <w:sz w:val="18"/>
                <w:szCs w:val="18"/>
                <w:color w:val="auto"/>
              </w:rPr>
              <w:t>[If applicable, insert—The sinking fund for the Securities provides for the redemption on</w:t>
            </w:r>
          </w:p>
        </w:tc>
        <w:tc>
          <w:tcPr>
            <w:tcW w:w="3500" w:type="dxa"/>
            <w:vAlign w:val="bottom"/>
          </w:tcPr>
          <w:p>
            <w:pPr>
              <w:ind w:left="420"/>
              <w:spacing w:after="0"/>
              <w:rPr>
                <w:sz w:val="20"/>
                <w:szCs w:val="20"/>
                <w:color w:val="auto"/>
              </w:rPr>
            </w:pPr>
            <w:r>
              <w:rPr>
                <w:rFonts w:ascii="Arial" w:cs="Arial" w:eastAsia="Arial" w:hAnsi="Arial"/>
                <w:sz w:val="18"/>
                <w:szCs w:val="18"/>
                <w:color w:val="auto"/>
              </w:rPr>
              <w:t>in each year, beginning with the year</w:t>
            </w:r>
          </w:p>
        </w:tc>
        <w:tc>
          <w:tcPr>
            <w:tcW w:w="480" w:type="dxa"/>
            <w:vAlign w:val="bottom"/>
          </w:tcPr>
          <w:p>
            <w:pPr>
              <w:ind w:left="40"/>
              <w:spacing w:after="0"/>
              <w:rPr>
                <w:sz w:val="20"/>
                <w:szCs w:val="20"/>
                <w:color w:val="auto"/>
              </w:rPr>
            </w:pPr>
            <w:r>
              <w:rPr>
                <w:rFonts w:ascii="Arial" w:cs="Arial" w:eastAsia="Arial" w:hAnsi="Arial"/>
                <w:sz w:val="18"/>
                <w:szCs w:val="18"/>
                <w:color w:val="auto"/>
              </w:rPr>
              <w:t>and</w:t>
            </w:r>
          </w:p>
        </w:tc>
      </w:tr>
      <w:tr>
        <w:trPr>
          <w:trHeight w:val="20"/>
        </w:trPr>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8"/>
                <w:szCs w:val="18"/>
                <w:color w:val="auto"/>
              </w:rPr>
              <w:t>ending with the year</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 of [not less than] $</w:t>
            </w:r>
          </w:p>
        </w:tc>
        <w:tc>
          <w:tcPr>
            <w:tcW w:w="3940" w:type="dxa"/>
            <w:vAlign w:val="bottom"/>
          </w:tcPr>
          <w:p>
            <w:pPr>
              <w:ind w:left="180"/>
              <w:spacing w:after="0"/>
              <w:rPr>
                <w:sz w:val="20"/>
                <w:szCs w:val="20"/>
                <w:color w:val="auto"/>
              </w:rPr>
            </w:pPr>
            <w:r>
              <w:rPr>
                <w:rFonts w:ascii="Arial" w:cs="Arial" w:eastAsia="Arial" w:hAnsi="Arial"/>
                <w:sz w:val="18"/>
                <w:szCs w:val="18"/>
                <w:color w:val="auto"/>
                <w:w w:val="95"/>
              </w:rPr>
              <w:t>] [(“mandatory sinking fund”) and not more than $</w:t>
            </w: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w w:val="90"/>
              </w:rPr>
              <w:t>] aggregate principal amount of the Securities. [The</w:t>
            </w:r>
          </w:p>
        </w:tc>
      </w:tr>
    </w:tbl>
    <w:p>
      <w:pPr>
        <w:jc w:val="both"/>
        <w:ind w:right="20"/>
        <w:spacing w:after="0" w:line="261" w:lineRule="auto"/>
        <w:rPr>
          <w:sz w:val="20"/>
          <w:szCs w:val="20"/>
          <w:color w:val="auto"/>
        </w:rPr>
      </w:pPr>
      <w:r>
        <w:rPr>
          <w:rFonts w:ascii="Arial" w:cs="Arial" w:eastAsia="Arial" w:hAnsi="Arial"/>
          <w:sz w:val="18"/>
          <w:szCs w:val="18"/>
          <w:color w:val="auto"/>
        </w:rPr>
        <w:t>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18"/>
          <w:szCs w:val="18"/>
          <w:u w:val="single" w:color="auto"/>
          <w:color w:val="auto"/>
        </w:rPr>
        <w:t>describe order</w:t>
      </w:r>
      <w:r>
        <w:rPr>
          <w:rFonts w:ascii="Arial" w:cs="Arial" w:eastAsia="Arial" w:hAnsi="Arial"/>
          <w:sz w:val="18"/>
          <w:szCs w:val="18"/>
          <w:color w:val="auto"/>
        </w:rPr>
        <w:t>] order in which they become due.]]</w:t>
      </w:r>
    </w:p>
    <w:p>
      <w:pPr>
        <w:spacing w:after="0" w:line="184"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7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460"/>
        <w:spacing w:after="0"/>
        <w:tabs>
          <w:tab w:leader="none" w:pos="840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left="260"/>
        <w:spacing w:after="0" w:line="277" w:lineRule="auto"/>
        <w:rPr>
          <w:sz w:val="20"/>
          <w:szCs w:val="20"/>
          <w:color w:val="auto"/>
        </w:rPr>
      </w:pPr>
      <w:r>
        <w:rPr>
          <w:rFonts w:ascii="Arial" w:cs="Arial" w:eastAsia="Arial" w:hAnsi="Arial"/>
          <w:sz w:val="18"/>
          <w:szCs w:val="18"/>
          <w:color w:val="auto"/>
        </w:rPr>
        <w:t>FORM OF CERTIFICATE TO BE GIVEN BY PERSON ENTITLED TO RECEIVE BEARER SECURITY OR TO OBTAIN INTEREST PAYABLE PRIOR TO THE EXCHANGE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right="100" w:firstLine="8"/>
        <w:spacing w:after="0" w:line="251" w:lineRule="auto"/>
        <w:tabs>
          <w:tab w:leader="none" w:pos="2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Zafgen,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8"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Person Making Certification]</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Zafgen,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4" w:lineRule="exact"/>
        <w:rPr>
          <w:sz w:val="20"/>
          <w:szCs w:val="20"/>
          <w:color w:val="auto"/>
        </w:rPr>
      </w:pPr>
    </w:p>
    <w:p>
      <w:pPr>
        <w:ind w:right="180" w:firstLine="8"/>
        <w:spacing w:after="0" w:line="261" w:lineRule="auto"/>
        <w:tabs>
          <w:tab w:leader="none" w:pos="2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ind w:left="1420" w:hanging="956"/>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as Operator of the Euroclear System] [Clearstream Banking Luxembourg]</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20"/>
          </w:cols>
          <w:pgMar w:left="240" w:top="459"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80"/>
        <w:spacing w:after="0"/>
        <w:tabs>
          <w:tab w:leader="none" w:pos="516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Subordinated Debt Securities</w:t>
      </w:r>
    </w:p>
    <w:p>
      <w:pPr>
        <w:sectPr>
          <w:pgSz w:w="11900" w:h="16838" w:orient="portrait"/>
          <w:cols w:equalWidth="0" w:num="1">
            <w:col w:w="10220"/>
          </w:cols>
          <w:pgMar w:left="1440" w:top="121" w:right="23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6680" w:type="dxa"/>
            <w:vAlign w:val="bottom"/>
            <w:tcBorders>
              <w:bottom w:val="single" w:sz="8" w:color="0000EE"/>
            </w:tcBorders>
            <w:gridSpan w:val="40"/>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 xml:space="preserve">Article One </w:t>
              </w:r>
              <w:r>
                <w:rPr>
                  <w:rFonts w:ascii="Arial" w:cs="Arial" w:eastAsia="Arial" w:hAnsi="Arial"/>
                  <w:sz w:val="18"/>
                  <w:szCs w:val="18"/>
                  <w:b w:val="1"/>
                  <w:bCs w:val="1"/>
                  <w:color w:val="0000EE"/>
                  <w:w w:val="96"/>
                </w:rPr>
                <w:t>-</w:t>
              </w:r>
              <w:r>
                <w:rPr>
                  <w:rFonts w:ascii="Arial" w:cs="Arial" w:eastAsia="Arial" w:hAnsi="Arial"/>
                  <w:sz w:val="18"/>
                  <w:szCs w:val="18"/>
                  <w:color w:val="0000EE"/>
                  <w:w w:val="96"/>
                </w:rPr>
                <w:t xml:space="preserve"> DEFINITIONS AND OTHER PROVISIONS OF GENERAL APPLICATION</w:t>
              </w:r>
            </w:hyperlink>
          </w:p>
        </w:tc>
        <w:tc>
          <w:tcPr>
            <w:tcW w:w="438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60" w:type="dxa"/>
            <w:vAlign w:val="bottom"/>
          </w:tcPr>
          <w:p>
            <w:pPr>
              <w:spacing w:after="0"/>
              <w:rPr>
                <w:sz w:val="24"/>
                <w:szCs w:val="24"/>
                <w:color w:val="auto"/>
              </w:rPr>
            </w:pPr>
          </w:p>
        </w:tc>
        <w:tc>
          <w:tcPr>
            <w:tcW w:w="10700" w:type="dxa"/>
            <w:vAlign w:val="bottom"/>
            <w:gridSpan w:val="4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Section 101. Definitions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36">
              <w:r>
                <w:rPr>
                  <w:rFonts w:ascii="Arial" w:cs="Arial" w:eastAsia="Arial" w:hAnsi="Arial"/>
                  <w:sz w:val="18"/>
                  <w:szCs w:val="18"/>
                  <w:color w:val="0000EE"/>
                  <w:w w:val="91"/>
                </w:rPr>
                <w:t>Section 102. Compliance Certificates and Opinions</w:t>
              </w:r>
            </w:hyperlink>
          </w:p>
        </w:tc>
        <w:tc>
          <w:tcPr>
            <w:tcW w:w="69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39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Section 103. Form of Documents Delivered to Trustee</w:t>
              </w:r>
            </w:hyperlink>
          </w:p>
        </w:tc>
        <w:tc>
          <w:tcPr>
            <w:tcW w:w="67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Section 104. Acts of Holders</w:t>
              </w:r>
            </w:hyperlink>
          </w:p>
        </w:tc>
        <w:tc>
          <w:tcPr>
            <w:tcW w:w="8600" w:type="dxa"/>
            <w:vAlign w:val="bottom"/>
            <w:gridSpan w:val="3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Section 105. Notices, etc., to Trustee and Company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3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Section 106. Notice to Holders; Waiver</w:t>
              </w:r>
            </w:hyperlink>
          </w:p>
        </w:tc>
        <w:tc>
          <w:tcPr>
            <w:tcW w:w="70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Section</w:t>
              </w:r>
            </w:hyperlink>
          </w:p>
        </w:tc>
        <w:tc>
          <w:tcPr>
            <w:tcW w:w="10100" w:type="dxa"/>
            <w:vAlign w:val="bottom"/>
            <w:gridSpan w:val="41"/>
          </w:tcPr>
          <w:p>
            <w:pPr>
              <w:ind w:left="4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107. Counterparts; Effect of Headings and Table of Contents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50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Section 108. Successors and Assigns</w:t>
              </w:r>
            </w:hyperlink>
          </w:p>
        </w:tc>
        <w:tc>
          <w:tcPr>
            <w:tcW w:w="57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Section 109. Severability Clause</w:t>
              </w:r>
            </w:hyperlink>
          </w:p>
        </w:tc>
        <w:tc>
          <w:tcPr>
            <w:tcW w:w="320" w:type="dxa"/>
            <w:vAlign w:val="bottom"/>
            <w:tcBorders>
              <w:top w:val="single" w:sz="8" w:color="0000EE"/>
            </w:tcBorders>
            <w:gridSpan w:val="3"/>
          </w:tcPr>
          <w:p>
            <w:pPr>
              <w:spacing w:after="0"/>
              <w:rPr>
                <w:sz w:val="17"/>
                <w:szCs w:val="17"/>
                <w:color w:val="auto"/>
              </w:rPr>
            </w:pPr>
          </w:p>
        </w:tc>
        <w:tc>
          <w:tcPr>
            <w:tcW w:w="8040" w:type="dxa"/>
            <w:vAlign w:val="bottom"/>
            <w:gridSpan w:val="2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Section 110. Benefits of Indenture</w:t>
              </w:r>
            </w:hyperlink>
          </w:p>
        </w:tc>
        <w:tc>
          <w:tcPr>
            <w:tcW w:w="8220" w:type="dxa"/>
            <w:vAlign w:val="bottom"/>
            <w:gridSpan w:val="3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Section 111. Governing Law</w:t>
              </w:r>
            </w:hyperlink>
          </w:p>
        </w:tc>
        <w:tc>
          <w:tcPr>
            <w:tcW w:w="8620" w:type="dxa"/>
            <w:vAlign w:val="bottom"/>
            <w:gridSpan w:val="3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Section 112. Legal Holidays</w:t>
              </w:r>
            </w:hyperlink>
          </w:p>
        </w:tc>
        <w:tc>
          <w:tcPr>
            <w:tcW w:w="8640" w:type="dxa"/>
            <w:vAlign w:val="bottom"/>
            <w:gridSpan w:val="3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Section</w:t>
              </w:r>
            </w:hyperlink>
          </w:p>
        </w:tc>
        <w:tc>
          <w:tcPr>
            <w:tcW w:w="4380" w:type="dxa"/>
            <w:vAlign w:val="bottom"/>
            <w:tcBorders>
              <w:bottom w:val="single" w:sz="8" w:color="0000EE"/>
            </w:tcBorders>
            <w:gridSpan w:val="34"/>
          </w:tcPr>
          <w:p>
            <w:pPr>
              <w:ind w:left="40"/>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113. Limited Liability; Immunity of Stockholders, Directors</w:t>
              </w:r>
            </w:hyperlink>
          </w:p>
        </w:tc>
        <w:tc>
          <w:tcPr>
            <w:tcW w:w="57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Section 114. Conflict with Trust Indenture Act</w:t>
              </w:r>
            </w:hyperlink>
          </w:p>
        </w:tc>
        <w:tc>
          <w:tcPr>
            <w:tcW w:w="73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304"/>
        </w:trPr>
        <w:tc>
          <w:tcPr>
            <w:tcW w:w="27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Article Two - SECURITIES FORMS</w:t>
              </w:r>
            </w:hyperlink>
          </w:p>
        </w:tc>
        <w:tc>
          <w:tcPr>
            <w:tcW w:w="8360" w:type="dxa"/>
            <w:vAlign w:val="bottom"/>
            <w:gridSpan w:val="3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0700" w:type="dxa"/>
            <w:vAlign w:val="bottom"/>
            <w:gridSpan w:val="4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Section 201. Forms of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Section</w:t>
              </w:r>
            </w:hyperlink>
          </w:p>
        </w:tc>
        <w:tc>
          <w:tcPr>
            <w:tcW w:w="3800" w:type="dxa"/>
            <w:vAlign w:val="bottom"/>
            <w:tcBorders>
              <w:bottom w:val="single" w:sz="8" w:color="0000EE"/>
            </w:tcBorders>
            <w:gridSpan w:val="31"/>
          </w:tcPr>
          <w:p>
            <w:pPr>
              <w:ind w:left="40"/>
              <w:spacing w:after="0" w:line="19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202. Form of Trustee’s Certificate of Authentication</w:t>
              </w:r>
            </w:hyperlink>
          </w:p>
        </w:tc>
        <w:tc>
          <w:tcPr>
            <w:tcW w:w="63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3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Section 203. Securities Issuable in Global Form</w:t>
              </w:r>
            </w:hyperlink>
          </w:p>
        </w:tc>
        <w:tc>
          <w:tcPr>
            <w:tcW w:w="724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04"/>
        </w:trPr>
        <w:tc>
          <w:tcPr>
            <w:tcW w:w="254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Article Three - THE SECURITIES</w:t>
              </w:r>
            </w:hyperlink>
          </w:p>
        </w:tc>
        <w:tc>
          <w:tcPr>
            <w:tcW w:w="8520" w:type="dxa"/>
            <w:vAlign w:val="bottom"/>
            <w:gridSpan w:val="3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368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Section 301. Amount Unlimited; Issuable in Series</w:t>
              </w:r>
            </w:hyperlink>
          </w:p>
        </w:tc>
        <w:tc>
          <w:tcPr>
            <w:tcW w:w="70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Section 302. Denominations</w:t>
              </w:r>
            </w:hyperlink>
          </w:p>
        </w:tc>
        <w:tc>
          <w:tcPr>
            <w:tcW w:w="8640" w:type="dxa"/>
            <w:vAlign w:val="bottom"/>
            <w:gridSpan w:val="3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Section 303. Execution, Authentication, Delivery and Dating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Section 304. Temporary Securities</w:t>
              </w:r>
            </w:hyperlink>
          </w:p>
        </w:tc>
        <w:tc>
          <w:tcPr>
            <w:tcW w:w="1900" w:type="dxa"/>
            <w:vAlign w:val="bottom"/>
            <w:tcBorders>
              <w:top w:val="single" w:sz="8" w:color="0000EE"/>
            </w:tcBorders>
            <w:gridSpan w:val="19"/>
          </w:tcPr>
          <w:p>
            <w:pPr>
              <w:spacing w:after="0"/>
              <w:rPr>
                <w:sz w:val="17"/>
                <w:szCs w:val="17"/>
                <w:color w:val="auto"/>
              </w:rPr>
            </w:pPr>
          </w:p>
        </w:tc>
        <w:tc>
          <w:tcPr>
            <w:tcW w:w="63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Section</w:t>
              </w:r>
            </w:hyperlink>
          </w:p>
        </w:tc>
        <w:tc>
          <w:tcPr>
            <w:tcW w:w="10100" w:type="dxa"/>
            <w:vAlign w:val="bottom"/>
            <w:gridSpan w:val="41"/>
          </w:tcPr>
          <w:p>
            <w:pPr>
              <w:ind w:left="4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305. Registration, Registration of Transfer, Conversion and Exchange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Section 306. Mutilated, Destroyed, Lost and Stolen Securities</w:t>
              </w:r>
            </w:hyperlink>
          </w:p>
        </w:tc>
        <w:tc>
          <w:tcPr>
            <w:tcW w:w="1200" w:type="dxa"/>
            <w:vAlign w:val="bottom"/>
            <w:tcBorders>
              <w:top w:val="single" w:sz="8" w:color="0000EE"/>
            </w:tcBorders>
            <w:gridSpan w:val="4"/>
          </w:tcPr>
          <w:p>
            <w:pPr>
              <w:spacing w:after="0"/>
              <w:rPr>
                <w:sz w:val="17"/>
                <w:szCs w:val="17"/>
                <w:color w:val="auto"/>
              </w:rPr>
            </w:pPr>
          </w:p>
        </w:tc>
        <w:tc>
          <w:tcPr>
            <w:tcW w:w="50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Section 307. Payment of Interest; Interest Rights Preserved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42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Section 308. Persons Deemed Owners</w:t>
              </w:r>
            </w:hyperlink>
          </w:p>
        </w:tc>
        <w:tc>
          <w:tcPr>
            <w:tcW w:w="64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27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Section 309. Cancellation</w:t>
              </w:r>
            </w:hyperlink>
          </w:p>
        </w:tc>
        <w:tc>
          <w:tcPr>
            <w:tcW w:w="7940" w:type="dxa"/>
            <w:vAlign w:val="bottom"/>
            <w:gridSpan w:val="2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Section 310. Computation of Interest</w:t>
              </w:r>
            </w:hyperlink>
          </w:p>
        </w:tc>
        <w:tc>
          <w:tcPr>
            <w:tcW w:w="8020" w:type="dxa"/>
            <w:vAlign w:val="bottom"/>
            <w:gridSpan w:val="2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sz w:val="20"/>
                <w:szCs w:val="20"/>
                <w:color w:val="auto"/>
              </w:rPr>
            </w:pPr>
            <w:r>
              <w:rPr>
                <w:rFonts w:ascii="Arial" w:cs="Arial" w:eastAsia="Arial" w:hAnsi="Arial"/>
                <w:sz w:val="18"/>
                <w:szCs w:val="18"/>
                <w:color w:val="0000EE"/>
              </w:rPr>
              <w:t>Section 311. CUSIP Numbers</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80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53">
              <w:r>
                <w:rPr>
                  <w:rFonts w:ascii="Arial" w:cs="Arial" w:eastAsia="Arial" w:hAnsi="Arial"/>
                  <w:sz w:val="18"/>
                  <w:szCs w:val="18"/>
                  <w:color w:val="0000EE"/>
                  <w:w w:val="95"/>
                </w:rPr>
                <w:t>Article Four - SATISFACTION AND DISCHARGE</w:t>
              </w:r>
            </w:hyperlink>
          </w:p>
        </w:tc>
        <w:tc>
          <w:tcPr>
            <w:tcW w:w="726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10700" w:type="dxa"/>
            <w:vAlign w:val="bottom"/>
            <w:gridSpan w:val="42"/>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Section 401. Satisfaction and Discharge of Indenture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3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Section 402. Application of Trust Funds</w:t>
              </w:r>
            </w:hyperlink>
          </w:p>
        </w:tc>
        <w:tc>
          <w:tcPr>
            <w:tcW w:w="6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60" w:type="dxa"/>
            <w:vAlign w:val="bottom"/>
            <w:gridSpan w:val="43"/>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Article Five - REMEDIES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4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Section 501. Events of Default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Section</w:t>
              </w:r>
            </w:hyperlink>
          </w:p>
        </w:tc>
        <w:tc>
          <w:tcPr>
            <w:tcW w:w="4220" w:type="dxa"/>
            <w:vAlign w:val="bottom"/>
            <w:tcBorders>
              <w:bottom w:val="single" w:sz="8" w:color="0000EE"/>
            </w:tcBorders>
            <w:gridSpan w:val="33"/>
          </w:tcPr>
          <w:p>
            <w:pPr>
              <w:ind w:left="40"/>
              <w:spacing w:after="0" w:line="19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502. Acceleration of Maturity; Rescission and Annulment</w:t>
              </w:r>
            </w:hyperlink>
          </w:p>
        </w:tc>
        <w:tc>
          <w:tcPr>
            <w:tcW w:w="58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56">
              <w:r>
                <w:rPr>
                  <w:rFonts w:ascii="Arial" w:cs="Arial" w:eastAsia="Arial" w:hAnsi="Arial"/>
                  <w:sz w:val="18"/>
                  <w:szCs w:val="18"/>
                  <w:color w:val="0000EE"/>
                  <w:w w:val="96"/>
                </w:rPr>
                <w:t>Section</w:t>
              </w:r>
            </w:hyperlink>
          </w:p>
        </w:tc>
        <w:tc>
          <w:tcPr>
            <w:tcW w:w="5080" w:type="dxa"/>
            <w:vAlign w:val="bottom"/>
            <w:tcBorders>
              <w:bottom w:val="single" w:sz="8" w:color="0000EE"/>
            </w:tcBorders>
            <w:gridSpan w:val="37"/>
          </w:tcPr>
          <w:p>
            <w:pPr>
              <w:ind w:left="40"/>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503. Collection of Indebtedness and Suits for Enforcement by Trustee</w:t>
              </w:r>
            </w:hyperlink>
          </w:p>
        </w:tc>
        <w:tc>
          <w:tcPr>
            <w:tcW w:w="50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Section 504. Trustee May File Proofs of Claim</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40" w:type="dxa"/>
            <w:vAlign w:val="bottom"/>
            <w:gridSpan w:val="10"/>
            <w:shd w:val="clear" w:color="auto" w:fill="0000EE"/>
          </w:tcPr>
          <w:p>
            <w:pPr>
              <w:spacing w:after="0" w:line="20" w:lineRule="exact"/>
              <w:rPr>
                <w:sz w:val="1"/>
                <w:szCs w:val="1"/>
                <w:color w:val="auto"/>
              </w:rPr>
            </w:pPr>
          </w:p>
        </w:tc>
        <w:tc>
          <w:tcPr>
            <w:tcW w:w="840" w:type="dxa"/>
            <w:vAlign w:val="bottom"/>
            <w:tcBorders>
              <w:left w:val="single" w:sz="8" w:color="0000EE"/>
            </w:tcBorders>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0" w:type="dxa"/>
            <w:vAlign w:val="bottom"/>
            <w:gridSpan w:val="1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57">
              <w:r>
                <w:rPr>
                  <w:rFonts w:ascii="Arial" w:cs="Arial" w:eastAsia="Arial" w:hAnsi="Arial"/>
                  <w:sz w:val="18"/>
                  <w:szCs w:val="18"/>
                  <w:color w:val="0000EE"/>
                  <w:w w:val="96"/>
                </w:rPr>
                <w:t>Section</w:t>
              </w:r>
            </w:hyperlink>
          </w:p>
        </w:tc>
        <w:tc>
          <w:tcPr>
            <w:tcW w:w="5760" w:type="dxa"/>
            <w:vAlign w:val="bottom"/>
            <w:tcBorders>
              <w:bottom w:val="single" w:sz="8" w:color="0000EE"/>
            </w:tcBorders>
            <w:gridSpan w:val="39"/>
          </w:tcPr>
          <w:p>
            <w:pPr>
              <w:ind w:left="40"/>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505. Trustee May Enforce Claims Without Possession of Securities or Coupons</w:t>
              </w:r>
            </w:hyperlink>
          </w:p>
        </w:tc>
        <w:tc>
          <w:tcPr>
            <w:tcW w:w="43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Section 506. Application of Money Collected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3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Section 507. Limitation on Suits</w:t>
              </w:r>
            </w:hyperlink>
          </w:p>
        </w:tc>
        <w:tc>
          <w:tcPr>
            <w:tcW w:w="7420" w:type="dxa"/>
            <w:vAlign w:val="bottom"/>
            <w:gridSpan w:val="2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40" w:type="dxa"/>
            <w:vAlign w:val="bottom"/>
            <w:gridSpan w:val="10"/>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20" w:type="dxa"/>
            <w:vAlign w:val="bottom"/>
            <w:gridSpan w:val="1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58">
              <w:r>
                <w:rPr>
                  <w:rFonts w:ascii="Arial" w:cs="Arial" w:eastAsia="Arial" w:hAnsi="Arial"/>
                  <w:sz w:val="18"/>
                  <w:szCs w:val="18"/>
                  <w:color w:val="0000EE"/>
                  <w:w w:val="96"/>
                </w:rPr>
                <w:t>Section</w:t>
              </w:r>
            </w:hyperlink>
          </w:p>
        </w:tc>
        <w:tc>
          <w:tcPr>
            <w:tcW w:w="10100" w:type="dxa"/>
            <w:vAlign w:val="bottom"/>
            <w:gridSpan w:val="41"/>
          </w:tcPr>
          <w:p>
            <w:pPr>
              <w:ind w:left="4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508. Unconditional Right of Holders to Receive Principal, Premium or Make-Whole Amount, if any, and Interest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Section 509. Restoration of Rights and Remedies</w:t>
              </w:r>
            </w:hyperlink>
          </w:p>
        </w:tc>
        <w:tc>
          <w:tcPr>
            <w:tcW w:w="5220" w:type="dxa"/>
            <w:vAlign w:val="bottom"/>
            <w:tcBorders>
              <w:top w:val="single" w:sz="8" w:color="0000EE"/>
            </w:tcBorders>
            <w:gridSpan w:val="16"/>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Section 510. Rights and Remedies Cumulative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3380" w:type="dxa"/>
            <w:vAlign w:val="bottom"/>
            <w:tcBorders>
              <w:top w:val="single" w:sz="8" w:color="0000EE"/>
            </w:tcBorders>
            <w:gridSpan w:val="22"/>
          </w:tcPr>
          <w:p>
            <w:pPr>
              <w:spacing w:after="0" w:line="196" w:lineRule="exact"/>
              <w:rPr>
                <w:rFonts w:ascii="Arial" w:cs="Arial" w:eastAsia="Arial" w:hAnsi="Arial"/>
                <w:sz w:val="18"/>
                <w:szCs w:val="18"/>
                <w:color w:val="0000EE"/>
                <w:w w:val="96"/>
              </w:rPr>
            </w:pPr>
            <w:hyperlink w:anchor="page159">
              <w:r>
                <w:rPr>
                  <w:rFonts w:ascii="Arial" w:cs="Arial" w:eastAsia="Arial" w:hAnsi="Arial"/>
                  <w:sz w:val="18"/>
                  <w:szCs w:val="18"/>
                  <w:color w:val="0000EE"/>
                  <w:w w:val="96"/>
                </w:rPr>
                <w:t>Section 511. Delay or Omission Not Waiver</w:t>
              </w:r>
            </w:hyperlink>
          </w:p>
        </w:tc>
        <w:tc>
          <w:tcPr>
            <w:tcW w:w="73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3180" w:type="dxa"/>
            <w:vAlign w:val="bottom"/>
            <w:gridSpan w:val="19"/>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0" w:type="dxa"/>
            <w:vAlign w:val="bottom"/>
            <w:gridSpan w:val="2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Section 512. Control by Holders of Securities</w:t>
              </w:r>
            </w:hyperlink>
          </w:p>
        </w:tc>
        <w:tc>
          <w:tcPr>
            <w:tcW w:w="74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160" w:type="dxa"/>
            <w:vAlign w:val="bottom"/>
            <w:gridSpan w:val="47"/>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Section 513. Waiver of Past Defaults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Section 514. Waiver of Usury, Stay or Extension Laws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Section 515. Undertaking for Costs</w:t>
              </w:r>
            </w:hyperlink>
          </w:p>
        </w:tc>
        <w:tc>
          <w:tcPr>
            <w:tcW w:w="1380" w:type="dxa"/>
            <w:vAlign w:val="bottom"/>
            <w:tcBorders>
              <w:top w:val="single" w:sz="8" w:color="0000EE"/>
            </w:tcBorders>
            <w:gridSpan w:val="18"/>
          </w:tcPr>
          <w:p>
            <w:pPr>
              <w:spacing w:after="0"/>
              <w:rPr>
                <w:sz w:val="17"/>
                <w:szCs w:val="17"/>
                <w:color w:val="auto"/>
              </w:rPr>
            </w:pPr>
          </w:p>
        </w:tc>
        <w:tc>
          <w:tcPr>
            <w:tcW w:w="622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04"/>
        </w:trPr>
        <w:tc>
          <w:tcPr>
            <w:tcW w:w="21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60">
              <w:r>
                <w:rPr>
                  <w:rFonts w:ascii="Arial" w:cs="Arial" w:eastAsia="Arial" w:hAnsi="Arial"/>
                  <w:sz w:val="18"/>
                  <w:szCs w:val="18"/>
                  <w:color w:val="0000EE"/>
                  <w:w w:val="95"/>
                </w:rPr>
                <w:t>Article Six - THE TRUSTEE</w:t>
              </w:r>
            </w:hyperlink>
          </w:p>
        </w:tc>
        <w:tc>
          <w:tcPr>
            <w:tcW w:w="8380" w:type="dxa"/>
            <w:vAlign w:val="bottom"/>
            <w:gridSpan w:val="4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360" w:type="dxa"/>
            <w:vAlign w:val="bottom"/>
          </w:tcPr>
          <w:p>
            <w:pPr>
              <w:spacing w:after="0"/>
              <w:rPr>
                <w:sz w:val="24"/>
                <w:szCs w:val="24"/>
                <w:color w:val="auto"/>
              </w:rPr>
            </w:pPr>
          </w:p>
        </w:tc>
        <w:tc>
          <w:tcPr>
            <w:tcW w:w="10160" w:type="dxa"/>
            <w:vAlign w:val="bottom"/>
            <w:gridSpan w:val="47"/>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Section 601. Notice of Defaults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Section 602. Certain Rights of Trustee</w:t>
              </w:r>
            </w:hyperlink>
          </w:p>
        </w:tc>
        <w:tc>
          <w:tcPr>
            <w:tcW w:w="7380" w:type="dxa"/>
            <w:vAlign w:val="bottom"/>
            <w:gridSpan w:val="3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Section</w:t>
              </w:r>
            </w:hyperlink>
          </w:p>
        </w:tc>
        <w:tc>
          <w:tcPr>
            <w:tcW w:w="9560" w:type="dxa"/>
            <w:vAlign w:val="bottom"/>
            <w:gridSpan w:val="46"/>
          </w:tcPr>
          <w:p>
            <w:pPr>
              <w:ind w:left="40"/>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603. Not Responsible for Recitals or Issuance of Securities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48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Section 604. May Hold Securities</w:t>
              </w:r>
            </w:hyperlink>
          </w:p>
        </w:tc>
        <w:tc>
          <w:tcPr>
            <w:tcW w:w="528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Section 605. Money Held in Trust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Section 606. Compensation and Reimbursement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Section</w:t>
              </w:r>
            </w:hyperlink>
          </w:p>
        </w:tc>
        <w:tc>
          <w:tcPr>
            <w:tcW w:w="4800" w:type="dxa"/>
            <w:vAlign w:val="bottom"/>
            <w:tcBorders>
              <w:bottom w:val="single" w:sz="8" w:color="0000EE"/>
            </w:tcBorders>
            <w:gridSpan w:val="39"/>
          </w:tcPr>
          <w:p>
            <w:pPr>
              <w:ind w:left="40"/>
              <w:spacing w:after="0" w:line="196" w:lineRule="exact"/>
              <w:rPr>
                <w:rFonts w:ascii="Arial" w:cs="Arial" w:eastAsia="Arial" w:hAnsi="Arial"/>
                <w:sz w:val="18"/>
                <w:szCs w:val="18"/>
                <w:color w:val="0000EE"/>
                <w:w w:val="92"/>
              </w:rPr>
            </w:pPr>
            <w:hyperlink w:anchor="page162">
              <w:r>
                <w:rPr>
                  <w:rFonts w:ascii="Arial" w:cs="Arial" w:eastAsia="Arial" w:hAnsi="Arial"/>
                  <w:sz w:val="18"/>
                  <w:szCs w:val="18"/>
                  <w:color w:val="0000EE"/>
                  <w:w w:val="92"/>
                </w:rPr>
                <w:t>607. Corporate Trustee Required; Eligibility; Conflicting Interests</w:t>
              </w:r>
            </w:hyperlink>
          </w:p>
        </w:tc>
        <w:tc>
          <w:tcPr>
            <w:tcW w:w="476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63">
              <w:r>
                <w:rPr>
                  <w:rFonts w:ascii="Arial" w:cs="Arial" w:eastAsia="Arial" w:hAnsi="Arial"/>
                  <w:sz w:val="18"/>
                  <w:szCs w:val="18"/>
                  <w:color w:val="0000EE"/>
                  <w:w w:val="96"/>
                </w:rPr>
                <w:t>Section</w:t>
              </w:r>
            </w:hyperlink>
          </w:p>
        </w:tc>
        <w:tc>
          <w:tcPr>
            <w:tcW w:w="9560" w:type="dxa"/>
            <w:vAlign w:val="bottom"/>
            <w:gridSpan w:val="46"/>
          </w:tcPr>
          <w:p>
            <w:pPr>
              <w:ind w:left="40"/>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608. Resignation and Removal; Appointment of Successor</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6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Section 609. Acceptance of Appointment by Successor</w:t>
              </w:r>
            </w:hyperlink>
          </w:p>
        </w:tc>
        <w:tc>
          <w:tcPr>
            <w:tcW w:w="880" w:type="dxa"/>
            <w:vAlign w:val="bottom"/>
            <w:tcBorders>
              <w:top w:val="single" w:sz="8" w:color="0000EE"/>
            </w:tcBorders>
            <w:gridSpan w:val="8"/>
          </w:tcPr>
          <w:p>
            <w:pPr>
              <w:spacing w:after="0"/>
              <w:rPr>
                <w:sz w:val="17"/>
                <w:szCs w:val="17"/>
                <w:color w:val="auto"/>
              </w:rPr>
            </w:pPr>
          </w:p>
        </w:tc>
        <w:tc>
          <w:tcPr>
            <w:tcW w:w="53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Section</w:t>
              </w:r>
            </w:hyperlink>
          </w:p>
        </w:tc>
        <w:tc>
          <w:tcPr>
            <w:tcW w:w="9560" w:type="dxa"/>
            <w:vAlign w:val="bottom"/>
            <w:gridSpan w:val="46"/>
          </w:tcPr>
          <w:p>
            <w:pPr>
              <w:ind w:left="4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610. Merger, Conversion, Consolidation or Succession to Business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w:anchor="page165">
              <w:r>
                <w:rPr>
                  <w:rFonts w:ascii="Arial" w:cs="Arial" w:eastAsia="Arial" w:hAnsi="Arial"/>
                  <w:sz w:val="18"/>
                  <w:szCs w:val="18"/>
                  <w:color w:val="0000EE"/>
                  <w:w w:val="92"/>
                </w:rPr>
                <w:t>Section 611. Appointment of Authenticating Agent</w:t>
              </w:r>
            </w:hyperlink>
          </w:p>
        </w:tc>
        <w:tc>
          <w:tcPr>
            <w:tcW w:w="1740" w:type="dxa"/>
            <w:vAlign w:val="bottom"/>
            <w:tcBorders>
              <w:top w:val="single" w:sz="8" w:color="0000EE"/>
            </w:tcBorders>
            <w:gridSpan w:val="16"/>
          </w:tcPr>
          <w:p>
            <w:pPr>
              <w:spacing w:after="0"/>
              <w:rPr>
                <w:sz w:val="17"/>
                <w:szCs w:val="17"/>
                <w:color w:val="auto"/>
              </w:rPr>
            </w:pPr>
          </w:p>
        </w:tc>
        <w:tc>
          <w:tcPr>
            <w:tcW w:w="472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66">
              <w:r>
                <w:rPr>
                  <w:rFonts w:ascii="Arial" w:cs="Arial" w:eastAsia="Arial" w:hAnsi="Arial"/>
                  <w:sz w:val="18"/>
                  <w:szCs w:val="18"/>
                  <w:color w:val="0000EE"/>
                  <w:w w:val="96"/>
                </w:rPr>
                <w:t>Section</w:t>
              </w:r>
            </w:hyperlink>
          </w:p>
        </w:tc>
        <w:tc>
          <w:tcPr>
            <w:tcW w:w="9560" w:type="dxa"/>
            <w:vAlign w:val="bottom"/>
            <w:gridSpan w:val="46"/>
          </w:tcPr>
          <w:p>
            <w:pPr>
              <w:ind w:left="40"/>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612. Certain Duties and Responsibilities of the Trustee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320" w:type="dxa"/>
            <w:vAlign w:val="bottom"/>
            <w:tcBorders>
              <w:bottom w:val="single" w:sz="8" w:color="0000EE"/>
            </w:tcBorders>
            <w:gridSpan w:val="45"/>
          </w:tcPr>
          <w:p>
            <w:pPr>
              <w:spacing w:after="0"/>
              <w:rPr>
                <w:rFonts w:ascii="Arial" w:cs="Arial" w:eastAsia="Arial" w:hAnsi="Arial"/>
                <w:sz w:val="18"/>
                <w:szCs w:val="18"/>
                <w:color w:val="0000EE"/>
                <w:w w:val="95"/>
              </w:rPr>
            </w:pPr>
            <w:hyperlink w:anchor="page167">
              <w:r>
                <w:rPr>
                  <w:rFonts w:ascii="Arial" w:cs="Arial" w:eastAsia="Arial" w:hAnsi="Arial"/>
                  <w:sz w:val="18"/>
                  <w:szCs w:val="18"/>
                  <w:color w:val="0000EE"/>
                  <w:w w:val="95"/>
                </w:rPr>
                <w:t>Article Seven - HOLDERS’ LISTS AND REPORTS BY TRUSTEE AND COMPANY</w:t>
              </w:r>
            </w:hyperlink>
          </w:p>
        </w:tc>
        <w:tc>
          <w:tcPr>
            <w:tcW w:w="420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60" w:type="dxa"/>
            <w:vAlign w:val="bottom"/>
          </w:tcPr>
          <w:p>
            <w:pPr>
              <w:spacing w:after="0"/>
              <w:rPr>
                <w:sz w:val="24"/>
                <w:szCs w:val="24"/>
                <w:color w:val="auto"/>
              </w:rPr>
            </w:pPr>
          </w:p>
        </w:tc>
        <w:tc>
          <w:tcPr>
            <w:tcW w:w="10160" w:type="dxa"/>
            <w:vAlign w:val="bottom"/>
            <w:gridSpan w:val="47"/>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Section 701. Disclosure of Names and Addresses of Holders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Section 702. Reports by Trustee</w:t>
              </w:r>
            </w:hyperlink>
          </w:p>
        </w:tc>
        <w:tc>
          <w:tcPr>
            <w:tcW w:w="2040" w:type="dxa"/>
            <w:vAlign w:val="bottom"/>
            <w:tcBorders>
              <w:top w:val="single" w:sz="8" w:color="0000EE"/>
            </w:tcBorders>
            <w:gridSpan w:val="26"/>
          </w:tcPr>
          <w:p>
            <w:pPr>
              <w:spacing w:after="0"/>
              <w:rPr>
                <w:sz w:val="17"/>
                <w:szCs w:val="17"/>
                <w:color w:val="auto"/>
              </w:rPr>
            </w:pPr>
          </w:p>
        </w:tc>
        <w:tc>
          <w:tcPr>
            <w:tcW w:w="5800" w:type="dxa"/>
            <w:vAlign w:val="bottom"/>
            <w:gridSpan w:val="1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Section 703. Reports by Company</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Section 704. Company to Furnish Trustee Names and Addresses of Holders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140" w:type="dxa"/>
            <w:vAlign w:val="bottom"/>
            <w:tcBorders>
              <w:bottom w:val="single" w:sz="8" w:color="0000EE"/>
            </w:tcBorders>
            <w:gridSpan w:val="44"/>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Article Eight - CONSOLIDATION, MERGER, SALE, LEASE OR CONVEYANCE</w:t>
              </w:r>
            </w:hyperlink>
          </w:p>
        </w:tc>
        <w:tc>
          <w:tcPr>
            <w:tcW w:w="438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36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Section</w:t>
              </w:r>
            </w:hyperlink>
          </w:p>
        </w:tc>
        <w:tc>
          <w:tcPr>
            <w:tcW w:w="9560" w:type="dxa"/>
            <w:vAlign w:val="bottom"/>
            <w:gridSpan w:val="46"/>
          </w:tcPr>
          <w:p>
            <w:pPr>
              <w:ind w:left="40"/>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801. Consolidations and Mergers of Company and Sales, Leases and Conveyances Permitted Subject to Certain Conditions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3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0"/>
              </w:rPr>
            </w:pPr>
            <w:hyperlink w:anchor="page168">
              <w:r>
                <w:rPr>
                  <w:rFonts w:ascii="Arial" w:cs="Arial" w:eastAsia="Arial" w:hAnsi="Arial"/>
                  <w:sz w:val="18"/>
                  <w:szCs w:val="18"/>
                  <w:color w:val="0000EE"/>
                  <w:w w:val="90"/>
                </w:rPr>
                <w:t>Section 802. Rights and Duties of Successor Corporation</w:t>
              </w:r>
            </w:hyperlink>
          </w:p>
        </w:tc>
        <w:tc>
          <w:tcPr>
            <w:tcW w:w="5380" w:type="dxa"/>
            <w:vAlign w:val="bottom"/>
            <w:tcBorders>
              <w:top w:val="single" w:sz="8" w:color="0000EE"/>
            </w:tcBorders>
            <w:gridSpan w:val="15"/>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Section</w:t>
              </w:r>
            </w:hyperlink>
          </w:p>
        </w:tc>
        <w:tc>
          <w:tcPr>
            <w:tcW w:w="3620" w:type="dxa"/>
            <w:vAlign w:val="bottom"/>
            <w:tcBorders>
              <w:bottom w:val="single" w:sz="8" w:color="0000EE"/>
            </w:tcBorders>
            <w:gridSpan w:val="31"/>
          </w:tcPr>
          <w:p>
            <w:pPr>
              <w:ind w:left="40"/>
              <w:spacing w:after="0" w:line="196" w:lineRule="exact"/>
              <w:rPr>
                <w:rFonts w:ascii="Arial" w:cs="Arial" w:eastAsia="Arial" w:hAnsi="Arial"/>
                <w:sz w:val="18"/>
                <w:szCs w:val="18"/>
                <w:color w:val="0000EE"/>
                <w:w w:val="92"/>
              </w:rPr>
            </w:pPr>
            <w:hyperlink w:anchor="page168">
              <w:r>
                <w:rPr>
                  <w:rFonts w:ascii="Arial" w:cs="Arial" w:eastAsia="Arial" w:hAnsi="Arial"/>
                  <w:sz w:val="18"/>
                  <w:szCs w:val="18"/>
                  <w:color w:val="0000EE"/>
                  <w:w w:val="92"/>
                </w:rPr>
                <w:t>803. Officers’ Certificate and Opinion of Counsel</w:t>
              </w:r>
            </w:hyperlink>
          </w:p>
        </w:tc>
        <w:tc>
          <w:tcPr>
            <w:tcW w:w="594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04"/>
        </w:trPr>
        <w:tc>
          <w:tcPr>
            <w:tcW w:w="362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Article Nine - SUPPLEMENTAL INDENTURES</w:t>
              </w:r>
            </w:hyperlink>
          </w:p>
        </w:tc>
        <w:tc>
          <w:tcPr>
            <w:tcW w:w="6900" w:type="dxa"/>
            <w:vAlign w:val="bottom"/>
            <w:gridSpan w:val="2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36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Section</w:t>
              </w:r>
            </w:hyperlink>
          </w:p>
        </w:tc>
        <w:tc>
          <w:tcPr>
            <w:tcW w:w="9560" w:type="dxa"/>
            <w:vAlign w:val="bottom"/>
            <w:gridSpan w:val="46"/>
          </w:tcPr>
          <w:p>
            <w:pPr>
              <w:ind w:left="40"/>
              <w:spacing w:after="0"/>
              <w:rPr>
                <w:rFonts w:ascii="Arial" w:cs="Arial" w:eastAsia="Arial" w:hAnsi="Arial"/>
                <w:sz w:val="18"/>
                <w:szCs w:val="18"/>
                <w:color w:val="0000EE"/>
              </w:rPr>
            </w:pPr>
            <w:hyperlink w:anchor="page168">
              <w:r>
                <w:rPr>
                  <w:rFonts w:ascii="Arial" w:cs="Arial" w:eastAsia="Arial" w:hAnsi="Arial"/>
                  <w:sz w:val="18"/>
                  <w:szCs w:val="18"/>
                  <w:color w:val="0000EE"/>
                </w:rPr>
                <w:t>901. Supplemental Indentures Without Consent of Holders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36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Section 902. Supplemental Indentures with Consent of Holders</w:t>
              </w:r>
            </w:hyperlink>
          </w:p>
        </w:tc>
        <w:tc>
          <w:tcPr>
            <w:tcW w:w="280" w:type="dxa"/>
            <w:vAlign w:val="bottom"/>
            <w:tcBorders>
              <w:top w:val="single" w:sz="8" w:color="0000EE"/>
            </w:tcBorders>
            <w:gridSpan w:val="4"/>
          </w:tcPr>
          <w:p>
            <w:pPr>
              <w:spacing w:after="0"/>
              <w:rPr>
                <w:sz w:val="17"/>
                <w:szCs w:val="17"/>
                <w:color w:val="auto"/>
              </w:rPr>
            </w:pPr>
          </w:p>
        </w:tc>
        <w:tc>
          <w:tcPr>
            <w:tcW w:w="53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60" w:type="dxa"/>
            <w:vAlign w:val="bottom"/>
          </w:tcPr>
          <w:p>
            <w:pPr>
              <w:spacing w:after="0"/>
              <w:rPr>
                <w:sz w:val="17"/>
                <w:szCs w:val="17"/>
                <w:color w:val="auto"/>
              </w:rPr>
            </w:pPr>
          </w:p>
        </w:tc>
        <w:tc>
          <w:tcPr>
            <w:tcW w:w="37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Section 903. Execution of Supplemental Indentures</w:t>
              </w:r>
            </w:hyperlink>
          </w:p>
        </w:tc>
        <w:tc>
          <w:tcPr>
            <w:tcW w:w="6440" w:type="dxa"/>
            <w:vAlign w:val="bottom"/>
            <w:gridSpan w:val="2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Section 904. Effect of Supplemental Indentures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2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71">
              <w:r>
                <w:rPr>
                  <w:rFonts w:ascii="Arial" w:cs="Arial" w:eastAsia="Arial" w:hAnsi="Arial"/>
                  <w:sz w:val="18"/>
                  <w:szCs w:val="18"/>
                  <w:color w:val="0000EE"/>
                  <w:w w:val="92"/>
                </w:rPr>
                <w:t>Section 905. Conformity with Trust Indenture Act</w:t>
              </w:r>
            </w:hyperlink>
          </w:p>
        </w:tc>
        <w:tc>
          <w:tcPr>
            <w:tcW w:w="6540" w:type="dxa"/>
            <w:vAlign w:val="bottom"/>
            <w:gridSpan w:val="2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71">
              <w:r>
                <w:rPr>
                  <w:rFonts w:ascii="Arial" w:cs="Arial" w:eastAsia="Arial" w:hAnsi="Arial"/>
                  <w:sz w:val="18"/>
                  <w:szCs w:val="18"/>
                  <w:color w:val="0000EE"/>
                  <w:w w:val="96"/>
                </w:rPr>
                <w:t>Section</w:t>
              </w:r>
            </w:hyperlink>
          </w:p>
        </w:tc>
        <w:tc>
          <w:tcPr>
            <w:tcW w:w="4100" w:type="dxa"/>
            <w:vAlign w:val="bottom"/>
            <w:tcBorders>
              <w:bottom w:val="single" w:sz="8" w:color="0000EE"/>
            </w:tcBorders>
            <w:gridSpan w:val="34"/>
          </w:tcPr>
          <w:p>
            <w:pPr>
              <w:ind w:left="40"/>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906. Reference in Securities to Supplemental Indentures</w:t>
              </w:r>
            </w:hyperlink>
          </w:p>
        </w:tc>
        <w:tc>
          <w:tcPr>
            <w:tcW w:w="546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304"/>
        </w:trPr>
        <w:tc>
          <w:tcPr>
            <w:tcW w:w="20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71">
              <w:r>
                <w:rPr>
                  <w:rFonts w:ascii="Arial" w:cs="Arial" w:eastAsia="Arial" w:hAnsi="Arial"/>
                  <w:sz w:val="18"/>
                  <w:szCs w:val="18"/>
                  <w:color w:val="0000EE"/>
                  <w:w w:val="95"/>
                </w:rPr>
                <w:t>Article Ten - COVENANTS</w:t>
              </w:r>
            </w:hyperlink>
          </w:p>
        </w:tc>
        <w:tc>
          <w:tcPr>
            <w:tcW w:w="8460" w:type="dxa"/>
            <w:vAlign w:val="bottom"/>
            <w:gridSpan w:val="4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6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EE"/>
                <w:w w:val="96"/>
              </w:rPr>
            </w:pPr>
            <w:hyperlink w:anchor="page171">
              <w:r>
                <w:rPr>
                  <w:rFonts w:ascii="Arial" w:cs="Arial" w:eastAsia="Arial" w:hAnsi="Arial"/>
                  <w:sz w:val="18"/>
                  <w:szCs w:val="18"/>
                  <w:color w:val="0000EE"/>
                  <w:w w:val="96"/>
                </w:rPr>
                <w:t>Section</w:t>
              </w:r>
            </w:hyperlink>
          </w:p>
        </w:tc>
        <w:tc>
          <w:tcPr>
            <w:tcW w:w="9560" w:type="dxa"/>
            <w:vAlign w:val="bottom"/>
            <w:gridSpan w:val="46"/>
          </w:tcPr>
          <w:p>
            <w:pPr>
              <w:ind w:left="40"/>
              <w:spacing w:after="0"/>
              <w:rPr>
                <w:rFonts w:ascii="Arial" w:cs="Arial" w:eastAsia="Arial" w:hAnsi="Arial"/>
                <w:sz w:val="18"/>
                <w:szCs w:val="18"/>
                <w:color w:val="0000EE"/>
              </w:rPr>
            </w:pPr>
            <w:hyperlink w:anchor="page171">
              <w:r>
                <w:rPr>
                  <w:rFonts w:ascii="Arial" w:cs="Arial" w:eastAsia="Arial" w:hAnsi="Arial"/>
                  <w:sz w:val="18"/>
                  <w:szCs w:val="18"/>
                  <w:color w:val="0000EE"/>
                </w:rPr>
                <w:t>1001. Payment of Principal, Premium or Make-Whole Amount, if any; and Interest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6620" w:type="dxa"/>
            <w:vAlign w:val="bottom"/>
            <w:tcBorders>
              <w:top w:val="single" w:sz="8" w:color="0000EE"/>
            </w:tcBorders>
            <w:gridSpan w:val="4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Section 1002. Maintenance of Office or Agency</w:t>
              </w:r>
            </w:hyperlink>
          </w:p>
        </w:tc>
        <w:tc>
          <w:tcPr>
            <w:tcW w:w="35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72">
              <w:r>
                <w:rPr>
                  <w:rFonts w:ascii="Arial" w:cs="Arial" w:eastAsia="Arial" w:hAnsi="Arial"/>
                  <w:sz w:val="18"/>
                  <w:szCs w:val="18"/>
                  <w:color w:val="0000EE"/>
                  <w:w w:val="96"/>
                </w:rPr>
                <w:t>Section</w:t>
              </w:r>
            </w:hyperlink>
          </w:p>
        </w:tc>
        <w:tc>
          <w:tcPr>
            <w:tcW w:w="9560" w:type="dxa"/>
            <w:vAlign w:val="bottom"/>
            <w:gridSpan w:val="46"/>
          </w:tcPr>
          <w:p>
            <w:pPr>
              <w:ind w:left="40"/>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1003. Money for Securities Payments to Be Held in Trust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Section 1004. Existence</w:t>
              </w:r>
            </w:hyperlink>
          </w:p>
        </w:tc>
        <w:tc>
          <w:tcPr>
            <w:tcW w:w="3020" w:type="dxa"/>
            <w:vAlign w:val="bottom"/>
            <w:tcBorders>
              <w:top w:val="single" w:sz="8" w:color="0000EE"/>
            </w:tcBorders>
            <w:gridSpan w:val="33"/>
          </w:tcPr>
          <w:p>
            <w:pPr>
              <w:spacing w:after="0"/>
              <w:rPr>
                <w:sz w:val="17"/>
                <w:szCs w:val="17"/>
                <w:color w:val="auto"/>
              </w:rPr>
            </w:pPr>
          </w:p>
        </w:tc>
        <w:tc>
          <w:tcPr>
            <w:tcW w:w="538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Section 1005. Maintenance of Properties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29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Section 1006. Insurance</w:t>
              </w:r>
            </w:hyperlink>
          </w:p>
        </w:tc>
        <w:tc>
          <w:tcPr>
            <w:tcW w:w="7220" w:type="dxa"/>
            <w:vAlign w:val="bottom"/>
            <w:gridSpan w:val="3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Section 1007. Payment of Taxes and Other Claims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Section 1008. Statement as to Compliance</w:t>
              </w:r>
            </w:hyperlink>
          </w:p>
        </w:tc>
        <w:tc>
          <w:tcPr>
            <w:tcW w:w="580" w:type="dxa"/>
            <w:vAlign w:val="bottom"/>
            <w:tcBorders>
              <w:top w:val="single" w:sz="8" w:color="0000EE"/>
            </w:tcBorders>
            <w:gridSpan w:val="9"/>
          </w:tcPr>
          <w:p>
            <w:pPr>
              <w:spacing w:after="0"/>
              <w:rPr>
                <w:sz w:val="17"/>
                <w:szCs w:val="17"/>
                <w:color w:val="auto"/>
              </w:rPr>
            </w:pPr>
          </w:p>
        </w:tc>
        <w:tc>
          <w:tcPr>
            <w:tcW w:w="6520" w:type="dxa"/>
            <w:vAlign w:val="bottom"/>
            <w:gridSpan w:val="2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Section 1009. Waiver of Certain Covenants</w:t>
              </w:r>
            </w:hyperlink>
          </w:p>
        </w:tc>
        <w:tc>
          <w:tcPr>
            <w:tcW w:w="7000" w:type="dxa"/>
            <w:vAlign w:val="bottom"/>
            <w:gridSpan w:val="2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304"/>
        </w:trPr>
        <w:tc>
          <w:tcPr>
            <w:tcW w:w="10520" w:type="dxa"/>
            <w:vAlign w:val="bottom"/>
            <w:gridSpan w:val="4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Article Eleven - REDEMPTION OF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360" w:type="dxa"/>
            <w:vAlign w:val="bottom"/>
            <w:tcBorders>
              <w:top w:val="single" w:sz="8" w:color="0000EE"/>
            </w:tcBorders>
          </w:tcPr>
          <w:p>
            <w:pPr>
              <w:spacing w:after="0"/>
              <w:rPr>
                <w:sz w:val="24"/>
                <w:szCs w:val="24"/>
                <w:color w:val="auto"/>
              </w:rPr>
            </w:pPr>
          </w:p>
        </w:tc>
        <w:tc>
          <w:tcPr>
            <w:tcW w:w="3340" w:type="dxa"/>
            <w:vAlign w:val="bottom"/>
            <w:tcBorders>
              <w:top w:val="single" w:sz="8" w:color="0000EE"/>
            </w:tcBorders>
            <w:gridSpan w:val="20"/>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Section 1101. Applicability of Article</w:t>
              </w:r>
            </w:hyperlink>
          </w:p>
        </w:tc>
        <w:tc>
          <w:tcPr>
            <w:tcW w:w="6820" w:type="dxa"/>
            <w:vAlign w:val="bottom"/>
            <w:gridSpan w:val="2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2660" w:type="dxa"/>
            <w:vAlign w:val="bottom"/>
            <w:tcBorders>
              <w:right w:val="single" w:sz="8" w:color="0000EE"/>
            </w:tcBorders>
            <w:gridSpan w:val="12"/>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Section 1102. Election to Redeem; Notice to Trustee</w:t>
              </w:r>
            </w:hyperlink>
          </w:p>
        </w:tc>
        <w:tc>
          <w:tcPr>
            <w:tcW w:w="636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74">
              <w:r>
                <w:rPr>
                  <w:rFonts w:ascii="Arial" w:cs="Arial" w:eastAsia="Arial" w:hAnsi="Arial"/>
                  <w:sz w:val="18"/>
                  <w:szCs w:val="18"/>
                  <w:color w:val="0000EE"/>
                  <w:w w:val="96"/>
                </w:rPr>
                <w:t>Section</w:t>
              </w:r>
            </w:hyperlink>
          </w:p>
        </w:tc>
        <w:tc>
          <w:tcPr>
            <w:tcW w:w="4140" w:type="dxa"/>
            <w:vAlign w:val="bottom"/>
            <w:tcBorders>
              <w:bottom w:val="single" w:sz="8" w:color="0000EE"/>
            </w:tcBorders>
            <w:gridSpan w:val="35"/>
          </w:tcPr>
          <w:p>
            <w:pPr>
              <w:ind w:left="40"/>
              <w:spacing w:after="0" w:line="19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1103. Selection by Trustee of Securities to Be Redeemed</w:t>
              </w:r>
            </w:hyperlink>
          </w:p>
        </w:tc>
        <w:tc>
          <w:tcPr>
            <w:tcW w:w="542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Section 1104. Notice of Redemption</w:t>
              </w:r>
            </w:hyperlink>
          </w:p>
        </w:tc>
        <w:tc>
          <w:tcPr>
            <w:tcW w:w="7500" w:type="dxa"/>
            <w:vAlign w:val="bottom"/>
            <w:gridSpan w:val="3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6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Section 1105. Deposit of Redemption Price</w:t>
              </w:r>
            </w:hyperlink>
          </w:p>
        </w:tc>
        <w:tc>
          <w:tcPr>
            <w:tcW w:w="702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Section 1106. Securities Payable on Redemption Date</w:t>
              </w:r>
            </w:hyperlink>
          </w:p>
        </w:tc>
        <w:tc>
          <w:tcPr>
            <w:tcW w:w="626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6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Section 1107. Securities Redeemed in Part</w:t>
              </w:r>
            </w:hyperlink>
          </w:p>
        </w:tc>
        <w:tc>
          <w:tcPr>
            <w:tcW w:w="7080" w:type="dxa"/>
            <w:vAlign w:val="bottom"/>
            <w:gridSpan w:val="3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256"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9920" w:type="dxa"/>
            <w:vAlign w:val="bottom"/>
            <w:gridSpan w:val="44"/>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Article Twelve - SINKING FUNDS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7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76">
              <w:r>
                <w:rPr>
                  <w:rFonts w:ascii="Arial" w:cs="Arial" w:eastAsia="Arial" w:hAnsi="Arial"/>
                  <w:sz w:val="18"/>
                  <w:szCs w:val="18"/>
                  <w:color w:val="0000EE"/>
                  <w:w w:val="95"/>
                </w:rPr>
                <w:t>Section 1201. Applicability of Article</w:t>
              </w:r>
            </w:hyperlink>
          </w:p>
        </w:tc>
        <w:tc>
          <w:tcPr>
            <w:tcW w:w="6820" w:type="dxa"/>
            <w:vAlign w:val="bottom"/>
            <w:gridSpan w:val="3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77">
              <w:r>
                <w:rPr>
                  <w:rFonts w:ascii="Arial" w:cs="Arial" w:eastAsia="Arial" w:hAnsi="Arial"/>
                  <w:sz w:val="18"/>
                  <w:szCs w:val="18"/>
                  <w:color w:val="0000EE"/>
                  <w:w w:val="96"/>
                </w:rPr>
                <w:t>Section</w:t>
              </w:r>
            </w:hyperlink>
          </w:p>
        </w:tc>
        <w:tc>
          <w:tcPr>
            <w:tcW w:w="4420" w:type="dxa"/>
            <w:vAlign w:val="bottom"/>
            <w:tcBorders>
              <w:bottom w:val="single" w:sz="8" w:color="0000EE"/>
            </w:tcBorders>
            <w:gridSpan w:val="31"/>
          </w:tcPr>
          <w:p>
            <w:pPr>
              <w:ind w:left="40"/>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1202. Satisfaction of Sinking Fund Payments with Securities</w:t>
              </w:r>
            </w:hyperlink>
          </w:p>
        </w:tc>
        <w:tc>
          <w:tcPr>
            <w:tcW w:w="4540" w:type="dxa"/>
            <w:vAlign w:val="bottom"/>
            <w:gridSpan w:val="1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Section 1203. Redemption of Securities for Sinking Fund</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6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4"/>
        </w:trPr>
        <w:tc>
          <w:tcPr>
            <w:tcW w:w="490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77">
              <w:r>
                <w:rPr>
                  <w:rFonts w:ascii="Arial" w:cs="Arial" w:eastAsia="Arial" w:hAnsi="Arial"/>
                  <w:sz w:val="18"/>
                  <w:szCs w:val="18"/>
                  <w:color w:val="0000EE"/>
                  <w:w w:val="94"/>
                </w:rPr>
                <w:t>Article Thirteen - REPAYMENT AT THE OPTION OF HOLDERS</w:t>
              </w:r>
            </w:hyperlink>
          </w:p>
        </w:tc>
        <w:tc>
          <w:tcPr>
            <w:tcW w:w="5020" w:type="dxa"/>
            <w:vAlign w:val="bottom"/>
            <w:gridSpan w:val="1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360" w:type="dxa"/>
            <w:vAlign w:val="bottom"/>
          </w:tcPr>
          <w:p>
            <w:pPr>
              <w:spacing w:after="0"/>
              <w:rPr>
                <w:sz w:val="24"/>
                <w:szCs w:val="24"/>
                <w:color w:val="auto"/>
              </w:rPr>
            </w:pPr>
          </w:p>
        </w:tc>
        <w:tc>
          <w:tcPr>
            <w:tcW w:w="27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77">
              <w:r>
                <w:rPr>
                  <w:rFonts w:ascii="Arial" w:cs="Arial" w:eastAsia="Arial" w:hAnsi="Arial"/>
                  <w:sz w:val="18"/>
                  <w:szCs w:val="18"/>
                  <w:color w:val="0000EE"/>
                  <w:w w:val="95"/>
                </w:rPr>
                <w:t>Section 1301. Applicability of Article</w:t>
              </w:r>
            </w:hyperlink>
          </w:p>
        </w:tc>
        <w:tc>
          <w:tcPr>
            <w:tcW w:w="6820" w:type="dxa"/>
            <w:vAlign w:val="bottom"/>
            <w:gridSpan w:val="3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Section 1302. Repayment of Securities</w:t>
              </w:r>
            </w:hyperlink>
          </w:p>
        </w:tc>
        <w:tc>
          <w:tcPr>
            <w:tcW w:w="6740" w:type="dxa"/>
            <w:vAlign w:val="bottom"/>
            <w:gridSpan w:val="3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Section 1303. Exercise of Option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6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40" w:type="dxa"/>
            <w:vAlign w:val="bottom"/>
            <w:tcBorders>
              <w:bottom w:val="single" w:sz="8" w:color="0000EE"/>
            </w:tcBorders>
            <w:gridSpan w:val="38"/>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Section 1304. When Securities Presented for Repayment Become Due and Payable</w:t>
              </w:r>
            </w:hyperlink>
          </w:p>
        </w:tc>
        <w:tc>
          <w:tcPr>
            <w:tcW w:w="3520" w:type="dxa"/>
            <w:vAlign w:val="bottom"/>
            <w:gridSpan w:val="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Section 1305. Securities Repaid in Part</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4"/>
        </w:trPr>
        <w:tc>
          <w:tcPr>
            <w:tcW w:w="5200" w:type="dxa"/>
            <w:vAlign w:val="bottom"/>
            <w:tcBorders>
              <w:bottom w:val="single" w:sz="8" w:color="0000EE"/>
            </w:tcBorders>
            <w:gridSpan w:val="32"/>
          </w:tcPr>
          <w:p>
            <w:pPr>
              <w:spacing w:after="0"/>
              <w:rPr>
                <w:rFonts w:ascii="Arial" w:cs="Arial" w:eastAsia="Arial" w:hAnsi="Arial"/>
                <w:sz w:val="18"/>
                <w:szCs w:val="18"/>
                <w:color w:val="0000EE"/>
                <w:w w:val="95"/>
              </w:rPr>
            </w:pPr>
            <w:hyperlink w:anchor="page179">
              <w:r>
                <w:rPr>
                  <w:rFonts w:ascii="Arial" w:cs="Arial" w:eastAsia="Arial" w:hAnsi="Arial"/>
                  <w:sz w:val="18"/>
                  <w:szCs w:val="18"/>
                  <w:color w:val="0000EE"/>
                  <w:w w:val="95"/>
                </w:rPr>
                <w:t>Article Fourteen - DEFEASANCE AND COVENANT DEFEASANCE</w:t>
              </w:r>
            </w:hyperlink>
          </w:p>
        </w:tc>
        <w:tc>
          <w:tcPr>
            <w:tcW w:w="4720" w:type="dxa"/>
            <w:vAlign w:val="bottom"/>
            <w:gridSpan w:val="1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36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EE"/>
                <w:w w:val="96"/>
              </w:rPr>
            </w:pPr>
            <w:hyperlink w:anchor="page179">
              <w:r>
                <w:rPr>
                  <w:rFonts w:ascii="Arial" w:cs="Arial" w:eastAsia="Arial" w:hAnsi="Arial"/>
                  <w:sz w:val="18"/>
                  <w:szCs w:val="18"/>
                  <w:color w:val="0000EE"/>
                  <w:w w:val="96"/>
                </w:rPr>
                <w:t>Section</w:t>
              </w:r>
            </w:hyperlink>
          </w:p>
        </w:tc>
        <w:tc>
          <w:tcPr>
            <w:tcW w:w="8960" w:type="dxa"/>
            <w:vAlign w:val="bottom"/>
            <w:gridSpan w:val="42"/>
          </w:tcPr>
          <w:p>
            <w:pPr>
              <w:ind w:left="40"/>
              <w:spacing w:after="0"/>
              <w:rPr>
                <w:rFonts w:ascii="Arial" w:cs="Arial" w:eastAsia="Arial" w:hAnsi="Arial"/>
                <w:sz w:val="18"/>
                <w:szCs w:val="18"/>
                <w:color w:val="0000EE"/>
              </w:rPr>
            </w:pPr>
            <w:hyperlink w:anchor="page179">
              <w:r>
                <w:rPr>
                  <w:rFonts w:ascii="Arial" w:cs="Arial" w:eastAsia="Arial" w:hAnsi="Arial"/>
                  <w:sz w:val="18"/>
                  <w:szCs w:val="18"/>
                  <w:color w:val="0000EE"/>
                </w:rPr>
                <w:t>1401. Applicability of Article; Company’s Option to Effect Defeasance or Covenant Defeasance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3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Section 1402. Defeasance and Discharge</w:t>
              </w:r>
            </w:hyperlink>
          </w:p>
        </w:tc>
        <w:tc>
          <w:tcPr>
            <w:tcW w:w="4620" w:type="dxa"/>
            <w:vAlign w:val="bottom"/>
            <w:tcBorders>
              <w:top w:val="single" w:sz="8" w:color="0000EE"/>
            </w:tcBorders>
            <w:gridSpan w:val="31"/>
          </w:tcPr>
          <w:p>
            <w:pPr>
              <w:spacing w:after="0"/>
              <w:rPr>
                <w:sz w:val="17"/>
                <w:szCs w:val="17"/>
                <w:color w:val="auto"/>
              </w:rPr>
            </w:pPr>
          </w:p>
        </w:tc>
        <w:tc>
          <w:tcPr>
            <w:tcW w:w="1980" w:type="dxa"/>
            <w:vAlign w:val="bottom"/>
            <w:gridSpan w:val="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Section 1403. Covenant Defeasance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80">
              <w:r>
                <w:rPr>
                  <w:rFonts w:ascii="Arial" w:cs="Arial" w:eastAsia="Arial" w:hAnsi="Arial"/>
                  <w:sz w:val="18"/>
                  <w:szCs w:val="18"/>
                  <w:color w:val="0000EE"/>
                  <w:w w:val="96"/>
                </w:rPr>
                <w:t>Section</w:t>
              </w:r>
            </w:hyperlink>
          </w:p>
        </w:tc>
        <w:tc>
          <w:tcPr>
            <w:tcW w:w="8960" w:type="dxa"/>
            <w:vAlign w:val="bottom"/>
            <w:gridSpan w:val="42"/>
          </w:tcPr>
          <w:p>
            <w:pPr>
              <w:ind w:left="4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1404. Conditions to Defeasance or Covenant Defeasance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81">
              <w:r>
                <w:rPr>
                  <w:rFonts w:ascii="Arial" w:cs="Arial" w:eastAsia="Arial" w:hAnsi="Arial"/>
                  <w:sz w:val="18"/>
                  <w:szCs w:val="18"/>
                  <w:color w:val="0000EE"/>
                  <w:w w:val="96"/>
                </w:rPr>
                <w:t>Section</w:t>
              </w:r>
            </w:hyperlink>
          </w:p>
        </w:tc>
        <w:tc>
          <w:tcPr>
            <w:tcW w:w="7740" w:type="dxa"/>
            <w:vAlign w:val="bottom"/>
            <w:tcBorders>
              <w:bottom w:val="single" w:sz="8" w:color="0000EE"/>
            </w:tcBorders>
            <w:gridSpan w:val="41"/>
          </w:tcPr>
          <w:p>
            <w:pPr>
              <w:ind w:left="40"/>
              <w:spacing w:after="0" w:line="196" w:lineRule="exact"/>
              <w:rPr>
                <w:rFonts w:ascii="Arial" w:cs="Arial" w:eastAsia="Arial" w:hAnsi="Arial"/>
                <w:sz w:val="18"/>
                <w:szCs w:val="18"/>
                <w:color w:val="0000EE"/>
                <w:w w:val="91"/>
              </w:rPr>
            </w:pPr>
            <w:hyperlink w:anchor="page181">
              <w:r>
                <w:rPr>
                  <w:rFonts w:ascii="Arial" w:cs="Arial" w:eastAsia="Arial" w:hAnsi="Arial"/>
                  <w:sz w:val="18"/>
                  <w:szCs w:val="18"/>
                  <w:color w:val="0000EE"/>
                  <w:w w:val="91"/>
                </w:rPr>
                <w:t>1405. Deposited Money and Government Obligations to Be Held in Trust; Other Miscellaneous Provisions</w:t>
              </w:r>
            </w:hyperlink>
          </w:p>
        </w:tc>
        <w:tc>
          <w:tcPr>
            <w:tcW w:w="12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304"/>
        </w:trPr>
        <w:tc>
          <w:tcPr>
            <w:tcW w:w="4620" w:type="dxa"/>
            <w:vAlign w:val="bottom"/>
            <w:tcBorders>
              <w:bottom w:val="single" w:sz="8" w:color="0000EE"/>
            </w:tcBorders>
            <w:gridSpan w:val="27"/>
          </w:tcPr>
          <w:p>
            <w:pPr>
              <w:spacing w:after="0"/>
              <w:rPr>
                <w:rFonts w:ascii="Arial" w:cs="Arial" w:eastAsia="Arial" w:hAnsi="Arial"/>
                <w:sz w:val="18"/>
                <w:szCs w:val="18"/>
                <w:color w:val="0000EE"/>
                <w:w w:val="94"/>
              </w:rPr>
            </w:pPr>
            <w:hyperlink w:anchor="page181">
              <w:r>
                <w:rPr>
                  <w:rFonts w:ascii="Arial" w:cs="Arial" w:eastAsia="Arial" w:hAnsi="Arial"/>
                  <w:sz w:val="18"/>
                  <w:szCs w:val="18"/>
                  <w:color w:val="0000EE"/>
                  <w:w w:val="94"/>
                </w:rPr>
                <w:t>Article Fifteen - MEETINGS OF HOLDERS OF SECURITIES</w:t>
              </w:r>
            </w:hyperlink>
          </w:p>
        </w:tc>
        <w:tc>
          <w:tcPr>
            <w:tcW w:w="5300" w:type="dxa"/>
            <w:vAlign w:val="bottom"/>
            <w:gridSpan w:val="17"/>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360" w:type="dxa"/>
            <w:vAlign w:val="bottom"/>
          </w:tcPr>
          <w:p>
            <w:pPr>
              <w:spacing w:after="0"/>
              <w:rPr>
                <w:sz w:val="24"/>
                <w:szCs w:val="24"/>
                <w:color w:val="auto"/>
              </w:rPr>
            </w:pPr>
          </w:p>
        </w:tc>
        <w:tc>
          <w:tcPr>
            <w:tcW w:w="9560" w:type="dxa"/>
            <w:vAlign w:val="bottom"/>
            <w:gridSpan w:val="43"/>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Section 1501. Purposes for Which Meetings May Be Called</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43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Section 1502. Call, Notice and Place of Meetings</w:t>
              </w:r>
            </w:hyperlink>
          </w:p>
        </w:tc>
        <w:tc>
          <w:tcPr>
            <w:tcW w:w="5240" w:type="dxa"/>
            <w:vAlign w:val="bottom"/>
            <w:gridSpan w:val="1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82">
              <w:r>
                <w:rPr>
                  <w:rFonts w:ascii="Arial" w:cs="Arial" w:eastAsia="Arial" w:hAnsi="Arial"/>
                  <w:sz w:val="18"/>
                  <w:szCs w:val="18"/>
                  <w:color w:val="0000EE"/>
                  <w:w w:val="90"/>
                </w:rPr>
                <w:t>Section 1503. Persons Entitled to Vote at Meetings</w:t>
              </w:r>
            </w:hyperlink>
          </w:p>
        </w:tc>
        <w:tc>
          <w:tcPr>
            <w:tcW w:w="5880" w:type="dxa"/>
            <w:vAlign w:val="bottom"/>
            <w:gridSpan w:val="2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Section 1504. Quorum; Action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83">
              <w:r>
                <w:rPr>
                  <w:rFonts w:ascii="Arial" w:cs="Arial" w:eastAsia="Arial" w:hAnsi="Arial"/>
                  <w:sz w:val="18"/>
                  <w:szCs w:val="18"/>
                  <w:color w:val="0000EE"/>
                  <w:w w:val="96"/>
                </w:rPr>
                <w:t>Section</w:t>
              </w:r>
            </w:hyperlink>
          </w:p>
        </w:tc>
        <w:tc>
          <w:tcPr>
            <w:tcW w:w="8960" w:type="dxa"/>
            <w:vAlign w:val="bottom"/>
            <w:gridSpan w:val="42"/>
          </w:tcPr>
          <w:p>
            <w:pPr>
              <w:ind w:left="4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1505. Determination of Voting Rights; Conduct and Adjournment of Meetings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tcBorders>
          </w:tcPr>
          <w:p>
            <w:pPr>
              <w:spacing w:after="0" w:line="196" w:lineRule="exact"/>
              <w:rPr>
                <w:rFonts w:ascii="Arial" w:cs="Arial" w:eastAsia="Arial" w:hAnsi="Arial"/>
                <w:sz w:val="18"/>
                <w:szCs w:val="18"/>
                <w:color w:val="0000EE"/>
                <w:w w:val="96"/>
              </w:rPr>
            </w:pPr>
            <w:hyperlink w:anchor="page183">
              <w:r>
                <w:rPr>
                  <w:rFonts w:ascii="Arial" w:cs="Arial" w:eastAsia="Arial" w:hAnsi="Arial"/>
                  <w:sz w:val="18"/>
                  <w:szCs w:val="18"/>
                  <w:color w:val="0000EE"/>
                  <w:w w:val="96"/>
                </w:rPr>
                <w:t>Section</w:t>
              </w:r>
            </w:hyperlink>
          </w:p>
        </w:tc>
        <w:tc>
          <w:tcPr>
            <w:tcW w:w="5680" w:type="dxa"/>
            <w:vAlign w:val="bottom"/>
            <w:tcBorders>
              <w:top w:val="single" w:sz="8" w:color="0000EE"/>
            </w:tcBorders>
            <w:gridSpan w:val="38"/>
          </w:tcPr>
          <w:p>
            <w:pPr>
              <w:ind w:left="4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1506. Counting Votes and Recording Action of Meetings</w:t>
              </w:r>
            </w:hyperlink>
          </w:p>
        </w:tc>
        <w:tc>
          <w:tcPr>
            <w:tcW w:w="3280" w:type="dxa"/>
            <w:vAlign w:val="bottom"/>
            <w:gridSpan w:val="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6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4"/>
        </w:trPr>
        <w:tc>
          <w:tcPr>
            <w:tcW w:w="9920" w:type="dxa"/>
            <w:vAlign w:val="bottom"/>
            <w:gridSpan w:val="4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Article Sixteen - SUBORDINATION OF SECURITIES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360" w:type="dxa"/>
            <w:vAlign w:val="bottom"/>
            <w:tcBorders>
              <w:top w:val="single" w:sz="8" w:color="0000EE"/>
            </w:tcBorders>
          </w:tcPr>
          <w:p>
            <w:pPr>
              <w:spacing w:after="0"/>
              <w:rPr>
                <w:sz w:val="24"/>
                <w:szCs w:val="24"/>
                <w:color w:val="auto"/>
              </w:rPr>
            </w:pPr>
          </w:p>
        </w:tc>
        <w:tc>
          <w:tcPr>
            <w:tcW w:w="3680" w:type="dxa"/>
            <w:vAlign w:val="bottom"/>
            <w:tcBorders>
              <w:top w:val="single" w:sz="8" w:color="0000EE"/>
            </w:tcBorders>
            <w:gridSpan w:val="19"/>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Section 1601. Agreement to Subordinate</w:t>
              </w:r>
            </w:hyperlink>
          </w:p>
        </w:tc>
        <w:tc>
          <w:tcPr>
            <w:tcW w:w="5880" w:type="dxa"/>
            <w:vAlign w:val="bottom"/>
            <w:gridSpan w:val="2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84">
              <w:r>
                <w:rPr>
                  <w:rFonts w:ascii="Arial" w:cs="Arial" w:eastAsia="Arial" w:hAnsi="Arial"/>
                  <w:sz w:val="18"/>
                  <w:szCs w:val="18"/>
                  <w:color w:val="0000EE"/>
                  <w:w w:val="96"/>
                </w:rPr>
                <w:t>Section</w:t>
              </w:r>
            </w:hyperlink>
          </w:p>
        </w:tc>
        <w:tc>
          <w:tcPr>
            <w:tcW w:w="8960" w:type="dxa"/>
            <w:vAlign w:val="bottom"/>
            <w:gridSpan w:val="42"/>
          </w:tcPr>
          <w:p>
            <w:pPr>
              <w:ind w:left="4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1602. Payment Over of Proceeds upon Dissolution, Etc.</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Section 1603. No Payment When Senior Indebtedness in Default</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85">
              <w:r>
                <w:rPr>
                  <w:rFonts w:ascii="Arial" w:cs="Arial" w:eastAsia="Arial" w:hAnsi="Arial"/>
                  <w:sz w:val="18"/>
                  <w:szCs w:val="18"/>
                  <w:color w:val="0000EE"/>
                  <w:w w:val="96"/>
                </w:rPr>
                <w:t>Section</w:t>
              </w:r>
            </w:hyperlink>
          </w:p>
        </w:tc>
        <w:tc>
          <w:tcPr>
            <w:tcW w:w="4940" w:type="dxa"/>
            <w:vAlign w:val="bottom"/>
            <w:tcBorders>
              <w:bottom w:val="single" w:sz="8" w:color="0000EE"/>
            </w:tcBorders>
            <w:gridSpan w:val="34"/>
          </w:tcPr>
          <w:p>
            <w:pPr>
              <w:ind w:left="40"/>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1604. Reliance by Senior Indebtedness on Subordination Provisions</w:t>
              </w:r>
            </w:hyperlink>
          </w:p>
        </w:tc>
        <w:tc>
          <w:tcPr>
            <w:tcW w:w="4020" w:type="dxa"/>
            <w:vAlign w:val="bottom"/>
            <w:gridSpan w:val="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85">
              <w:r>
                <w:rPr>
                  <w:rFonts w:ascii="Arial" w:cs="Arial" w:eastAsia="Arial" w:hAnsi="Arial"/>
                  <w:sz w:val="18"/>
                  <w:szCs w:val="18"/>
                  <w:color w:val="0000EE"/>
                  <w:w w:val="96"/>
                </w:rPr>
                <w:t>Section</w:t>
              </w:r>
            </w:hyperlink>
          </w:p>
        </w:tc>
        <w:tc>
          <w:tcPr>
            <w:tcW w:w="4580" w:type="dxa"/>
            <w:vAlign w:val="bottom"/>
            <w:tcBorders>
              <w:bottom w:val="single" w:sz="8" w:color="0000EE"/>
            </w:tcBorders>
            <w:gridSpan w:val="32"/>
          </w:tcPr>
          <w:p>
            <w:pPr>
              <w:ind w:left="40"/>
              <w:spacing w:after="0" w:line="196" w:lineRule="exact"/>
              <w:rPr>
                <w:rFonts w:ascii="Arial" w:cs="Arial" w:eastAsia="Arial" w:hAnsi="Arial"/>
                <w:sz w:val="18"/>
                <w:szCs w:val="18"/>
                <w:color w:val="0000EE"/>
                <w:w w:val="90"/>
              </w:rPr>
            </w:pPr>
            <w:hyperlink w:anchor="page185">
              <w:r>
                <w:rPr>
                  <w:rFonts w:ascii="Arial" w:cs="Arial" w:eastAsia="Arial" w:hAnsi="Arial"/>
                  <w:sz w:val="18"/>
                  <w:szCs w:val="18"/>
                  <w:color w:val="0000EE"/>
                  <w:w w:val="90"/>
                </w:rPr>
                <w:t>1605. Subrogation to Rights of Holders of Senior Indebtedness</w:t>
              </w:r>
            </w:hyperlink>
          </w:p>
        </w:tc>
        <w:tc>
          <w:tcPr>
            <w:tcW w:w="4380" w:type="dxa"/>
            <w:vAlign w:val="bottom"/>
            <w:gridSpan w:val="1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Section 1606. Provisions Solely to Define Relative Rights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186">
              <w:r>
                <w:rPr>
                  <w:rFonts w:ascii="Arial" w:cs="Arial" w:eastAsia="Arial" w:hAnsi="Arial"/>
                  <w:sz w:val="18"/>
                  <w:szCs w:val="18"/>
                  <w:color w:val="0000EE"/>
                  <w:w w:val="90"/>
                </w:rPr>
                <w:t>Section 1607. Trustee to Effectuate Subordination</w:t>
              </w:r>
            </w:hyperlink>
          </w:p>
        </w:tc>
        <w:tc>
          <w:tcPr>
            <w:tcW w:w="560" w:type="dxa"/>
            <w:vAlign w:val="bottom"/>
            <w:tcBorders>
              <w:top w:val="single" w:sz="8" w:color="0000EE"/>
            </w:tcBorders>
            <w:gridSpan w:val="8"/>
          </w:tcPr>
          <w:p>
            <w:pPr>
              <w:spacing w:after="0"/>
              <w:rPr>
                <w:sz w:val="17"/>
                <w:szCs w:val="17"/>
                <w:color w:val="auto"/>
              </w:rPr>
            </w:pPr>
          </w:p>
        </w:tc>
        <w:tc>
          <w:tcPr>
            <w:tcW w:w="5380" w:type="dxa"/>
            <w:vAlign w:val="bottom"/>
            <w:gridSpan w:val="1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Section 1608. No Waiver of Subordination Provisions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60" w:type="dxa"/>
            <w:vAlign w:val="bottom"/>
          </w:tcPr>
          <w:p>
            <w:pPr>
              <w:spacing w:after="0"/>
              <w:rPr>
                <w:sz w:val="17"/>
                <w:szCs w:val="17"/>
                <w:color w:val="auto"/>
              </w:rPr>
            </w:pPr>
          </w:p>
        </w:tc>
        <w:tc>
          <w:tcPr>
            <w:tcW w:w="38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Section 1609. Notice to Trustee</w:t>
              </w:r>
            </w:hyperlink>
          </w:p>
        </w:tc>
        <w:tc>
          <w:tcPr>
            <w:tcW w:w="5680" w:type="dxa"/>
            <w:vAlign w:val="bottom"/>
            <w:gridSpan w:val="2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6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87">
              <w:r>
                <w:rPr>
                  <w:rFonts w:ascii="Arial" w:cs="Arial" w:eastAsia="Arial" w:hAnsi="Arial"/>
                  <w:sz w:val="18"/>
                  <w:szCs w:val="18"/>
                  <w:color w:val="0000EE"/>
                  <w:w w:val="96"/>
                </w:rPr>
                <w:t>Section</w:t>
              </w:r>
            </w:hyperlink>
          </w:p>
        </w:tc>
        <w:tc>
          <w:tcPr>
            <w:tcW w:w="4980" w:type="dxa"/>
            <w:vAlign w:val="bottom"/>
            <w:tcBorders>
              <w:bottom w:val="single" w:sz="8" w:color="0000EE"/>
            </w:tcBorders>
            <w:gridSpan w:val="35"/>
          </w:tcPr>
          <w:p>
            <w:pPr>
              <w:ind w:left="40"/>
              <w:spacing w:after="0" w:line="196" w:lineRule="exact"/>
              <w:rPr>
                <w:rFonts w:ascii="Arial" w:cs="Arial" w:eastAsia="Arial" w:hAnsi="Arial"/>
                <w:sz w:val="18"/>
                <w:szCs w:val="18"/>
                <w:color w:val="0000EE"/>
                <w:w w:val="92"/>
              </w:rPr>
            </w:pPr>
            <w:hyperlink w:anchor="page187">
              <w:r>
                <w:rPr>
                  <w:rFonts w:ascii="Arial" w:cs="Arial" w:eastAsia="Arial" w:hAnsi="Arial"/>
                  <w:sz w:val="18"/>
                  <w:szCs w:val="18"/>
                  <w:color w:val="0000EE"/>
                  <w:w w:val="92"/>
                </w:rPr>
                <w:t>1610. Reliance on Judicial Order or Certificate of Liquidating Agent</w:t>
              </w:r>
            </w:hyperlink>
          </w:p>
        </w:tc>
        <w:tc>
          <w:tcPr>
            <w:tcW w:w="3980" w:type="dxa"/>
            <w:vAlign w:val="bottom"/>
            <w:gridSpan w:val="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87">
              <w:r>
                <w:rPr>
                  <w:rFonts w:ascii="Arial" w:cs="Arial" w:eastAsia="Arial" w:hAnsi="Arial"/>
                  <w:sz w:val="18"/>
                  <w:szCs w:val="18"/>
                  <w:color w:val="0000EE"/>
                  <w:w w:val="96"/>
                </w:rPr>
                <w:t>Section</w:t>
              </w:r>
            </w:hyperlink>
          </w:p>
        </w:tc>
        <w:tc>
          <w:tcPr>
            <w:tcW w:w="8960" w:type="dxa"/>
            <w:vAlign w:val="bottom"/>
            <w:gridSpan w:val="42"/>
          </w:tcPr>
          <w:p>
            <w:pPr>
              <w:ind w:left="40"/>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1611. Trustee Not Fiduciary for Holders of Senior Indebtedness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60" w:type="dxa"/>
            <w:vAlign w:val="bottom"/>
            <w:gridSpan w:val="10"/>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96"/>
              </w:rPr>
            </w:pPr>
            <w:hyperlink w:anchor="page188">
              <w:r>
                <w:rPr>
                  <w:rFonts w:ascii="Arial" w:cs="Arial" w:eastAsia="Arial" w:hAnsi="Arial"/>
                  <w:sz w:val="18"/>
                  <w:szCs w:val="18"/>
                  <w:color w:val="0000EE"/>
                  <w:w w:val="96"/>
                </w:rPr>
                <w:t>Section</w:t>
              </w:r>
            </w:hyperlink>
          </w:p>
        </w:tc>
        <w:tc>
          <w:tcPr>
            <w:tcW w:w="8960" w:type="dxa"/>
            <w:vAlign w:val="bottom"/>
            <w:gridSpan w:val="42"/>
          </w:tcPr>
          <w:p>
            <w:pPr>
              <w:ind w:left="40"/>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1612. Rights of Trustee as Holder of Senior Indebtedness; Preservation of Trustee’s Rights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Section 1613. Article Applicable to Paying Agents</w:t>
              </w:r>
            </w:hyperlink>
          </w:p>
        </w:tc>
        <w:tc>
          <w:tcPr>
            <w:tcW w:w="3500" w:type="dxa"/>
            <w:vAlign w:val="bottom"/>
            <w:tcBorders>
              <w:top w:val="single" w:sz="8" w:color="0000EE"/>
            </w:tcBorders>
            <w:gridSpan w:val="22"/>
          </w:tcPr>
          <w:p>
            <w:pPr>
              <w:spacing w:after="0"/>
              <w:rPr>
                <w:sz w:val="17"/>
                <w:szCs w:val="17"/>
                <w:color w:val="auto"/>
              </w:rPr>
            </w:pPr>
          </w:p>
        </w:tc>
        <w:tc>
          <w:tcPr>
            <w:tcW w:w="240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396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88">
              <w:r>
                <w:rPr>
                  <w:rFonts w:ascii="Arial" w:cs="Arial" w:eastAsia="Arial" w:hAnsi="Arial"/>
                  <w:sz w:val="18"/>
                  <w:szCs w:val="18"/>
                  <w:color w:val="0000EE"/>
                  <w:w w:val="93"/>
                </w:rPr>
                <w:t>Article Seventeen - CONVERSION OF SECURITIES</w:t>
              </w:r>
            </w:hyperlink>
          </w:p>
        </w:tc>
        <w:tc>
          <w:tcPr>
            <w:tcW w:w="5960" w:type="dxa"/>
            <w:vAlign w:val="bottom"/>
            <w:gridSpan w:val="27"/>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36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6"/>
              </w:rPr>
            </w:pPr>
            <w:hyperlink w:anchor="page188">
              <w:r>
                <w:rPr>
                  <w:rFonts w:ascii="Arial" w:cs="Arial" w:eastAsia="Arial" w:hAnsi="Arial"/>
                  <w:sz w:val="18"/>
                  <w:szCs w:val="18"/>
                  <w:color w:val="0000EE"/>
                  <w:w w:val="96"/>
                </w:rPr>
                <w:t>Section</w:t>
              </w:r>
            </w:hyperlink>
          </w:p>
        </w:tc>
        <w:tc>
          <w:tcPr>
            <w:tcW w:w="5400" w:type="dxa"/>
            <w:vAlign w:val="bottom"/>
            <w:tcBorders>
              <w:bottom w:val="single" w:sz="8" w:color="0000EE"/>
            </w:tcBorders>
            <w:gridSpan w:val="36"/>
          </w:tcPr>
          <w:p>
            <w:pPr>
              <w:ind w:left="40"/>
              <w:spacing w:after="0"/>
              <w:rPr>
                <w:rFonts w:ascii="Arial" w:cs="Arial" w:eastAsia="Arial" w:hAnsi="Arial"/>
                <w:sz w:val="18"/>
                <w:szCs w:val="18"/>
                <w:color w:val="0000EE"/>
                <w:w w:val="93"/>
              </w:rPr>
            </w:pPr>
            <w:hyperlink w:anchor="page188">
              <w:r>
                <w:rPr>
                  <w:rFonts w:ascii="Arial" w:cs="Arial" w:eastAsia="Arial" w:hAnsi="Arial"/>
                  <w:sz w:val="18"/>
                  <w:szCs w:val="18"/>
                  <w:color w:val="0000EE"/>
                  <w:w w:val="93"/>
                </w:rPr>
                <w:t>1701. Applicability of Article; Conversion Privilege and Conversion Price</w:t>
              </w:r>
            </w:hyperlink>
          </w:p>
        </w:tc>
        <w:tc>
          <w:tcPr>
            <w:tcW w:w="356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Section 1702. Exercise of Conversion Privilege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Section 1703. Fractions of Shares</w:t>
              </w:r>
            </w:hyperlink>
          </w:p>
        </w:tc>
        <w:tc>
          <w:tcPr>
            <w:tcW w:w="980" w:type="dxa"/>
            <w:vAlign w:val="bottom"/>
            <w:tcBorders>
              <w:top w:val="single" w:sz="8" w:color="0000EE"/>
            </w:tcBorders>
            <w:gridSpan w:val="8"/>
          </w:tcPr>
          <w:p>
            <w:pPr>
              <w:spacing w:after="0"/>
              <w:rPr>
                <w:sz w:val="17"/>
                <w:szCs w:val="17"/>
                <w:color w:val="auto"/>
              </w:rPr>
            </w:pPr>
          </w:p>
        </w:tc>
        <w:tc>
          <w:tcPr>
            <w:tcW w:w="6140" w:type="dxa"/>
            <w:vAlign w:val="bottom"/>
            <w:gridSpan w:val="3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60" w:type="dxa"/>
            <w:vAlign w:val="bottom"/>
          </w:tcPr>
          <w:p>
            <w:pPr>
              <w:spacing w:after="0"/>
              <w:rPr>
                <w:sz w:val="17"/>
                <w:szCs w:val="17"/>
                <w:color w:val="auto"/>
              </w:rPr>
            </w:pPr>
          </w:p>
        </w:tc>
        <w:tc>
          <w:tcPr>
            <w:tcW w:w="33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89">
              <w:r>
                <w:rPr>
                  <w:rFonts w:ascii="Arial" w:cs="Arial" w:eastAsia="Arial" w:hAnsi="Arial"/>
                  <w:sz w:val="18"/>
                  <w:szCs w:val="18"/>
                  <w:color w:val="0000EE"/>
                  <w:w w:val="91"/>
                </w:rPr>
                <w:t>Section 1704. Adjustment of Conversion Price</w:t>
              </w:r>
            </w:hyperlink>
          </w:p>
        </w:tc>
        <w:tc>
          <w:tcPr>
            <w:tcW w:w="6180" w:type="dxa"/>
            <w:vAlign w:val="bottom"/>
            <w:gridSpan w:val="3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60" w:type="dxa"/>
            <w:vAlign w:val="bottom"/>
          </w:tcPr>
          <w:p>
            <w:pPr>
              <w:spacing w:after="0"/>
              <w:rPr>
                <w:sz w:val="17"/>
                <w:szCs w:val="17"/>
                <w:color w:val="auto"/>
              </w:rPr>
            </w:pPr>
          </w:p>
        </w:tc>
        <w:tc>
          <w:tcPr>
            <w:tcW w:w="41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92">
              <w:r>
                <w:rPr>
                  <w:rFonts w:ascii="Arial" w:cs="Arial" w:eastAsia="Arial" w:hAnsi="Arial"/>
                  <w:sz w:val="18"/>
                  <w:szCs w:val="18"/>
                  <w:color w:val="0000EE"/>
                  <w:w w:val="91"/>
                </w:rPr>
                <w:t>Section 1705. Notice of Adjustments of Conversion Price</w:t>
              </w:r>
            </w:hyperlink>
          </w:p>
        </w:tc>
        <w:tc>
          <w:tcPr>
            <w:tcW w:w="5400" w:type="dxa"/>
            <w:vAlign w:val="bottom"/>
            <w:gridSpan w:val="1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Section 1706. Notice of Certain Corporate Action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40" w:type="dxa"/>
            <w:vAlign w:val="bottom"/>
            <w:gridSpan w:val="2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60" w:type="dxa"/>
            <w:vAlign w:val="bottom"/>
            <w:gridSpan w:val="4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Section 1707. Company to Reserve Common Stock</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60" w:type="dxa"/>
            <w:vAlign w:val="bottom"/>
          </w:tcPr>
          <w:p>
            <w:pPr>
              <w:spacing w:after="0"/>
              <w:rPr>
                <w:sz w:val="17"/>
                <w:szCs w:val="17"/>
                <w:color w:val="auto"/>
              </w:rPr>
            </w:pPr>
          </w:p>
        </w:tc>
        <w:tc>
          <w:tcPr>
            <w:tcW w:w="3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Section 1708. Taxes on Conversion</w:t>
              </w:r>
            </w:hyperlink>
          </w:p>
        </w:tc>
        <w:tc>
          <w:tcPr>
            <w:tcW w:w="5840" w:type="dxa"/>
            <w:vAlign w:val="bottom"/>
            <w:gridSpan w:val="2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5860" w:type="dxa"/>
            <w:vAlign w:val="bottom"/>
            <w:gridSpan w:val="2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Section 1709. Covenants as to Common Stock</w:t>
              </w:r>
            </w:hyperlink>
          </w:p>
        </w:tc>
        <w:tc>
          <w:tcPr>
            <w:tcW w:w="6200" w:type="dxa"/>
            <w:vAlign w:val="bottom"/>
            <w:gridSpan w:val="3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360" w:type="dxa"/>
            <w:vAlign w:val="bottom"/>
          </w:tcPr>
          <w:p>
            <w:pPr>
              <w:spacing w:after="0"/>
              <w:rPr>
                <w:sz w:val="17"/>
                <w:szCs w:val="17"/>
                <w:color w:val="auto"/>
              </w:rPr>
            </w:pPr>
          </w:p>
        </w:tc>
        <w:tc>
          <w:tcPr>
            <w:tcW w:w="37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Section 1710. Cancellation of Converted Securities</w:t>
              </w:r>
            </w:hyperlink>
          </w:p>
        </w:tc>
        <w:tc>
          <w:tcPr>
            <w:tcW w:w="5860" w:type="dxa"/>
            <w:vAlign w:val="bottom"/>
            <w:gridSpan w:val="2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365"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0000EE"/>
            </w:tcBorders>
          </w:tcPr>
          <w:p>
            <w:pPr>
              <w:spacing w:after="0"/>
              <w:rPr>
                <w:rFonts w:ascii="Arial" w:cs="Arial" w:eastAsia="Arial" w:hAnsi="Arial"/>
                <w:sz w:val="18"/>
                <w:szCs w:val="18"/>
                <w:color w:val="0000EE"/>
                <w:w w:val="96"/>
              </w:rPr>
            </w:pPr>
            <w:hyperlink w:anchor="page193">
              <w:r>
                <w:rPr>
                  <w:rFonts w:ascii="Arial" w:cs="Arial" w:eastAsia="Arial" w:hAnsi="Arial"/>
                  <w:sz w:val="18"/>
                  <w:szCs w:val="18"/>
                  <w:color w:val="0000EE"/>
                  <w:w w:val="96"/>
                </w:rPr>
                <w:t>Section</w:t>
              </w:r>
            </w:hyperlink>
          </w:p>
        </w:tc>
        <w:tc>
          <w:tcPr>
            <w:tcW w:w="6560" w:type="dxa"/>
            <w:vAlign w:val="bottom"/>
            <w:tcBorders>
              <w:bottom w:val="single" w:sz="8" w:color="0000EE"/>
            </w:tcBorders>
            <w:gridSpan w:val="5"/>
          </w:tcPr>
          <w:p>
            <w:pPr>
              <w:ind w:left="40"/>
              <w:spacing w:after="0"/>
              <w:rPr>
                <w:rFonts w:ascii="Arial" w:cs="Arial" w:eastAsia="Arial" w:hAnsi="Arial"/>
                <w:sz w:val="18"/>
                <w:szCs w:val="18"/>
                <w:color w:val="0000EE"/>
                <w:w w:val="90"/>
              </w:rPr>
            </w:pPr>
            <w:hyperlink w:anchor="page193">
              <w:r>
                <w:rPr>
                  <w:rFonts w:ascii="Arial" w:cs="Arial" w:eastAsia="Arial" w:hAnsi="Arial"/>
                  <w:sz w:val="18"/>
                  <w:szCs w:val="18"/>
                  <w:color w:val="0000EE"/>
                  <w:w w:val="90"/>
                </w:rPr>
                <w:t>1711. Provisions in Case of Consolidation, Merger or Sale of Assets; Special Distributions</w:t>
              </w:r>
            </w:hyperlink>
          </w:p>
        </w:tc>
        <w:tc>
          <w:tcPr>
            <w:tcW w:w="18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194">
              <w:r>
                <w:rPr>
                  <w:rFonts w:ascii="Arial" w:cs="Arial" w:eastAsia="Arial" w:hAnsi="Arial"/>
                  <w:sz w:val="18"/>
                  <w:szCs w:val="18"/>
                  <w:color w:val="0000EE"/>
                  <w:w w:val="96"/>
                </w:rPr>
                <w:t>Section</w:t>
              </w:r>
            </w:hyperlink>
          </w:p>
        </w:tc>
        <w:tc>
          <w:tcPr>
            <w:tcW w:w="5040" w:type="dxa"/>
            <w:vAlign w:val="bottom"/>
            <w:tcBorders>
              <w:bottom w:val="single" w:sz="8" w:color="0000EE"/>
            </w:tcBorders>
            <w:gridSpan w:val="4"/>
          </w:tcPr>
          <w:p>
            <w:pPr>
              <w:ind w:left="40"/>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1712. Trustee Adjustment Disclaimer; Company Determination Final</w:t>
              </w:r>
            </w:hyperlink>
          </w:p>
        </w:tc>
        <w:tc>
          <w:tcPr>
            <w:tcW w:w="334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020" w:type="dxa"/>
            <w:vAlign w:val="bottom"/>
            <w:gridSpan w:val="2"/>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Section 1713.</w:t>
              </w:r>
            </w:hyperlink>
          </w:p>
        </w:tc>
        <w:tc>
          <w:tcPr>
            <w:tcW w:w="7960" w:type="dxa"/>
            <w:vAlign w:val="bottom"/>
            <w:gridSpan w:val="5"/>
          </w:tcPr>
          <w:p>
            <w:pPr>
              <w:ind w:left="20"/>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When No Adjustment Required</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Section 1714.</w:t>
              </w:r>
            </w:hyperlink>
          </w:p>
        </w:tc>
        <w:tc>
          <w:tcPr>
            <w:tcW w:w="17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Equivalent Adjustments</w:t>
              </w:r>
            </w:hyperlink>
          </w:p>
        </w:tc>
        <w:tc>
          <w:tcPr>
            <w:tcW w:w="540" w:type="dxa"/>
            <w:vAlign w:val="bottom"/>
            <w:tcBorders>
              <w:top w:val="single" w:sz="8" w:color="0000EE"/>
            </w:tcBorders>
          </w:tcPr>
          <w:p>
            <w:pPr>
              <w:spacing w:after="0"/>
              <w:rPr>
                <w:sz w:val="17"/>
                <w:szCs w:val="17"/>
                <w:color w:val="auto"/>
              </w:rPr>
            </w:pPr>
          </w:p>
        </w:tc>
        <w:tc>
          <w:tcPr>
            <w:tcW w:w="56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600" w:top="257" w:right="319" w:bottom="1440" w:gutter="0" w:footer="0" w:header="0"/>
        </w:sectPr>
      </w:pPr>
    </w:p>
    <w:bookmarkStart w:id="126" w:name="page127"/>
    <w:bookmarkEnd w:id="12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ZAFGEN, INC.</w:t>
      </w:r>
    </w:p>
    <w:p>
      <w:pPr>
        <w:spacing w:after="0" w:line="225" w:lineRule="exact"/>
        <w:rPr>
          <w:sz w:val="20"/>
          <w:szCs w:val="20"/>
          <w:color w:val="auto"/>
        </w:rPr>
      </w:pPr>
    </w:p>
    <w:p>
      <w:pPr>
        <w:ind w:left="720" w:right="500" w:hanging="263"/>
        <w:spacing w:after="0" w:line="277" w:lineRule="auto"/>
        <w:rPr>
          <w:sz w:val="20"/>
          <w:szCs w:val="20"/>
          <w:color w:val="auto"/>
        </w:rPr>
      </w:pPr>
      <w:r>
        <w:rPr>
          <w:rFonts w:ascii="Arial" w:cs="Arial" w:eastAsia="Arial" w:hAnsi="Arial"/>
          <w:sz w:val="18"/>
          <w:szCs w:val="18"/>
          <w:color w:val="auto"/>
        </w:rPr>
        <w:t>Reconciliation and tie between the Trust Indenture Act of 1939, as amended (the “Trust Indenture Act” or “TIA”) and the Indenture, dated as of , 20 .</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Trust Indenture Act Section</w:t>
            </w:r>
          </w:p>
        </w:tc>
        <w:tc>
          <w:tcPr>
            <w:tcW w:w="4500" w:type="dxa"/>
            <w:vAlign w:val="bottom"/>
          </w:tcPr>
          <w:p>
            <w:pPr>
              <w:spacing w:after="0"/>
              <w:rPr>
                <w:sz w:val="16"/>
                <w:szCs w:val="16"/>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color w:val="auto"/>
              </w:rPr>
              <w:t>Indenture Section</w:t>
            </w: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310(a)(1)</w:t>
            </w: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607</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(a)(2)</w:t>
            </w:r>
          </w:p>
        </w:tc>
        <w:tc>
          <w:tcPr>
            <w:tcW w:w="1580" w:type="dxa"/>
            <w:vAlign w:val="bottom"/>
          </w:tcPr>
          <w:p>
            <w:pPr>
              <w:jc w:val="right"/>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607, 608</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 312(c)</w:t>
            </w:r>
          </w:p>
        </w:tc>
        <w:tc>
          <w:tcPr>
            <w:tcW w:w="158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313(a)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w:t>
            </w:r>
          </w:p>
        </w:tc>
        <w:tc>
          <w:tcPr>
            <w:tcW w:w="1580" w:type="dxa"/>
            <w:vAlign w:val="bottom"/>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314(a)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(a)(4)</w:t>
            </w:r>
          </w:p>
        </w:tc>
        <w:tc>
          <w:tcPr>
            <w:tcW w:w="158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(c)(2)</w:t>
            </w:r>
          </w:p>
        </w:tc>
        <w:tc>
          <w:tcPr>
            <w:tcW w:w="15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 315(b)</w:t>
            </w:r>
          </w:p>
        </w:tc>
        <w:tc>
          <w:tcPr>
            <w:tcW w:w="1580" w:type="dxa"/>
            <w:vAlign w:val="bottom"/>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316(a) (last sentence)</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101 (“Outstanding”)</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(a)(1)(A)</w:t>
            </w:r>
          </w:p>
        </w:tc>
        <w:tc>
          <w:tcPr>
            <w:tcW w:w="1580" w:type="dxa"/>
            <w:vAlign w:val="bottom"/>
          </w:tcPr>
          <w:p>
            <w:pPr>
              <w:jc w:val="right"/>
              <w:spacing w:after="0"/>
              <w:rPr>
                <w:sz w:val="20"/>
                <w:szCs w:val="20"/>
                <w:color w:val="auto"/>
              </w:rPr>
            </w:pPr>
            <w:r>
              <w:rPr>
                <w:rFonts w:ascii="Arial" w:cs="Arial" w:eastAsia="Arial" w:hAnsi="Arial"/>
                <w:sz w:val="18"/>
                <w:szCs w:val="18"/>
                <w:color w:val="auto"/>
              </w:rPr>
              <w:t>502, 512</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(b)</w:t>
            </w:r>
          </w:p>
        </w:tc>
        <w:tc>
          <w:tcPr>
            <w:tcW w:w="158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317(a)(1)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(a)(2)</w:t>
            </w:r>
          </w:p>
        </w:tc>
        <w:tc>
          <w:tcPr>
            <w:tcW w:w="158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318(a)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(c)</w:t>
            </w: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127" w:name="page128"/>
    <w:bookmarkEnd w:id="127"/>
    <w:p>
      <w:pPr>
        <w:ind w:right="3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20 , between ZAFGEN, INC., a corporation organized under the laws of the State of Delaware (hereinafter called the “Company”), having its principal office at 175 Portland Street, 4th Floor, Boston, MA 02114, and , as Trustee hereunder (hereinafter called the “Trustee”), having a Corporate Trust Office at .</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27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ARTICLE ONE - DEFINITIONS AND OTHER PROVISIONS OF GENERAL APPLICATION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129" w:lineRule="exact"/>
        <w:rPr>
          <w:sz w:val="20"/>
          <w:szCs w:val="20"/>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117"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ectPr>
          <w:pgSz w:w="11900" w:h="16838" w:orient="portrait"/>
          <w:cols w:equalWidth="0" w:num="1">
            <w:col w:w="11400"/>
          </w:cols>
          <w:pgMar w:left="240" w:top="274" w:right="259" w:bottom="1440" w:gutter="0" w:footer="0" w:header="0"/>
        </w:sectPr>
      </w:pPr>
    </w:p>
    <w:bookmarkStart w:id="128" w:name="page129"/>
    <w:bookmarkEnd w:id="128"/>
    <w:p>
      <w:pPr>
        <w:ind w:right="4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Global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9" w:name="page130"/>
    <w:bookmarkEnd w:id="129"/>
    <w:p>
      <w:pPr>
        <w:ind w:right="2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its Chief Executive Officer, the President, or a Vice President, and by its Treasurer, an Assistant Treasurer, the Secretary or an Assistant Secretary, of the Company, and delivered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1701.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46"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which office at the date hereof is located at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operator of the Euroclear System.</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0" w:name="page131"/>
    <w:bookmarkEnd w:id="130"/>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Guaranty by any Person shall not include endorsements by such Person for collection or deposit, in either case in the ordinary course of business. The terms “</w:t>
      </w:r>
      <w:r>
        <w:rPr>
          <w:rFonts w:ascii="Arial" w:cs="Arial" w:eastAsia="Arial" w:hAnsi="Arial"/>
          <w:sz w:val="18"/>
          <w:szCs w:val="18"/>
          <w:u w:val="single" w:color="auto"/>
          <w:color w:val="auto"/>
        </w:rPr>
        <w:t>Guaranteed</w:t>
      </w:r>
      <w:r>
        <w:rPr>
          <w:rFonts w:ascii="Arial" w:cs="Arial" w:eastAsia="Arial" w:hAnsi="Arial"/>
          <w:sz w:val="18"/>
          <w:szCs w:val="18"/>
          <w:color w:val="auto"/>
        </w:rPr>
        <w:t>,” “</w:t>
      </w:r>
      <w:r>
        <w:rPr>
          <w:rFonts w:ascii="Arial" w:cs="Arial" w:eastAsia="Arial" w:hAnsi="Arial"/>
          <w:sz w:val="18"/>
          <w:szCs w:val="18"/>
          <w:u w:val="single" w:color="auto"/>
          <w:color w:val="auto"/>
        </w:rPr>
        <w:t>Guaranteeing</w:t>
      </w:r>
      <w:r>
        <w:rPr>
          <w:rFonts w:ascii="Arial" w:cs="Arial" w:eastAsia="Arial" w:hAnsi="Arial"/>
          <w:sz w:val="18"/>
          <w:szCs w:val="18"/>
          <w:color w:val="auto"/>
        </w:rPr>
        <w:t>” and “</w:t>
      </w:r>
      <w:r>
        <w:rPr>
          <w:rFonts w:ascii="Arial" w:cs="Arial" w:eastAsia="Arial" w:hAnsi="Arial"/>
          <w:sz w:val="18"/>
          <w:szCs w:val="18"/>
          <w:u w:val="single" w:color="auto"/>
          <w:color w:val="auto"/>
        </w:rPr>
        <w:t>Guarantor</w:t>
      </w:r>
      <w:r>
        <w:rPr>
          <w:rFonts w:ascii="Arial" w:cs="Arial" w:eastAsia="Arial" w:hAnsi="Arial"/>
          <w:sz w:val="18"/>
          <w:szCs w:val="18"/>
          <w:color w:val="auto"/>
        </w:rPr>
        <w:t>” shall have meanings correlative to the foregoing.</w:t>
      </w:r>
    </w:p>
    <w:p>
      <w:pPr>
        <w:spacing w:after="0" w:line="19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(i) any Obligation of such Person relating to any indebtedness of such Person</w:t>
      </w:r>
    </w:p>
    <w:p>
      <w:pPr>
        <w:spacing w:after="0" w:line="46" w:lineRule="exact"/>
        <w:rPr>
          <w:sz w:val="20"/>
          <w:szCs w:val="20"/>
          <w:color w:val="auto"/>
        </w:rPr>
      </w:pPr>
    </w:p>
    <w:p>
      <w:pPr>
        <w:ind w:right="40" w:firstLine="8"/>
        <w:spacing w:after="0" w:line="253" w:lineRule="auto"/>
        <w:tabs>
          <w:tab w:leader="none" w:pos="2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31" w:name="page132"/>
    <w:bookmarkEnd w:id="13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w:t>
      </w:r>
      <w:r>
        <w:rPr>
          <w:rFonts w:ascii="Arial" w:cs="Arial" w:eastAsia="Arial" w:hAnsi="Arial"/>
          <w:sz w:val="18"/>
          <w:szCs w:val="18"/>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87"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2" w:name="page133"/>
    <w:bookmarkEnd w:id="132"/>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170" w:lineRule="exact"/>
        <w:rPr>
          <w:sz w:val="20"/>
          <w:szCs w:val="20"/>
          <w:color w:val="auto"/>
        </w:rPr>
      </w:pPr>
    </w:p>
    <w:p>
      <w:pPr>
        <w:ind w:left="680" w:hanging="216"/>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right="40" w:firstLine="464"/>
        <w:spacing w:after="0" w:line="257" w:lineRule="auto"/>
        <w:tabs>
          <w:tab w:leader="none" w:pos="7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188" w:lineRule="exact"/>
        <w:rPr>
          <w:rFonts w:ascii="Arial" w:cs="Arial" w:eastAsia="Arial" w:hAnsi="Arial"/>
          <w:sz w:val="18"/>
          <w:szCs w:val="18"/>
          <w:color w:val="auto"/>
        </w:rPr>
      </w:pPr>
    </w:p>
    <w:p>
      <w:pPr>
        <w:ind w:right="120" w:firstLine="464"/>
        <w:spacing w:after="0" w:line="277" w:lineRule="auto"/>
        <w:tabs>
          <w:tab w:leader="none" w:pos="77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right="200" w:firstLine="464"/>
        <w:spacing w:after="0" w:line="286" w:lineRule="auto"/>
        <w:tabs>
          <w:tab w:leader="none" w:pos="76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33" w:name="page134"/>
    <w:bookmarkEnd w:id="13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and “</w:t>
      </w:r>
      <w:r>
        <w:rPr>
          <w:rFonts w:ascii="Arial" w:cs="Arial" w:eastAsia="Arial" w:hAnsi="Arial"/>
          <w:sz w:val="18"/>
          <w:szCs w:val="18"/>
          <w:u w:val="single" w:color="auto"/>
          <w:color w:val="auto"/>
        </w:rPr>
        <w:t>Payment Blockage Period</w:t>
      </w:r>
      <w:r>
        <w:rPr>
          <w:rFonts w:ascii="Arial" w:cs="Arial" w:eastAsia="Arial" w:hAnsi="Arial"/>
          <w:sz w:val="18"/>
          <w:szCs w:val="18"/>
          <w:color w:val="auto"/>
        </w:rPr>
        <w:t>” have the respective meanings specified in Section 1603.</w:t>
      </w:r>
    </w:p>
    <w:p>
      <w:pPr>
        <w:spacing w:after="0" w:line="225" w:lineRule="exact"/>
        <w:rPr>
          <w:sz w:val="20"/>
          <w:szCs w:val="20"/>
          <w:color w:val="auto"/>
        </w:rPr>
      </w:pPr>
    </w:p>
    <w:p>
      <w:pPr>
        <w:ind w:right="10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34" w:name="page135"/>
    <w:bookmarkEnd w:id="13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Payment</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and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Indebtedness</w:t>
      </w:r>
      <w:r>
        <w:rPr>
          <w:rFonts w:ascii="Arial" w:cs="Arial" w:eastAsia="Arial" w:hAnsi="Arial"/>
          <w:sz w:val="17"/>
          <w:szCs w:val="17"/>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Indebtedness of or amounts owed by the Company for compensation to employees, or for goods, materials or services purchased in the ordinary course of business.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Market is open for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62" w:lineRule="exact"/>
        <w:rPr>
          <w:sz w:val="20"/>
          <w:szCs w:val="20"/>
          <w:color w:val="auto"/>
        </w:rPr>
      </w:pPr>
    </w:p>
    <w:p>
      <w:pPr>
        <w:ind w:left="720" w:hanging="256"/>
        <w:spacing w:after="0"/>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40"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6" w:name="page137"/>
    <w:bookmarkEnd w:id="136"/>
    <w:p>
      <w:pPr>
        <w:ind w:right="7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p>
    <w:p>
      <w:pPr>
        <w:spacing w:after="0" w:line="225" w:lineRule="exact"/>
        <w:rPr>
          <w:sz w:val="20"/>
          <w:szCs w:val="20"/>
          <w:color w:val="auto"/>
        </w:rPr>
      </w:pPr>
    </w:p>
    <w:p>
      <w:pPr>
        <w:ind w:right="80" w:firstLine="464"/>
        <w:spacing w:after="0" w:line="268" w:lineRule="auto"/>
        <w:tabs>
          <w:tab w:leader="none" w:pos="70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7" w:lineRule="exact"/>
        <w:rPr>
          <w:rFonts w:ascii="Arial" w:cs="Arial" w:eastAsia="Arial" w:hAnsi="Arial"/>
          <w:sz w:val="17"/>
          <w:szCs w:val="17"/>
          <w:color w:val="auto"/>
        </w:rPr>
      </w:pPr>
    </w:p>
    <w:p>
      <w:pPr>
        <w:jc w:val="both"/>
        <w:ind w:right="40" w:firstLine="464"/>
        <w:spacing w:after="0" w:line="297" w:lineRule="auto"/>
        <w:tabs>
          <w:tab w:leader="none" w:pos="7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58" w:lineRule="exact"/>
        <w:rPr>
          <w:rFonts w:ascii="Arial" w:cs="Arial" w:eastAsia="Arial" w:hAnsi="Arial"/>
          <w:sz w:val="16"/>
          <w:szCs w:val="16"/>
          <w:color w:val="auto"/>
        </w:rPr>
      </w:pPr>
    </w:p>
    <w:p>
      <w:pPr>
        <w:ind w:right="180" w:firstLine="464"/>
        <w:spacing w:after="0" w:line="277"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right="140" w:firstLine="464"/>
        <w:spacing w:after="0" w:line="271" w:lineRule="auto"/>
        <w:tabs>
          <w:tab w:leader="none" w:pos="71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78" w:lineRule="exact"/>
        <w:rPr>
          <w:rFonts w:ascii="Arial" w:cs="Arial" w:eastAsia="Arial" w:hAnsi="Arial"/>
          <w:sz w:val="17"/>
          <w:szCs w:val="17"/>
          <w:color w:val="auto"/>
        </w:rPr>
      </w:pPr>
    </w:p>
    <w:p>
      <w:pPr>
        <w:ind w:firstLine="464"/>
        <w:spacing w:after="0" w:line="273" w:lineRule="auto"/>
        <w:tabs>
          <w:tab w:leader="none" w:pos="70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7" w:name="page138"/>
    <w:bookmarkEnd w:id="137"/>
    <w:p>
      <w:pPr>
        <w:ind w:right="5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173" w:lineRule="exact"/>
        <w:rPr>
          <w:sz w:val="20"/>
          <w:szCs w:val="20"/>
          <w:color w:val="auto"/>
        </w:rPr>
      </w:pPr>
    </w:p>
    <w:p>
      <w:pPr>
        <w:ind w:firstLine="464"/>
        <w:spacing w:after="0" w:line="279" w:lineRule="auto"/>
        <w:tabs>
          <w:tab w:leader="none" w:pos="68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Trustee by any Holder or by the Company shall be sufficient for every purpose hereunder if made, given, furnished or filed in writing to or with</w:t>
      </w:r>
    </w:p>
    <w:p>
      <w:pPr>
        <w:spacing w:after="0" w:line="46" w:lineRule="exact"/>
        <w:rPr>
          <w:sz w:val="20"/>
          <w:szCs w:val="20"/>
          <w:color w:val="auto"/>
        </w:rPr>
      </w:pPr>
    </w:p>
    <w:p>
      <w:pPr>
        <w:spacing w:after="0"/>
        <w:tabs>
          <w:tab w:leader="none" w:pos="1780" w:val="left"/>
          <w:tab w:leader="none" w:pos="9700" w:val="left"/>
        </w:tabs>
        <w:rPr>
          <w:sz w:val="20"/>
          <w:szCs w:val="20"/>
          <w:color w:val="auto"/>
        </w:rPr>
      </w:pPr>
      <w:r>
        <w:rPr>
          <w:rFonts w:ascii="Arial" w:cs="Arial" w:eastAsia="Arial" w:hAnsi="Arial"/>
          <w:sz w:val="18"/>
          <w:szCs w:val="18"/>
          <w:color w:val="auto"/>
        </w:rPr>
        <w:t>the Trustee at [</w:t>
      </w:r>
      <w:r>
        <w:rPr>
          <w:sz w:val="20"/>
          <w:szCs w:val="20"/>
          <w:color w:val="auto"/>
        </w:rPr>
        <w:tab/>
      </w:r>
      <w:r>
        <w:rPr>
          <w:rFonts w:ascii="Arial" w:cs="Arial" w:eastAsia="Arial" w:hAnsi="Arial"/>
          <w:sz w:val="18"/>
          <w:szCs w:val="18"/>
          <w:color w:val="auto"/>
        </w:rPr>
        <w:t>] or at any other address previously furnished in writing to the Company by the Trustee, Attention: [</w:t>
      </w:r>
      <w:r>
        <w:rPr>
          <w:sz w:val="20"/>
          <w:szCs w:val="20"/>
          <w:color w:val="auto"/>
        </w:rPr>
        <w:tab/>
      </w:r>
      <w:r>
        <w:rPr>
          <w:rFonts w:ascii="Arial" w:cs="Arial" w:eastAsia="Arial" w:hAnsi="Arial"/>
          <w:sz w:val="18"/>
          <w:szCs w:val="18"/>
          <w:color w:val="auto"/>
        </w:rPr>
        <w:t>]; or</w:t>
      </w:r>
    </w:p>
    <w:p>
      <w:pPr>
        <w:spacing w:after="0" w:line="211" w:lineRule="exact"/>
        <w:rPr>
          <w:sz w:val="20"/>
          <w:szCs w:val="20"/>
          <w:color w:val="auto"/>
        </w:rPr>
      </w:pPr>
    </w:p>
    <w:p>
      <w:pPr>
        <w:jc w:val="both"/>
        <w:ind w:right="400" w:firstLine="464"/>
        <w:spacing w:after="0" w:line="291" w:lineRule="auto"/>
        <w:tabs>
          <w:tab w:leader="none" w:pos="71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w:t>
      </w:r>
    </w:p>
    <w:p>
      <w:pPr>
        <w:spacing w:after="0"/>
        <w:tabs>
          <w:tab w:leader="none" w:pos="8520" w:val="left"/>
        </w:tabs>
        <w:rPr>
          <w:sz w:val="20"/>
          <w:szCs w:val="20"/>
          <w:color w:val="auto"/>
        </w:rPr>
      </w:pPr>
      <w:r>
        <w:rPr>
          <w:rFonts w:ascii="Arial" w:cs="Arial" w:eastAsia="Arial" w:hAnsi="Arial"/>
          <w:sz w:val="18"/>
          <w:szCs w:val="18"/>
          <w:color w:val="auto"/>
        </w:rPr>
        <w:t>Indenture or at any other address previously furnished in writing to the Trustee by the Company, Attention: [</w:t>
      </w:r>
      <w:r>
        <w:rPr>
          <w:sz w:val="20"/>
          <w:szCs w:val="20"/>
          <w:color w:val="auto"/>
        </w:rPr>
        <w:tab/>
      </w:r>
      <w:r>
        <w:rPr>
          <w:rFonts w:ascii="Arial" w:cs="Arial" w:eastAsia="Arial" w:hAnsi="Arial"/>
          <w:sz w:val="18"/>
          <w:szCs w:val="18"/>
          <w:color w:val="auto"/>
        </w:rPr>
        <w:t>]; or</w:t>
      </w:r>
    </w:p>
    <w:p>
      <w:pPr>
        <w:spacing w:after="0" w:line="211" w:lineRule="exact"/>
        <w:rPr>
          <w:sz w:val="20"/>
          <w:szCs w:val="20"/>
          <w:color w:val="auto"/>
        </w:rPr>
      </w:pPr>
    </w:p>
    <w:p>
      <w:pPr>
        <w:ind w:right="280" w:firstLine="464"/>
        <w:spacing w:after="0" w:line="291" w:lineRule="auto"/>
        <w:tabs>
          <w:tab w:leader="none" w:pos="71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w:t>
      </w:r>
    </w:p>
    <w:p>
      <w:pPr>
        <w:spacing w:after="0"/>
        <w:tabs>
          <w:tab w:leader="none" w:pos="760" w:val="left"/>
          <w:tab w:leader="none" w:pos="4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if to the Company at facsimile number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8" w:name="page139"/>
    <w:bookmarkEnd w:id="138"/>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Limited Liability; Immunity of Stockholders, Directors</w:t>
      </w:r>
      <w:r>
        <w:rPr>
          <w:rFonts w:ascii="Arial" w:cs="Arial" w:eastAsia="Arial" w:hAnsi="Arial"/>
          <w:sz w:val="16"/>
          <w:szCs w:val="16"/>
          <w:color w:val="auto"/>
        </w:rPr>
        <w:t>, Officers and Agents of the Company.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39" w:name="page140"/>
    <w:bookmarkEnd w:id="139"/>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TWO - SECURITIES FORMS</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The Registered Securities, if any, of each series and the Bearer Securities, if any, of each series and related coupons shall be substantially in the form of Exhibit A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 - mentioned Indenture.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8334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23495</wp:posOffset>
            </wp:positionV>
            <wp:extent cx="29673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-121920</wp:posOffset>
            </wp:positionV>
            <wp:extent cx="38334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0" w:name="page141"/>
    <w:bookmarkEnd w:id="140"/>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the last sentence of Section 303 shall apply to any Security represented by a Global Security if such Security was never issued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sold by the Company and the Company delivers to the Trustee the Global Security together with written instructions (which need not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102 and need not be accompanied by an Opinion of Counsel) with regard to the reduction in the principal amount of Securities represented thereby,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written statement contemplated by the last sentence of Section 303.</w:t>
      </w:r>
    </w:p>
    <w:p>
      <w:pPr>
        <w:spacing w:after="0" w:line="21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THREE - THE SECURITIES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47" w:lineRule="exact"/>
        <w:rPr>
          <w:sz w:val="20"/>
          <w:szCs w:val="20"/>
          <w:color w:val="auto"/>
        </w:rPr>
      </w:pPr>
    </w:p>
    <w:p>
      <w:pPr>
        <w:ind w:right="320" w:firstLine="464"/>
        <w:spacing w:after="0" w:line="277" w:lineRule="auto"/>
        <w:tabs>
          <w:tab w:leader="none" w:pos="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1" w:name="page142"/>
    <w:bookmarkEnd w:id="141"/>
    <w:p>
      <w:pPr>
        <w:ind w:left="-20" w:right="20" w:firstLine="464"/>
        <w:spacing w:after="0" w:line="312" w:lineRule="auto"/>
        <w:tabs>
          <w:tab w:leader="none" w:pos="691"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46" w:lineRule="exact"/>
        <w:rPr>
          <w:rFonts w:ascii="Arial" w:cs="Arial" w:eastAsia="Arial" w:hAnsi="Arial"/>
          <w:sz w:val="16"/>
          <w:szCs w:val="16"/>
          <w:color w:val="auto"/>
        </w:rPr>
      </w:pPr>
    </w:p>
    <w:p>
      <w:pPr>
        <w:ind w:left="-20" w:right="60" w:firstLine="464"/>
        <w:spacing w:after="0" w:line="312" w:lineRule="auto"/>
        <w:tabs>
          <w:tab w:leader="none" w:pos="69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146" w:lineRule="exact"/>
        <w:rPr>
          <w:rFonts w:ascii="Arial" w:cs="Arial" w:eastAsia="Arial" w:hAnsi="Arial"/>
          <w:sz w:val="16"/>
          <w:szCs w:val="16"/>
          <w:color w:val="auto"/>
        </w:rPr>
      </w:pPr>
    </w:p>
    <w:p>
      <w:pPr>
        <w:ind w:left="-20" w:right="220" w:firstLine="464"/>
        <w:spacing w:after="0" w:line="277" w:lineRule="auto"/>
        <w:tabs>
          <w:tab w:leader="none" w:pos="6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225" w:lineRule="exact"/>
        <w:rPr>
          <w:rFonts w:ascii="Arial" w:cs="Arial" w:eastAsia="Arial" w:hAnsi="Arial"/>
          <w:sz w:val="18"/>
          <w:szCs w:val="18"/>
          <w:color w:val="auto"/>
        </w:rPr>
      </w:pPr>
    </w:p>
    <w:p>
      <w:pPr>
        <w:ind w:left="-20" w:right="60" w:firstLine="464"/>
        <w:spacing w:after="0" w:line="277" w:lineRule="auto"/>
        <w:tabs>
          <w:tab w:leader="none" w:pos="6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170" w:lineRule="exact"/>
        <w:rPr>
          <w:rFonts w:ascii="Arial" w:cs="Arial" w:eastAsia="Arial" w:hAnsi="Arial"/>
          <w:sz w:val="18"/>
          <w:szCs w:val="18"/>
          <w:color w:val="auto"/>
        </w:rPr>
      </w:pPr>
    </w:p>
    <w:p>
      <w:pPr>
        <w:ind w:left="-20" w:right="100" w:firstLine="464"/>
        <w:spacing w:after="0" w:line="259" w:lineRule="auto"/>
        <w:tabs>
          <w:tab w:leader="none" w:pos="6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6" w:lineRule="exact"/>
        <w:rPr>
          <w:rFonts w:ascii="Arial" w:cs="Arial" w:eastAsia="Arial" w:hAnsi="Arial"/>
          <w:sz w:val="18"/>
          <w:szCs w:val="18"/>
          <w:color w:val="auto"/>
        </w:rPr>
      </w:pPr>
    </w:p>
    <w:p>
      <w:pPr>
        <w:ind w:left="-20" w:right="400" w:firstLine="464"/>
        <w:spacing w:after="0" w:line="277" w:lineRule="auto"/>
        <w:tabs>
          <w:tab w:leader="none" w:pos="6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170" w:lineRule="exact"/>
        <w:rPr>
          <w:rFonts w:ascii="Arial" w:cs="Arial" w:eastAsia="Arial" w:hAnsi="Arial"/>
          <w:sz w:val="18"/>
          <w:szCs w:val="18"/>
          <w:color w:val="auto"/>
        </w:rPr>
      </w:pPr>
    </w:p>
    <w:p>
      <w:pPr>
        <w:jc w:val="both"/>
        <w:ind w:left="-20" w:right="240" w:firstLine="464"/>
        <w:spacing w:after="0" w:line="264" w:lineRule="auto"/>
        <w:tabs>
          <w:tab w:leader="none" w:pos="6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1" w:lineRule="exact"/>
        <w:rPr>
          <w:rFonts w:ascii="Arial" w:cs="Arial" w:eastAsia="Arial" w:hAnsi="Arial"/>
          <w:sz w:val="18"/>
          <w:szCs w:val="18"/>
          <w:color w:val="auto"/>
        </w:rPr>
      </w:pPr>
    </w:p>
    <w:p>
      <w:pPr>
        <w:ind w:left="-20" w:right="520" w:firstLine="464"/>
        <w:spacing w:after="0" w:line="308" w:lineRule="auto"/>
        <w:tabs>
          <w:tab w:leader="none" w:pos="78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46" w:lineRule="exact"/>
        <w:rPr>
          <w:rFonts w:ascii="Arial" w:cs="Arial" w:eastAsia="Arial" w:hAnsi="Arial"/>
          <w:sz w:val="17"/>
          <w:szCs w:val="17"/>
          <w:color w:val="auto"/>
        </w:rPr>
      </w:pPr>
    </w:p>
    <w:p>
      <w:pPr>
        <w:ind w:left="-20" w:right="40" w:firstLine="464"/>
        <w:spacing w:after="0" w:line="264" w:lineRule="auto"/>
        <w:tabs>
          <w:tab w:leader="none" w:pos="77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81" w:lineRule="exact"/>
        <w:rPr>
          <w:rFonts w:ascii="Arial" w:cs="Arial" w:eastAsia="Arial" w:hAnsi="Arial"/>
          <w:sz w:val="18"/>
          <w:szCs w:val="18"/>
          <w:color w:val="auto"/>
        </w:rPr>
      </w:pPr>
    </w:p>
    <w:p>
      <w:pPr>
        <w:ind w:left="-20" w:right="160" w:firstLine="464"/>
        <w:spacing w:after="0" w:line="264" w:lineRule="auto"/>
        <w:tabs>
          <w:tab w:leader="none" w:pos="7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1" w:lineRule="exact"/>
        <w:rPr>
          <w:rFonts w:ascii="Arial" w:cs="Arial" w:eastAsia="Arial" w:hAnsi="Arial"/>
          <w:sz w:val="18"/>
          <w:szCs w:val="18"/>
          <w:color w:val="auto"/>
        </w:rPr>
      </w:pPr>
    </w:p>
    <w:p>
      <w:pPr>
        <w:ind w:left="-20" w:firstLine="464"/>
        <w:spacing w:after="0" w:line="259" w:lineRule="auto"/>
        <w:tabs>
          <w:tab w:leader="none" w:pos="7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142" w:name="page143"/>
    <w:bookmarkEnd w:id="142"/>
    <w:p>
      <w:pPr>
        <w:ind w:left="-20" w:right="20" w:firstLine="464"/>
        <w:spacing w:after="0" w:line="273" w:lineRule="auto"/>
        <w:tabs>
          <w:tab w:leader="none" w:pos="781" w:val="left"/>
        </w:tabs>
        <w:numPr>
          <w:ilvl w:val="0"/>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78" w:lineRule="exact"/>
        <w:rPr>
          <w:rFonts w:ascii="Arial" w:cs="Arial" w:eastAsia="Arial" w:hAnsi="Arial"/>
          <w:sz w:val="17"/>
          <w:szCs w:val="17"/>
          <w:color w:val="auto"/>
        </w:rPr>
      </w:pPr>
    </w:p>
    <w:p>
      <w:pPr>
        <w:ind w:left="780" w:hanging="336"/>
        <w:spacing w:after="0"/>
        <w:tabs>
          <w:tab w:leader="none" w:pos="7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Provisions, if any, granting special rights to the Holders of Securities of the series upon the occurrence of such events as may be specified;</w:t>
      </w:r>
    </w:p>
    <w:p>
      <w:pPr>
        <w:spacing w:after="0" w:line="236" w:lineRule="exact"/>
        <w:rPr>
          <w:rFonts w:ascii="Arial" w:cs="Arial" w:eastAsia="Arial" w:hAnsi="Arial"/>
          <w:sz w:val="17"/>
          <w:szCs w:val="17"/>
          <w:color w:val="auto"/>
        </w:rPr>
      </w:pPr>
    </w:p>
    <w:p>
      <w:pPr>
        <w:ind w:left="-20" w:right="260" w:firstLine="464"/>
        <w:spacing w:after="0" w:line="277" w:lineRule="auto"/>
        <w:tabs>
          <w:tab w:leader="none" w:pos="7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70" w:lineRule="exact"/>
        <w:rPr>
          <w:rFonts w:ascii="Arial" w:cs="Arial" w:eastAsia="Arial" w:hAnsi="Arial"/>
          <w:sz w:val="18"/>
          <w:szCs w:val="18"/>
          <w:color w:val="auto"/>
        </w:rPr>
      </w:pPr>
    </w:p>
    <w:p>
      <w:pPr>
        <w:ind w:left="-20" w:right="440" w:firstLine="464"/>
        <w:spacing w:after="0" w:line="342" w:lineRule="auto"/>
        <w:tabs>
          <w:tab w:leader="none" w:pos="78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23" w:lineRule="exact"/>
        <w:rPr>
          <w:rFonts w:ascii="Arial" w:cs="Arial" w:eastAsia="Arial" w:hAnsi="Arial"/>
          <w:sz w:val="16"/>
          <w:szCs w:val="16"/>
          <w:color w:val="auto"/>
        </w:rPr>
      </w:pPr>
    </w:p>
    <w:p>
      <w:pPr>
        <w:ind w:left="-20" w:right="140" w:firstLine="464"/>
        <w:spacing w:after="0" w:line="254" w:lineRule="auto"/>
        <w:tabs>
          <w:tab w:leader="none" w:pos="77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92" w:lineRule="exact"/>
        <w:rPr>
          <w:rFonts w:ascii="Arial" w:cs="Arial" w:eastAsia="Arial" w:hAnsi="Arial"/>
          <w:sz w:val="18"/>
          <w:szCs w:val="18"/>
          <w:color w:val="auto"/>
        </w:rPr>
      </w:pPr>
    </w:p>
    <w:p>
      <w:pPr>
        <w:ind w:left="-20" w:right="140" w:firstLine="464"/>
        <w:spacing w:after="0" w:line="277" w:lineRule="auto"/>
        <w:tabs>
          <w:tab w:leader="none" w:pos="7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left="-20" w:firstLine="464"/>
        <w:spacing w:after="0" w:line="293" w:lineRule="auto"/>
        <w:tabs>
          <w:tab w:leader="none" w:pos="78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provided, however, in each case, that the manner of determining such Person or making such payment shall be acceptable to the Trustee (as not imposing on it any undue administrative burden or risk of liability);</w:t>
      </w:r>
    </w:p>
    <w:p>
      <w:pPr>
        <w:spacing w:after="0" w:line="164" w:lineRule="exact"/>
        <w:rPr>
          <w:rFonts w:ascii="Arial" w:cs="Arial" w:eastAsia="Arial" w:hAnsi="Arial"/>
          <w:sz w:val="16"/>
          <w:szCs w:val="16"/>
          <w:color w:val="auto"/>
        </w:rPr>
      </w:pPr>
    </w:p>
    <w:p>
      <w:pPr>
        <w:ind w:left="780" w:hanging="336"/>
        <w:spacing w:after="0"/>
        <w:tabs>
          <w:tab w:leader="none" w:pos="7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applicability, if any, of the Defeasance and Covenant Defeasance provisions of Article Fourteen hereof to the Securities of the series;</w:t>
      </w:r>
    </w:p>
    <w:p>
      <w:pPr>
        <w:spacing w:after="0" w:line="236" w:lineRule="exact"/>
        <w:rPr>
          <w:rFonts w:ascii="Arial" w:cs="Arial" w:eastAsia="Arial" w:hAnsi="Arial"/>
          <w:sz w:val="17"/>
          <w:szCs w:val="17"/>
          <w:color w:val="auto"/>
        </w:rPr>
      </w:pPr>
    </w:p>
    <w:p>
      <w:pPr>
        <w:ind w:left="-20" w:right="40" w:firstLine="464"/>
        <w:spacing w:after="0" w:line="259" w:lineRule="auto"/>
        <w:tabs>
          <w:tab w:leader="none" w:pos="7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143" w:name="page144"/>
    <w:bookmarkEnd w:id="143"/>
    <w:p>
      <w:pPr>
        <w:ind w:right="100" w:firstLine="464"/>
        <w:spacing w:after="0" w:line="264" w:lineRule="auto"/>
        <w:tabs>
          <w:tab w:leader="none" w:pos="8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1" w:lineRule="exact"/>
        <w:rPr>
          <w:rFonts w:ascii="Arial" w:cs="Arial" w:eastAsia="Arial" w:hAnsi="Arial"/>
          <w:sz w:val="18"/>
          <w:szCs w:val="18"/>
          <w:color w:val="auto"/>
        </w:rPr>
      </w:pPr>
    </w:p>
    <w:p>
      <w:pPr>
        <w:ind w:right="240" w:firstLine="464"/>
        <w:spacing w:after="0" w:line="308" w:lineRule="auto"/>
        <w:tabs>
          <w:tab w:leader="none" w:pos="80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46" w:lineRule="exact"/>
        <w:rPr>
          <w:rFonts w:ascii="Arial" w:cs="Arial" w:eastAsia="Arial" w:hAnsi="Arial"/>
          <w:sz w:val="17"/>
          <w:szCs w:val="17"/>
          <w:color w:val="auto"/>
        </w:rPr>
      </w:pPr>
    </w:p>
    <w:p>
      <w:pPr>
        <w:ind w:left="800" w:hanging="336"/>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225"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7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The Securities and any coupons appertaining thereto shall be executed on behalf of the Company by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connection with its original issuance, no Bearer Security shall be mailed or otherwise delivered to any location in the United States;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44" w:name="page145"/>
    <w:bookmarkEnd w:id="144"/>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64" w:lineRule="exact"/>
        <w:rPr>
          <w:sz w:val="20"/>
          <w:szCs w:val="20"/>
          <w:color w:val="auto"/>
        </w:rPr>
      </w:pPr>
    </w:p>
    <w:p>
      <w:pPr>
        <w:ind w:left="1560" w:hanging="219"/>
        <w:spacing w:after="0"/>
        <w:tabs>
          <w:tab w:leader="none" w:pos="15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Opinion of Counsel stating that</w:t>
      </w:r>
    </w:p>
    <w:p>
      <w:pPr>
        <w:spacing w:after="0" w:line="117" w:lineRule="exact"/>
        <w:rPr>
          <w:rFonts w:ascii="Arial" w:cs="Arial" w:eastAsia="Arial" w:hAnsi="Arial"/>
          <w:sz w:val="18"/>
          <w:szCs w:val="18"/>
          <w:color w:val="auto"/>
        </w:rPr>
      </w:pPr>
    </w:p>
    <w:p>
      <w:pPr>
        <w:ind w:left="2260" w:hanging="371"/>
        <w:spacing w:after="0"/>
        <w:tabs>
          <w:tab w:leader="none" w:pos="22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form or forms of such Securities and any coupons have been established in conformity with the provisions of this</w:t>
      </w:r>
    </w:p>
    <w:p>
      <w:pPr>
        <w:spacing w:after="0" w:line="34" w:lineRule="exact"/>
        <w:rPr>
          <w:rFonts w:ascii="Arial" w:cs="Arial" w:eastAsia="Arial" w:hAnsi="Arial"/>
          <w:sz w:val="17"/>
          <w:szCs w:val="17"/>
          <w:color w:val="auto"/>
        </w:rPr>
      </w:pPr>
    </w:p>
    <w:p>
      <w:pPr>
        <w:ind w:left="1500"/>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2280" w:hanging="391"/>
        <w:spacing w:after="0"/>
        <w:tabs>
          <w:tab w:leader="none" w:pos="22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terms of such Securities and any coupons have been established in conformity with the provisions of this Indenture; and</w:t>
      </w:r>
    </w:p>
    <w:p>
      <w:pPr>
        <w:spacing w:after="0" w:line="140" w:lineRule="exact"/>
        <w:rPr>
          <w:rFonts w:ascii="Arial" w:cs="Arial" w:eastAsia="Arial" w:hAnsi="Arial"/>
          <w:sz w:val="16"/>
          <w:szCs w:val="16"/>
          <w:color w:val="auto"/>
        </w:rPr>
      </w:pPr>
    </w:p>
    <w:p>
      <w:pPr>
        <w:ind w:left="1500" w:right="100" w:firstLine="389"/>
        <w:spacing w:after="0" w:line="293" w:lineRule="auto"/>
        <w:tabs>
          <w:tab w:leader="none" w:pos="227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57" w:lineRule="exact"/>
        <w:rPr>
          <w:sz w:val="20"/>
          <w:szCs w:val="20"/>
          <w:color w:val="auto"/>
        </w:rPr>
      </w:pPr>
    </w:p>
    <w:p>
      <w:pPr>
        <w:ind w:left="920" w:right="80" w:firstLine="421"/>
        <w:spacing w:after="0" w:line="264" w:lineRule="auto"/>
        <w:tabs>
          <w:tab w:leader="none" w:pos="16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1"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45" w:name="page146"/>
    <w:bookmarkEnd w:id="14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p>
    <w:p>
      <w:pPr>
        <w:spacing w:after="0" w:line="225" w:lineRule="exact"/>
        <w:rPr>
          <w:sz w:val="20"/>
          <w:szCs w:val="20"/>
          <w:color w:val="auto"/>
        </w:rPr>
      </w:pPr>
    </w:p>
    <w:p>
      <w:pPr>
        <w:ind w:right="80" w:firstLine="464"/>
        <w:spacing w:after="0" w:line="255" w:lineRule="auto"/>
        <w:tabs>
          <w:tab w:leader="none" w:pos="70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73" w:lineRule="exact"/>
        <w:rPr>
          <w:sz w:val="20"/>
          <w:szCs w:val="20"/>
          <w:color w:val="auto"/>
        </w:rPr>
      </w:pPr>
    </w:p>
    <w:p>
      <w:pPr>
        <w:ind w:right="80" w:firstLine="464"/>
        <w:spacing w:after="0" w:line="276" w:lineRule="auto"/>
        <w:tabs>
          <w:tab w:leader="none" w:pos="71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46" w:name="page147"/>
    <w:bookmarkEnd w:id="14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Common Depository);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 as may be established pursuant to Section 301;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definitive Bearer Securities shall be delivered in exchange for a portion of a temporary Global Security only in compliance with the requirements of Section 303.</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Until exchanged in full as hereinabove provided, the temporary Securities of any series shall in all respects be entitled to the same benefits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definitive Securities of the same series and of like tenor authenticated and delivered hereunder, except that, unless otherwise specified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301, interest payable on a temporary Global Security on an Interest Payment Date for Securities of such series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Exchange Date shall be payable to Euroclear and Clearstream on such Interest Payment Date upon delivery by Euroclear and Clearstream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of a certificate or certificates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forms as may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credit without further interest on or after such Interest Payment Date to the respective accounts of Persons who are the beneficial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temporary Global Security on such Interest Payment Date and who have each delivered to Euroclear or Clearstream, as the case may be, a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 earlier than 15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such other forms as may be established pursuant to Section 301). Notwithstanding anything to the contrary herein contained, the certifications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paragraph shall satisfy the certification requirements of the preceding two paragraphs of this Section 304(b) and of the third paragraph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this Indenture and the interests of the Persons who are the beneficial owners of the temporary Global Security with respect 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was made will be exchanged for definitive Securities of the same series and of like tenor on the Exchange Date or the date of certification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occurs after the Exchange Date, without further act or deed by such beneficial owners. Except as otherwise provided in this paragraph, no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or interest owing with respect to a beneficial interest in a temporary Global Security will be made unless and until such interest in such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Security shall have been exchanged for an interest in a definitive Security. Any interest so received by Euroclear and Clearstream and not paid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provided shall be returned to the Trustee prior to the expiration of two years after such Interest Payment Date in order to be repaid to the Company.</w:t>
      </w:r>
    </w:p>
    <w:p>
      <w:pPr>
        <w:spacing w:after="0" w:line="23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With respect to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Registration of Transfer, Conversion and Exchange</w:t>
      </w:r>
      <w:r>
        <w:rPr>
          <w:rFonts w:ascii="Arial" w:cs="Arial" w:eastAsia="Arial" w:hAnsi="Arial"/>
          <w:sz w:val="18"/>
          <w:szCs w:val="18"/>
          <w:color w:val="auto"/>
        </w:rPr>
        <w:t>. The Company shall cause to be kept at the Corporate Trust Office of the Trustee or in any office or agency of the Company in a Place of Payment a register for each series of Securities (the registers maintained in such office or in any such office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47" w:name="page148"/>
    <w:bookmarkEnd w:id="14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93"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38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48" w:name="page149"/>
    <w:bookmarkEnd w:id="148"/>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3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66"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49" w:name="page150"/>
    <w:bookmarkEnd w:id="149"/>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ind w:right="80" w:firstLine="8"/>
        <w:spacing w:after="0" w:line="253" w:lineRule="auto"/>
        <w:tabs>
          <w:tab w:leader="none" w:pos="2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9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2"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50" w:name="page151"/>
    <w:bookmarkEnd w:id="150"/>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firstLine="464"/>
        <w:spacing w:after="0" w:line="286" w:lineRule="auto"/>
        <w:tabs>
          <w:tab w:leader="none" w:pos="71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51" w:name="page152"/>
    <w:bookmarkEnd w:id="151"/>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82" w:lineRule="exact"/>
        <w:rPr>
          <w:sz w:val="20"/>
          <w:szCs w:val="20"/>
          <w:color w:val="auto"/>
        </w:rPr>
      </w:pPr>
    </w:p>
    <w:p>
      <w:pPr>
        <w:jc w:val="both"/>
        <w:ind w:right="40" w:firstLine="464"/>
        <w:spacing w:after="0" w:line="259"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6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5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52" w:name="page153"/>
    <w:bookmarkEnd w:id="152"/>
    <w:p>
      <w:pPr>
        <w:ind w:right="6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The Company in issuing the Securities may use “CUSIP” numbers (if then generally in use), and, if so, the Trustee shall use “CUSIP” numbers in notices of redemption as a convenience to Holders; provided, however,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 - SATISFACTION AND DISCHARGE</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54" w:lineRule="exact"/>
        <w:rPr>
          <w:sz w:val="20"/>
          <w:szCs w:val="20"/>
          <w:color w:val="auto"/>
        </w:rPr>
      </w:pPr>
    </w:p>
    <w:p>
      <w:pPr>
        <w:ind w:left="720" w:hanging="256"/>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60" w:firstLine="443"/>
        <w:spacing w:after="0" w:line="272" w:lineRule="auto"/>
        <w:tabs>
          <w:tab w:leader="none" w:pos="119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69" w:lineRule="exact"/>
        <w:rPr>
          <w:rFonts w:ascii="Arial" w:cs="Arial" w:eastAsia="Arial" w:hAnsi="Arial"/>
          <w:sz w:val="17"/>
          <w:szCs w:val="17"/>
          <w:color w:val="auto"/>
        </w:rPr>
      </w:pPr>
    </w:p>
    <w:p>
      <w:pPr>
        <w:ind w:left="460" w:right="180" w:firstLine="443"/>
        <w:spacing w:after="0" w:line="277" w:lineRule="auto"/>
        <w:tabs>
          <w:tab w:leader="none" w:pos="118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have become due and payable,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53" w:name="page154"/>
    <w:bookmarkEnd w:id="153"/>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become due and payable at their Stated Maturity within one year, or</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2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88" w:lineRule="exact"/>
        <w:rPr>
          <w:sz w:val="20"/>
          <w:szCs w:val="20"/>
          <w:color w:val="auto"/>
        </w:rPr>
      </w:pPr>
    </w:p>
    <w:p>
      <w:pPr>
        <w:ind w:left="720" w:hanging="256"/>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Funds</w:t>
      </w:r>
      <w:r>
        <w:rPr>
          <w:rFonts w:ascii="Arial" w:cs="Arial" w:eastAsia="Arial" w:hAnsi="Arial"/>
          <w:sz w:val="17"/>
          <w:szCs w:val="17"/>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FIVE - REMEDIES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66" w:lineRule="exact"/>
        <w:rPr>
          <w:sz w:val="20"/>
          <w:szCs w:val="20"/>
          <w:color w:val="auto"/>
        </w:rPr>
      </w:pPr>
    </w:p>
    <w:p>
      <w:pPr>
        <w:ind w:right="200" w:firstLine="464"/>
        <w:spacing w:after="0" w:line="277"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70" w:lineRule="exact"/>
        <w:rPr>
          <w:rFonts w:ascii="Arial" w:cs="Arial" w:eastAsia="Arial" w:hAnsi="Arial"/>
          <w:sz w:val="18"/>
          <w:szCs w:val="18"/>
          <w:color w:val="auto"/>
        </w:rPr>
      </w:pPr>
    </w:p>
    <w:p>
      <w:pPr>
        <w:ind w:right="580" w:firstLine="464"/>
        <w:spacing w:after="0" w:line="277"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170"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154" w:name="page155"/>
    <w:bookmarkEnd w:id="154"/>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47" w:lineRule="exact"/>
        <w:rPr>
          <w:sz w:val="20"/>
          <w:szCs w:val="20"/>
          <w:color w:val="auto"/>
        </w:rPr>
      </w:pPr>
    </w:p>
    <w:p>
      <w:pPr>
        <w:ind w:right="80" w:firstLine="464"/>
        <w:spacing w:after="0" w:line="269" w:lineRule="auto"/>
        <w:tabs>
          <w:tab w:leader="none" w:pos="71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default under any bond, debenture, note, mortgage, indenture or instrument under which there may be issued or by which there may be secured or evidenced any indebtedness for money borrowed by the Company, having an aggregate principal amount outstanding of at least $75,000,000,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82" w:lineRule="exact"/>
        <w:rPr>
          <w:rFonts w:ascii="Arial" w:cs="Arial" w:eastAsia="Arial" w:hAnsi="Arial"/>
          <w:sz w:val="17"/>
          <w:szCs w:val="17"/>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55" w:name="page156"/>
    <w:bookmarkEnd w:id="155"/>
    <w:p>
      <w:pPr>
        <w:ind w:right="480" w:firstLine="464"/>
        <w:spacing w:after="0" w:line="308" w:lineRule="auto"/>
        <w:tabs>
          <w:tab w:leader="none" w:pos="711" w:val="left"/>
        </w:tabs>
        <w:numPr>
          <w:ilvl w:val="0"/>
          <w:numId w:val="1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38" w:lineRule="exact"/>
        <w:rPr>
          <w:rFonts w:ascii="Arial" w:cs="Arial" w:eastAsia="Arial" w:hAnsi="Arial"/>
          <w:sz w:val="17"/>
          <w:szCs w:val="17"/>
          <w:color w:val="auto"/>
        </w:rPr>
      </w:pPr>
    </w:p>
    <w:p>
      <w:pPr>
        <w:ind w:left="1200" w:hanging="297"/>
        <w:spacing w:after="0"/>
        <w:tabs>
          <w:tab w:leader="none" w:pos="12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117" w:lineRule="exact"/>
        <w:rPr>
          <w:rFonts w:ascii="Arial" w:cs="Arial" w:eastAsia="Arial" w:hAnsi="Arial"/>
          <w:sz w:val="18"/>
          <w:szCs w:val="18"/>
          <w:color w:val="auto"/>
        </w:rPr>
      </w:pPr>
    </w:p>
    <w:p>
      <w:pPr>
        <w:ind w:left="460" w:right="660" w:firstLine="443"/>
        <w:spacing w:after="0" w:line="342" w:lineRule="auto"/>
        <w:tabs>
          <w:tab w:leader="none" w:pos="118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5" w:lineRule="exact"/>
        <w:rPr>
          <w:rFonts w:ascii="Arial" w:cs="Arial" w:eastAsia="Arial" w:hAnsi="Arial"/>
          <w:sz w:val="16"/>
          <w:szCs w:val="16"/>
          <w:color w:val="auto"/>
        </w:rPr>
      </w:pPr>
    </w:p>
    <w:p>
      <w:pPr>
        <w:ind w:left="460" w:right="20" w:firstLine="443"/>
        <w:spacing w:after="0" w:line="277" w:lineRule="auto"/>
        <w:tabs>
          <w:tab w:leader="none" w:pos="118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9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right="120" w:firstLine="464"/>
        <w:spacing w:after="0" w:line="277" w:lineRule="auto"/>
        <w:tabs>
          <w:tab w:leader="none" w:pos="7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firstLine="464"/>
        <w:spacing w:after="0" w:line="255" w:lineRule="auto"/>
        <w:tabs>
          <w:tab w:leader="none" w:pos="7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or Make-Whole Amount, if any, on) any Security of any series at its Maturity, 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156" w:name="page157"/>
    <w:bookmarkEnd w:id="156"/>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85" w:lineRule="exact"/>
        <w:rPr>
          <w:sz w:val="20"/>
          <w:szCs w:val="20"/>
          <w:color w:val="auto"/>
        </w:rPr>
      </w:pPr>
    </w:p>
    <w:p>
      <w:pPr>
        <w:jc w:val="both"/>
        <w:ind w:left="460" w:right="40" w:firstLine="443"/>
        <w:spacing w:after="0" w:line="279" w:lineRule="auto"/>
        <w:tabs>
          <w:tab w:leader="none" w:pos="111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 or Coupons</w:t>
      </w:r>
      <w:r>
        <w:rPr>
          <w:rFonts w:ascii="Arial" w:cs="Arial" w:eastAsia="Arial" w:hAnsi="Arial"/>
          <w:sz w:val="16"/>
          <w:szCs w:val="16"/>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To the payment of the remainder, if any, to the Company.</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or any related coupon shall have any right to institute any proceeding, judicial or otherwise, with respect to this Indenture or the Securities or any related coupon, or for the appointment of a receiver or trustee, or for any other remedy hereunder, unless:</w:t>
      </w:r>
    </w:p>
    <w:p>
      <w:pPr>
        <w:spacing w:after="0" w:line="73" w:lineRule="exact"/>
        <w:rPr>
          <w:sz w:val="20"/>
          <w:szCs w:val="20"/>
          <w:color w:val="auto"/>
        </w:rPr>
      </w:pPr>
    </w:p>
    <w:p>
      <w:pPr>
        <w:ind w:left="720" w:hanging="256"/>
        <w:spacing w:after="0"/>
        <w:tabs>
          <w:tab w:leader="none" w:pos="7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128" w:lineRule="exact"/>
        <w:rPr>
          <w:rFonts w:ascii="Arial" w:cs="Arial" w:eastAsia="Arial" w:hAnsi="Arial"/>
          <w:sz w:val="17"/>
          <w:szCs w:val="17"/>
          <w:color w:val="auto"/>
        </w:rPr>
      </w:pPr>
    </w:p>
    <w:p>
      <w:pPr>
        <w:ind w:right="260" w:firstLine="464"/>
        <w:spacing w:after="0" w:line="277" w:lineRule="auto"/>
        <w:tabs>
          <w:tab w:leader="none" w:pos="7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17"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or the Securities or any related coupon, except in the manner herein provided and for the equal and ratable benefit of all such Holders.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or Make-Whole Amount, if any, and Interest</w:t>
      </w:r>
      <w:r>
        <w:rPr>
          <w:rFonts w:ascii="Arial" w:cs="Arial" w:eastAsia="Arial" w:hAnsi="Arial"/>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58" w:name="page159"/>
    <w:bookmarkEnd w:id="158"/>
    <w:p>
      <w:pPr>
        <w:ind w:right="2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720" w:hanging="256"/>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1" w:lineRule="exact"/>
        <w:rPr>
          <w:sz w:val="20"/>
          <w:szCs w:val="20"/>
          <w:color w:val="auto"/>
        </w:rPr>
      </w:pPr>
    </w:p>
    <w:p>
      <w:pPr>
        <w:ind w:left="720" w:hanging="256"/>
        <w:spacing w:after="0"/>
        <w:tabs>
          <w:tab w:leader="none" w:pos="7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payment of the principal of (or premium or Make-Whole Amount, if any) or interest on any Security of such series or any related coupons, or</w:t>
      </w:r>
    </w:p>
    <w:p>
      <w:pPr>
        <w:spacing w:after="0" w:line="248" w:lineRule="exact"/>
        <w:rPr>
          <w:rFonts w:ascii="Arial" w:cs="Arial" w:eastAsia="Arial" w:hAnsi="Arial"/>
          <w:sz w:val="16"/>
          <w:szCs w:val="16"/>
          <w:color w:val="auto"/>
        </w:rPr>
      </w:pPr>
    </w:p>
    <w:p>
      <w:pPr>
        <w:ind w:right="320" w:firstLine="464"/>
        <w:spacing w:after="0" w:line="277"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right="400" w:firstLine="456"/>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Usury,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59" w:name="page160"/>
    <w:bookmarkEnd w:id="159"/>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 - THE TRUSTEE</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117" w:lineRule="exact"/>
        <w:rPr>
          <w:sz w:val="20"/>
          <w:szCs w:val="20"/>
          <w:color w:val="auto"/>
        </w:rPr>
      </w:pPr>
    </w:p>
    <w:p>
      <w:pPr>
        <w:ind w:right="360" w:firstLine="464"/>
        <w:spacing w:after="0" w:line="286" w:lineRule="auto"/>
        <w:tabs>
          <w:tab w:leader="none" w:pos="71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57" w:lineRule="exact"/>
        <w:rPr>
          <w:rFonts w:ascii="Arial" w:cs="Arial" w:eastAsia="Arial" w:hAnsi="Arial"/>
          <w:sz w:val="17"/>
          <w:szCs w:val="17"/>
          <w:color w:val="auto"/>
        </w:rPr>
      </w:pPr>
    </w:p>
    <w:p>
      <w:pPr>
        <w:ind w:right="40" w:firstLine="464"/>
        <w:spacing w:after="0" w:line="312" w:lineRule="auto"/>
        <w:tabs>
          <w:tab w:leader="none" w:pos="71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38" w:lineRule="exact"/>
        <w:rPr>
          <w:rFonts w:ascii="Arial" w:cs="Arial" w:eastAsia="Arial" w:hAnsi="Arial"/>
          <w:sz w:val="16"/>
          <w:szCs w:val="16"/>
          <w:color w:val="auto"/>
        </w:rPr>
      </w:pPr>
    </w:p>
    <w:p>
      <w:pPr>
        <w:jc w:val="both"/>
        <w:ind w:right="180" w:firstLine="464"/>
        <w:spacing w:after="0" w:line="264"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right="600" w:firstLine="464"/>
        <w:spacing w:after="0" w:line="342" w:lineRule="auto"/>
        <w:tabs>
          <w:tab w:leader="none" w:pos="71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right="100" w:firstLine="464"/>
        <w:spacing w:after="0" w:line="259"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8" w:lineRule="exact"/>
        <w:rPr>
          <w:rFonts w:ascii="Arial" w:cs="Arial" w:eastAsia="Arial" w:hAnsi="Arial"/>
          <w:sz w:val="18"/>
          <w:szCs w:val="18"/>
          <w:color w:val="auto"/>
        </w:rPr>
      </w:pPr>
    </w:p>
    <w:p>
      <w:pPr>
        <w:ind w:firstLine="464"/>
        <w:spacing w:after="0" w:line="273" w:lineRule="auto"/>
        <w:tabs>
          <w:tab w:leader="none" w:pos="71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60" w:name="page161"/>
    <w:bookmarkEnd w:id="160"/>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46" w:lineRule="exact"/>
        <w:rPr>
          <w:sz w:val="20"/>
          <w:szCs w:val="20"/>
          <w:color w:val="auto"/>
        </w:rPr>
      </w:pPr>
    </w:p>
    <w:p>
      <w:pPr>
        <w:ind w:right="100" w:firstLine="464"/>
        <w:spacing w:after="0" w:line="342" w:lineRule="auto"/>
        <w:tabs>
          <w:tab w:leader="none" w:pos="71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5" w:lineRule="exact"/>
        <w:rPr>
          <w:rFonts w:ascii="Arial" w:cs="Arial" w:eastAsia="Arial" w:hAnsi="Arial"/>
          <w:sz w:val="16"/>
          <w:szCs w:val="16"/>
          <w:color w:val="auto"/>
        </w:rPr>
      </w:pPr>
    </w:p>
    <w:p>
      <w:pPr>
        <w:ind w:right="140" w:firstLine="464"/>
        <w:spacing w:after="0" w:line="277" w:lineRule="auto"/>
        <w:tabs>
          <w:tab w:leader="none" w:pos="7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62" w:lineRule="exact"/>
        <w:rPr>
          <w:rFonts w:ascii="Arial" w:cs="Arial" w:eastAsia="Arial" w:hAnsi="Arial"/>
          <w:sz w:val="18"/>
          <w:szCs w:val="18"/>
          <w:color w:val="auto"/>
        </w:rPr>
      </w:pPr>
    </w:p>
    <w:p>
      <w:pPr>
        <w:ind w:right="40" w:firstLine="464"/>
        <w:spacing w:after="0" w:line="264" w:lineRule="auto"/>
        <w:tabs>
          <w:tab w:leader="none" w:pos="80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73" w:lineRule="exact"/>
        <w:rPr>
          <w:rFonts w:ascii="Arial" w:cs="Arial" w:eastAsia="Arial" w:hAnsi="Arial"/>
          <w:sz w:val="18"/>
          <w:szCs w:val="18"/>
          <w:color w:val="auto"/>
        </w:rPr>
      </w:pPr>
    </w:p>
    <w:p>
      <w:pPr>
        <w:ind w:right="800" w:firstLine="464"/>
        <w:spacing w:after="0" w:line="277" w:lineRule="auto"/>
        <w:tabs>
          <w:tab w:leader="none" w:pos="7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62" w:lineRule="exact"/>
        <w:rPr>
          <w:rFonts w:ascii="Arial" w:cs="Arial" w:eastAsia="Arial" w:hAnsi="Arial"/>
          <w:sz w:val="18"/>
          <w:szCs w:val="18"/>
          <w:color w:val="auto"/>
        </w:rPr>
      </w:pPr>
    </w:p>
    <w:p>
      <w:pPr>
        <w:ind w:right="40" w:firstLine="464"/>
        <w:spacing w:after="0" w:line="264" w:lineRule="auto"/>
        <w:tabs>
          <w:tab w:leader="none" w:pos="80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73" w:lineRule="exact"/>
        <w:rPr>
          <w:rFonts w:ascii="Arial" w:cs="Arial" w:eastAsia="Arial" w:hAnsi="Arial"/>
          <w:sz w:val="18"/>
          <w:szCs w:val="18"/>
          <w:color w:val="auto"/>
        </w:rPr>
      </w:pPr>
    </w:p>
    <w:p>
      <w:pPr>
        <w:ind w:firstLine="464"/>
        <w:spacing w:after="0" w:line="286" w:lineRule="auto"/>
        <w:tabs>
          <w:tab w:leader="none" w:pos="80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Paying Agent, Security Registrar, Authenticating Agent or any other agent of the Company, in its individual or any other capacity, may become the owner or pledgee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74" w:right="339" w:bottom="1440" w:gutter="0" w:footer="0" w:header="0"/>
        </w:sectPr>
      </w:pPr>
    </w:p>
    <w:bookmarkStart w:id="161" w:name="page162"/>
    <w:bookmarkEnd w:id="16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Securities and coupons and, subject to TIA Sections 310(b) and 311, may otherwise deal with the Company with the same rights it would have if it were not Trustee, Paying Agent, Security Registrar, Authenticating Agent or such other agent.</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Money Held in Trust</w:t>
      </w:r>
      <w:r>
        <w:rPr>
          <w:rFonts w:ascii="Arial" w:cs="Arial" w:eastAsia="Arial" w:hAnsi="Arial"/>
          <w:sz w:val="16"/>
          <w:szCs w:val="16"/>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117" w:lineRule="exact"/>
        <w:rPr>
          <w:sz w:val="20"/>
          <w:szCs w:val="20"/>
          <w:color w:val="auto"/>
        </w:rPr>
      </w:pPr>
    </w:p>
    <w:p>
      <w:pPr>
        <w:ind w:right="720" w:firstLine="464"/>
        <w:spacing w:after="0" w:line="308" w:lineRule="auto"/>
        <w:tabs>
          <w:tab w:leader="none" w:pos="71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38" w:lineRule="exact"/>
        <w:rPr>
          <w:rFonts w:ascii="Arial" w:cs="Arial" w:eastAsia="Arial" w:hAnsi="Arial"/>
          <w:sz w:val="17"/>
          <w:szCs w:val="17"/>
          <w:color w:val="auto"/>
        </w:rPr>
      </w:pPr>
    </w:p>
    <w:p>
      <w:pPr>
        <w:jc w:val="both"/>
        <w:ind w:right="60" w:firstLine="464"/>
        <w:spacing w:after="0" w:line="259" w:lineRule="auto"/>
        <w:tabs>
          <w:tab w:leader="none" w:pos="7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78"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Corporate Trustee Required; Eligibility; Conflicting Interests</w:t>
      </w:r>
      <w:r>
        <w:rPr>
          <w:rFonts w:ascii="Arial" w:cs="Arial" w:eastAsia="Arial" w:hAnsi="Arial"/>
          <w:sz w:val="17"/>
          <w:szCs w:val="17"/>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608. </w:t>
      </w:r>
      <w:r>
        <w:rPr>
          <w:rFonts w:ascii="Arial" w:cs="Arial" w:eastAsia="Arial" w:hAnsi="Arial"/>
          <w:sz w:val="18"/>
          <w:szCs w:val="18"/>
          <w:u w:val="single" w:color="auto"/>
          <w:color w:val="auto"/>
        </w:rPr>
        <w:t>Resignation and Removal; Appointment of Successor.</w:t>
      </w:r>
    </w:p>
    <w:p>
      <w:pPr>
        <w:spacing w:after="0" w:line="225" w:lineRule="exact"/>
        <w:rPr>
          <w:sz w:val="20"/>
          <w:szCs w:val="20"/>
          <w:color w:val="auto"/>
        </w:rPr>
      </w:pPr>
    </w:p>
    <w:p>
      <w:pPr>
        <w:ind w:right="620" w:firstLine="464"/>
        <w:spacing w:after="0" w:line="277" w:lineRule="auto"/>
        <w:tabs>
          <w:tab w:leader="none" w:pos="70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ind w:right="80" w:firstLine="464"/>
        <w:spacing w:after="0" w:line="312" w:lineRule="auto"/>
        <w:tabs>
          <w:tab w:leader="none" w:pos="71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6" w:lineRule="exact"/>
        <w:rPr>
          <w:rFonts w:ascii="Arial" w:cs="Arial" w:eastAsia="Arial" w:hAnsi="Arial"/>
          <w:sz w:val="16"/>
          <w:szCs w:val="16"/>
          <w:color w:val="auto"/>
        </w:rPr>
      </w:pPr>
    </w:p>
    <w:p>
      <w:pPr>
        <w:jc w:val="both"/>
        <w:ind w:right="120" w:firstLine="464"/>
        <w:spacing w:after="0" w:line="259" w:lineRule="auto"/>
        <w:tabs>
          <w:tab w:leader="none" w:pos="70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-1519555</wp:posOffset>
            </wp:positionV>
            <wp:extent cx="2286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ind w:right="420" w:firstLine="464"/>
        <w:spacing w:after="0" w:line="277" w:lineRule="auto"/>
        <w:tabs>
          <w:tab w:leader="none" w:pos="7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right="400" w:firstLine="464"/>
        <w:spacing w:after="0" w:line="264" w:lineRule="auto"/>
        <w:tabs>
          <w:tab w:leader="none" w:pos="7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firstLine="464"/>
        <w:spacing w:after="0" w:line="287" w:lineRule="auto"/>
        <w:tabs>
          <w:tab w:leader="none" w:pos="70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163" w:name="page164"/>
    <w:bookmarkEnd w:id="163"/>
    <w:p>
      <w:pPr>
        <w:ind w:right="20" w:firstLine="464"/>
        <w:spacing w:after="0" w:line="312" w:lineRule="auto"/>
        <w:tabs>
          <w:tab w:leader="none" w:pos="681"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55" w:lineRule="auto"/>
        <w:tabs>
          <w:tab w:leader="none" w:pos="70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9" w:lineRule="exact"/>
        <w:rPr>
          <w:rFonts w:ascii="Arial" w:cs="Arial" w:eastAsia="Arial" w:hAnsi="Arial"/>
          <w:sz w:val="18"/>
          <w:szCs w:val="18"/>
          <w:color w:val="auto"/>
        </w:rPr>
      </w:pPr>
    </w:p>
    <w:p>
      <w:pPr>
        <w:ind w:right="20" w:firstLine="464"/>
        <w:spacing w:after="0" w:line="286" w:lineRule="auto"/>
        <w:tabs>
          <w:tab w:leader="none" w:pos="71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8" w:lineRule="exact"/>
        <w:rPr>
          <w:rFonts w:ascii="Arial" w:cs="Arial" w:eastAsia="Arial" w:hAnsi="Arial"/>
          <w:sz w:val="16"/>
          <w:szCs w:val="16"/>
          <w:color w:val="auto"/>
        </w:rPr>
      </w:pPr>
    </w:p>
    <w:p>
      <w:pPr>
        <w:ind w:right="720" w:firstLine="464"/>
        <w:spacing w:after="0" w:line="342" w:lineRule="auto"/>
        <w:tabs>
          <w:tab w:leader="none" w:pos="70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64" w:name="page165"/>
    <w:bookmarkEnd w:id="164"/>
    <w:p>
      <w:pPr>
        <w:ind w:right="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6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44"/>
        </w:trPr>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as Trustee</w:t>
            </w:r>
          </w:p>
        </w:tc>
      </w:tr>
      <w:tr>
        <w:trPr>
          <w:trHeight w:val="661"/>
        </w:trPr>
        <w:tc>
          <w:tcPr>
            <w:tcW w:w="5380" w:type="dxa"/>
            <w:vAlign w:val="bottom"/>
            <w:gridSpan w:val="5"/>
          </w:tcPr>
          <w:p>
            <w:pPr>
              <w:spacing w:after="0"/>
              <w:rPr>
                <w:sz w:val="20"/>
                <w:szCs w:val="20"/>
                <w:color w:val="auto"/>
              </w:rPr>
            </w:pPr>
            <w:r>
              <w:rPr>
                <w:rFonts w:ascii="Arial" w:cs="Arial" w:eastAsia="Arial" w:hAnsi="Arial"/>
                <w:sz w:val="18"/>
                <w:szCs w:val="18"/>
                <w:color w:val="auto"/>
              </w:rPr>
              <w:t>Dated:</w:t>
            </w: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24"/>
        </w:trPr>
        <w:tc>
          <w:tcPr>
            <w:tcW w:w="6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as Authenticating Agent</w:t>
            </w:r>
          </w:p>
        </w:tc>
      </w:tr>
      <w:tr>
        <w:trPr>
          <w:trHeight w:val="634"/>
        </w:trPr>
        <w:tc>
          <w:tcPr>
            <w:tcW w:w="5380" w:type="dxa"/>
            <w:vAlign w:val="bottom"/>
            <w:gridSpan w:val="5"/>
          </w:tcPr>
          <w:p>
            <w:pPr>
              <w:spacing w:after="0"/>
              <w:rPr>
                <w:sz w:val="20"/>
                <w:szCs w:val="20"/>
                <w:color w:val="auto"/>
              </w:rPr>
            </w:pPr>
            <w:r>
              <w:rPr>
                <w:rFonts w:ascii="Arial" w:cs="Arial" w:eastAsia="Arial" w:hAnsi="Arial"/>
                <w:sz w:val="18"/>
                <w:szCs w:val="18"/>
                <w:color w:val="auto"/>
              </w:rPr>
              <w:t>Dated:</w:t>
            </w: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24"/>
        </w:trPr>
        <w:tc>
          <w:tcPr>
            <w:tcW w:w="6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as Authenticating Agent</w:t>
            </w:r>
          </w:p>
        </w:tc>
      </w:tr>
      <w:tr>
        <w:trPr>
          <w:trHeight w:val="377"/>
        </w:trPr>
        <w:tc>
          <w:tcPr>
            <w:tcW w:w="5380" w:type="dxa"/>
            <w:vAlign w:val="bottom"/>
            <w:gridSpan w:val="5"/>
          </w:tcPr>
          <w:p>
            <w:pPr>
              <w:ind w:left="460"/>
              <w:spacing w:after="0"/>
              <w:rPr>
                <w:sz w:val="20"/>
                <w:szCs w:val="20"/>
                <w:color w:val="auto"/>
              </w:rPr>
            </w:pPr>
            <w:r>
              <w:rPr>
                <w:rFonts w:ascii="Arial" w:cs="Arial" w:eastAsia="Arial" w:hAnsi="Arial"/>
                <w:sz w:val="18"/>
                <w:szCs w:val="18"/>
                <w:color w:val="auto"/>
                <w:w w:val="96"/>
              </w:rPr>
              <w:t>Section 612. Certain Duties and Responsibilities of the Trustee.</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(a) With respect to the Securities of any series, except during the continuance of an Event of Default with respect to the Securities of such series:</w:t>
      </w:r>
    </w:p>
    <w:p>
      <w:pPr>
        <w:spacing w:after="0" w:line="129" w:lineRule="exact"/>
        <w:rPr>
          <w:sz w:val="20"/>
          <w:szCs w:val="20"/>
          <w:color w:val="auto"/>
        </w:rPr>
      </w:pPr>
    </w:p>
    <w:p>
      <w:pPr>
        <w:ind w:right="560" w:firstLine="464"/>
        <w:spacing w:after="0" w:line="277" w:lineRule="auto"/>
        <w:tabs>
          <w:tab w:leader="none" w:pos="7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8" w:lineRule="exact"/>
        <w:rPr>
          <w:sz w:val="20"/>
          <w:szCs w:val="20"/>
          <w:color w:val="auto"/>
        </w:rPr>
      </w:pPr>
    </w:p>
    <w:p>
      <w:pPr>
        <w:ind w:right="40" w:firstLine="464"/>
        <w:spacing w:after="0" w:line="264" w:lineRule="auto"/>
        <w:tabs>
          <w:tab w:leader="none" w:pos="7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1" w:lineRule="exact"/>
        <w:rPr>
          <w:rFonts w:ascii="Arial" w:cs="Arial" w:eastAsia="Arial" w:hAnsi="Arial"/>
          <w:sz w:val="18"/>
          <w:szCs w:val="18"/>
          <w:color w:val="auto"/>
        </w:rPr>
      </w:pPr>
    </w:p>
    <w:p>
      <w:pPr>
        <w:ind w:right="80" w:firstLine="464"/>
        <w:spacing w:after="0" w:line="277" w:lineRule="auto"/>
        <w:tabs>
          <w:tab w:leader="none" w:pos="70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sz w:val="20"/>
          <w:szCs w:val="20"/>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right="100" w:firstLine="464"/>
        <w:spacing w:after="0" w:line="259"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78"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84" w:right="239" w:bottom="1440" w:gutter="0" w:footer="0" w:header="0"/>
        </w:sectPr>
      </w:pPr>
    </w:p>
    <w:bookmarkStart w:id="166" w:name="page167"/>
    <w:bookmarkEnd w:id="166"/>
    <w:p>
      <w:pPr>
        <w:ind w:right="500" w:firstLine="464"/>
        <w:spacing w:after="0" w:line="277" w:lineRule="auto"/>
        <w:tabs>
          <w:tab w:leader="none" w:pos="711"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 - HOLDERS’ LISTS AND REPORTS BY TRUSTEE AND COMPANY</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Disclosure of Names and Addresses of Holders</w:t>
      </w:r>
      <w:r>
        <w:rPr>
          <w:rFonts w:ascii="Arial" w:cs="Arial" w:eastAsia="Arial" w:hAnsi="Arial"/>
          <w:sz w:val="16"/>
          <w:szCs w:val="16"/>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w:t>
      </w:r>
    </w:p>
    <w:p>
      <w:pPr>
        <w:ind w:right="220"/>
        <w:spacing w:after="0" w:line="261" w:lineRule="auto"/>
        <w:rPr>
          <w:sz w:val="20"/>
          <w:szCs w:val="20"/>
          <w:color w:val="auto"/>
        </w:rPr>
      </w:pPr>
      <w:r>
        <w:rPr>
          <w:rFonts w:ascii="Arial" w:cs="Arial" w:eastAsia="Arial" w:hAnsi="Arial"/>
          <w:sz w:val="18"/>
          <w:szCs w:val="18"/>
          <w:color w:val="auto"/>
        </w:rPr>
        <w:t>Section 312, regardless of the source from which such information was derived, and that the Trustee shall not be held accountable by reason of mailing any material pursuant to a request made under TIA Section 312(b).</w:t>
      </w:r>
    </w:p>
    <w:p>
      <w:pPr>
        <w:spacing w:after="0" w:line="18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w:t>
      </w:r>
    </w:p>
    <w:p>
      <w:pPr>
        <w:jc w:val="both"/>
        <w:spacing w:after="0" w:line="277" w:lineRule="auto"/>
        <w:rPr>
          <w:sz w:val="20"/>
          <w:szCs w:val="20"/>
          <w:color w:val="auto"/>
        </w:rPr>
      </w:pPr>
      <w:r>
        <w:rPr>
          <w:rFonts w:ascii="Arial" w:cs="Arial" w:eastAsia="Arial" w:hAnsi="Arial"/>
          <w:sz w:val="17"/>
          <w:szCs w:val="17"/>
          <w:color w:val="auto"/>
        </w:rPr>
        <w:t>on ,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117" w:lineRule="exact"/>
        <w:rPr>
          <w:sz w:val="20"/>
          <w:szCs w:val="20"/>
          <w:color w:val="auto"/>
        </w:rPr>
      </w:pPr>
    </w:p>
    <w:p>
      <w:pPr>
        <w:ind w:right="100" w:firstLine="464"/>
        <w:spacing w:after="0" w:line="272" w:lineRule="auto"/>
        <w:tabs>
          <w:tab w:leader="none" w:pos="71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69" w:lineRule="exact"/>
        <w:rPr>
          <w:rFonts w:ascii="Arial" w:cs="Arial" w:eastAsia="Arial" w:hAnsi="Arial"/>
          <w:sz w:val="17"/>
          <w:szCs w:val="17"/>
          <w:color w:val="auto"/>
        </w:rPr>
      </w:pPr>
    </w:p>
    <w:p>
      <w:pPr>
        <w:ind w:right="360" w:firstLine="464"/>
        <w:spacing w:after="0" w:line="264" w:lineRule="auto"/>
        <w:tabs>
          <w:tab w:leader="none" w:pos="7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73" w:lineRule="exact"/>
        <w:rPr>
          <w:rFonts w:ascii="Arial" w:cs="Arial" w:eastAsia="Arial" w:hAnsi="Arial"/>
          <w:sz w:val="18"/>
          <w:szCs w:val="18"/>
          <w:color w:val="auto"/>
        </w:rPr>
      </w:pPr>
    </w:p>
    <w:p>
      <w:pPr>
        <w:ind w:firstLine="464"/>
        <w:spacing w:after="0" w:line="264" w:lineRule="auto"/>
        <w:tabs>
          <w:tab w:leader="none" w:pos="7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73"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67" w:name="page168"/>
    <w:bookmarkEnd w:id="167"/>
    <w:p>
      <w:pPr>
        <w:ind w:right="20" w:firstLine="464"/>
        <w:spacing w:after="0" w:line="259" w:lineRule="auto"/>
        <w:tabs>
          <w:tab w:leader="none" w:pos="701"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jc w:val="both"/>
        <w:ind w:right="40" w:firstLine="464"/>
        <w:spacing w:after="0" w:line="264" w:lineRule="auto"/>
        <w:tabs>
          <w:tab w:leader="none" w:pos="7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 - CONSOLIDATION, MERGER, SALE, LEASE OR CONVEYANCE</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w:t>
      </w:r>
    </w:p>
    <w:p>
      <w:pPr>
        <w:ind w:firstLine="8"/>
        <w:spacing w:after="0" w:line="287" w:lineRule="auto"/>
        <w:tabs>
          <w:tab w:leader="none" w:pos="25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as a result thereof as having been incurred by the Company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NINE - SUPPLEMENTAL INDENTURES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68" w:name="page169"/>
    <w:bookmarkEnd w:id="168"/>
    <w:p>
      <w:pPr>
        <w:ind w:left="-20" w:right="20" w:firstLine="464"/>
        <w:spacing w:after="0" w:line="277"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evidence the succession of another Person to the Company and the assumption by any such successor of the covenants of the Company contained herein and in the Securities; or</w:t>
      </w:r>
    </w:p>
    <w:p>
      <w:pPr>
        <w:spacing w:after="0" w:line="170" w:lineRule="exact"/>
        <w:rPr>
          <w:rFonts w:ascii="Arial" w:cs="Arial" w:eastAsia="Arial" w:hAnsi="Arial"/>
          <w:sz w:val="18"/>
          <w:szCs w:val="18"/>
          <w:color w:val="auto"/>
        </w:rPr>
      </w:pPr>
    </w:p>
    <w:p>
      <w:pPr>
        <w:ind w:left="-20" w:right="240" w:firstLine="464"/>
        <w:spacing w:after="0" w:line="264"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ind w:left="-20" w:firstLine="464"/>
        <w:spacing w:after="0" w:line="273" w:lineRule="auto"/>
        <w:tabs>
          <w:tab w:leader="none" w:pos="69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78" w:lineRule="exact"/>
        <w:rPr>
          <w:rFonts w:ascii="Arial" w:cs="Arial" w:eastAsia="Arial" w:hAnsi="Arial"/>
          <w:sz w:val="17"/>
          <w:szCs w:val="17"/>
          <w:color w:val="auto"/>
        </w:rPr>
      </w:pPr>
    </w:p>
    <w:p>
      <w:pPr>
        <w:ind w:left="-20" w:firstLine="464"/>
        <w:spacing w:after="0" w:line="257"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any series or any related coupons in any material respect; or</w:t>
      </w:r>
    </w:p>
    <w:p>
      <w:pPr>
        <w:spacing w:after="0" w:line="188" w:lineRule="exact"/>
        <w:rPr>
          <w:rFonts w:ascii="Arial" w:cs="Arial" w:eastAsia="Arial" w:hAnsi="Arial"/>
          <w:sz w:val="18"/>
          <w:szCs w:val="18"/>
          <w:color w:val="auto"/>
        </w:rPr>
      </w:pPr>
    </w:p>
    <w:p>
      <w:pPr>
        <w:ind w:left="-20" w:right="80" w:firstLine="464"/>
        <w:spacing w:after="0" w:line="342" w:lineRule="auto"/>
        <w:tabs>
          <w:tab w:leader="none" w:pos="69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23" w:lineRule="exact"/>
        <w:rPr>
          <w:rFonts w:ascii="Arial" w:cs="Arial" w:eastAsia="Arial" w:hAnsi="Arial"/>
          <w:sz w:val="16"/>
          <w:szCs w:val="16"/>
          <w:color w:val="auto"/>
        </w:rPr>
      </w:pPr>
    </w:p>
    <w:p>
      <w:pPr>
        <w:ind w:left="700" w:hanging="25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establish the form or terms of Securities of any series and any related coupons as permitted or contemplated by Sections 201 and 301; or</w:t>
      </w:r>
    </w:p>
    <w:p>
      <w:pPr>
        <w:spacing w:after="0" w:line="236" w:lineRule="exact"/>
        <w:rPr>
          <w:rFonts w:ascii="Arial" w:cs="Arial" w:eastAsia="Arial" w:hAnsi="Arial"/>
          <w:sz w:val="17"/>
          <w:szCs w:val="17"/>
          <w:color w:val="auto"/>
        </w:rPr>
      </w:pPr>
    </w:p>
    <w:p>
      <w:pPr>
        <w:ind w:left="-20" w:right="40" w:firstLine="464"/>
        <w:spacing w:after="0" w:line="264"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ind w:left="-20" w:right="160" w:firstLine="464"/>
        <w:spacing w:after="0" w:line="259"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provisions shall not adversely affect the interests of the Holders of Securities of any series or any related coupons in any material respect; or</w:t>
      </w:r>
    </w:p>
    <w:p>
      <w:pPr>
        <w:spacing w:after="0" w:line="186" w:lineRule="exact"/>
        <w:rPr>
          <w:rFonts w:ascii="Arial" w:cs="Arial" w:eastAsia="Arial" w:hAnsi="Arial"/>
          <w:sz w:val="18"/>
          <w:szCs w:val="18"/>
          <w:color w:val="auto"/>
        </w:rPr>
      </w:pPr>
    </w:p>
    <w:p>
      <w:pPr>
        <w:ind w:left="-20" w:right="260" w:firstLine="464"/>
        <w:spacing w:after="0" w:line="264" w:lineRule="auto"/>
        <w:tabs>
          <w:tab w:leader="none" w:pos="78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 or</w:t>
      </w:r>
    </w:p>
    <w:p>
      <w:pPr>
        <w:spacing w:after="0" w:line="181" w:lineRule="exact"/>
        <w:rPr>
          <w:rFonts w:ascii="Arial" w:cs="Arial" w:eastAsia="Arial" w:hAnsi="Arial"/>
          <w:sz w:val="18"/>
          <w:szCs w:val="18"/>
          <w:color w:val="auto"/>
        </w:rPr>
      </w:pPr>
    </w:p>
    <w:p>
      <w:pPr>
        <w:ind w:left="780" w:hanging="336"/>
        <w:spacing w:after="0"/>
        <w:tabs>
          <w:tab w:leader="none" w:pos="7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make provisions with respect to Holders’ rights of conversion with respect to any series of Securities pursuant to Article Seventeen.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60" w:top="274" w:right="259" w:bottom="1440" w:gutter="0" w:footer="0" w:header="0"/>
        </w:sectPr>
      </w:pPr>
    </w:p>
    <w:bookmarkStart w:id="169" w:name="page170"/>
    <w:bookmarkEnd w:id="169"/>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provided, however, that no such supplemental indenture shall, without the consent of the Holder of each Outstanding Security affected thereby:</w:t>
      </w:r>
    </w:p>
    <w:p>
      <w:pPr>
        <w:spacing w:after="0" w:line="193" w:lineRule="exact"/>
        <w:rPr>
          <w:sz w:val="20"/>
          <w:szCs w:val="20"/>
          <w:color w:val="auto"/>
        </w:rPr>
      </w:pPr>
    </w:p>
    <w:p>
      <w:pPr>
        <w:ind w:right="60" w:firstLine="464"/>
        <w:spacing w:after="0" w:line="270" w:lineRule="auto"/>
        <w:tabs>
          <w:tab w:leader="none" w:pos="71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77" w:lineRule="exact"/>
        <w:rPr>
          <w:rFonts w:ascii="Arial" w:cs="Arial" w:eastAsia="Arial" w:hAnsi="Arial"/>
          <w:sz w:val="17"/>
          <w:szCs w:val="17"/>
          <w:color w:val="auto"/>
        </w:rPr>
      </w:pPr>
    </w:p>
    <w:p>
      <w:pPr>
        <w:ind w:right="160" w:firstLine="464"/>
        <w:spacing w:after="0" w:line="259" w:lineRule="auto"/>
        <w:tabs>
          <w:tab w:leader="none" w:pos="71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ind w:firstLine="464"/>
        <w:spacing w:after="0" w:line="257" w:lineRule="auto"/>
        <w:tabs>
          <w:tab w:leader="none" w:pos="71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70" w:name="page171"/>
    <w:bookmarkEnd w:id="170"/>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 - COVENANTS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or Make-Whole Amount, if any; and Interest</w:t>
      </w:r>
      <w:r>
        <w:rPr>
          <w:rFonts w:ascii="Arial" w:cs="Arial" w:eastAsia="Arial" w:hAnsi="Arial"/>
          <w:sz w:val="16"/>
          <w:szCs w:val="16"/>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71" w:name="page172"/>
    <w:bookmarkEnd w:id="17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maintained with a bank located 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w:t>
      </w:r>
    </w:p>
    <w:p>
      <w:pPr>
        <w:spacing w:after="0" w:line="5" w:lineRule="exact"/>
        <w:rPr>
          <w:sz w:val="20"/>
          <w:szCs w:val="20"/>
          <w:color w:val="auto"/>
        </w:rPr>
      </w:pPr>
    </w:p>
    <w:p>
      <w:pPr>
        <w:ind w:right="200" w:firstLine="8"/>
        <w:spacing w:after="0" w:line="302" w:lineRule="auto"/>
        <w:tabs>
          <w:tab w:leader="none" w:pos="21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55"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right="440" w:firstLine="464"/>
        <w:spacing w:after="0" w:line="308" w:lineRule="auto"/>
        <w:tabs>
          <w:tab w:leader="none" w:pos="71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right="260" w:firstLine="464"/>
        <w:spacing w:after="0" w:line="277" w:lineRule="auto"/>
        <w:tabs>
          <w:tab w:leader="none" w:pos="7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72" w:name="page173"/>
    <w:bookmarkEnd w:id="172"/>
    <w:p>
      <w:pPr>
        <w:ind w:right="120" w:firstLine="464"/>
        <w:spacing w:after="0" w:line="277"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Subject to Article Eight, the Company will do or cause to be done all things necessary to preserve and keep in full force and effect its corporate existence, all material rights (by certificate of incorporation, bylaws and statute) and material franchises; provided, however,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Company will cause all of its material properties used or useful in the conduct of its business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provided, however, that the Company shall not be prevented from (i) removing permanently any property that has been condemned or suffered a loss due to casualty based on the Company’s reasonable judgment that such removal is in the best interest of the Company, or (ii) selling or otherwise disposing of its properties for value in the ordinary course of business.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cause its insurable properties to be insured against loss or damage in an amount deemed reasonable by the Board of Directors with insurers of recognized responsibility.</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Payment of Taxes and Other Claims</w:t>
      </w:r>
      <w:r>
        <w:rPr>
          <w:rFonts w:ascii="Arial" w:cs="Arial" w:eastAsia="Arial" w:hAnsi="Arial"/>
          <w:sz w:val="18"/>
          <w:szCs w:val="18"/>
          <w:color w:val="auto"/>
        </w:rPr>
        <w:t>. The Company will pay or discharge or cause to be paid or discharged, before the same shall become delinquent, (1) all taxes, assessments and governmental charges levied or imposed upon it or upon the income, profits or property of the Company, and (2) all lawful claims for labor, materials and supplies which, if unpaid, might by law become a lien upon the property of the Company;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Statement as to Compliance</w:t>
      </w:r>
      <w:r>
        <w:rPr>
          <w:rFonts w:ascii="Arial" w:cs="Arial" w:eastAsia="Arial" w:hAnsi="Arial"/>
          <w:sz w:val="16"/>
          <w:szCs w:val="16"/>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73" w:name="page174"/>
    <w:bookmarkEnd w:id="173"/>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1009.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ELEVEN - REDEMPTION OF SECURITIES</w:t>
      </w:r>
    </w:p>
    <w:p>
      <w:pPr>
        <w:spacing w:after="0" w:line="225"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of redemption shall state:</w:t>
      </w:r>
    </w:p>
    <w:p>
      <w:pPr>
        <w:spacing w:after="0" w:line="117" w:lineRule="exact"/>
        <w:rPr>
          <w:sz w:val="20"/>
          <w:szCs w:val="20"/>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117" w:lineRule="exact"/>
        <w:rPr>
          <w:rFonts w:ascii="Arial" w:cs="Arial" w:eastAsia="Arial" w:hAnsi="Arial"/>
          <w:sz w:val="18"/>
          <w:szCs w:val="18"/>
          <w:color w:val="auto"/>
        </w:rPr>
      </w:pPr>
    </w:p>
    <w:p>
      <w:pPr>
        <w:ind w:right="540" w:firstLine="464"/>
        <w:spacing w:after="0" w:line="277"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73" w:lineRule="exact"/>
        <w:rPr>
          <w:rFonts w:ascii="Arial" w:cs="Arial" w:eastAsia="Arial" w:hAnsi="Arial"/>
          <w:sz w:val="18"/>
          <w:szCs w:val="18"/>
          <w:color w:val="auto"/>
        </w:rPr>
      </w:pPr>
    </w:p>
    <w:p>
      <w:pPr>
        <w:ind w:right="620" w:firstLine="464"/>
        <w:spacing w:after="0" w:line="342" w:lineRule="auto"/>
        <w:tabs>
          <w:tab w:leader="none" w:pos="71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right="160" w:firstLine="464"/>
        <w:spacing w:after="0" w:line="286" w:lineRule="auto"/>
        <w:tabs>
          <w:tab w:leader="none" w:pos="71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57" w:lineRule="exact"/>
        <w:rPr>
          <w:rFonts w:ascii="Arial" w:cs="Arial" w:eastAsia="Arial" w:hAnsi="Arial"/>
          <w:sz w:val="17"/>
          <w:szCs w:val="17"/>
          <w:color w:val="auto"/>
        </w:rPr>
      </w:pPr>
    </w:p>
    <w:p>
      <w:pPr>
        <w:ind w:right="60" w:firstLine="464"/>
        <w:spacing w:after="0" w:line="264"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73" w:lineRule="exact"/>
        <w:rPr>
          <w:rFonts w:ascii="Arial" w:cs="Arial" w:eastAsia="Arial" w:hAnsi="Arial"/>
          <w:sz w:val="18"/>
          <w:szCs w:val="18"/>
          <w:color w:val="auto"/>
        </w:rPr>
      </w:pPr>
    </w:p>
    <w:p>
      <w:pPr>
        <w:ind w:left="800" w:hanging="336"/>
        <w:spacing w:after="0"/>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117" w:lineRule="exact"/>
        <w:rPr>
          <w:rFonts w:ascii="Arial" w:cs="Arial" w:eastAsia="Arial" w:hAnsi="Arial"/>
          <w:sz w:val="18"/>
          <w:szCs w:val="18"/>
          <w:color w:val="auto"/>
        </w:rPr>
      </w:pPr>
    </w:p>
    <w:p>
      <w:pPr>
        <w:jc w:val="both"/>
        <w:ind w:firstLine="464"/>
        <w:spacing w:after="0" w:line="264" w:lineRule="auto"/>
        <w:tabs>
          <w:tab w:leader="none" w:pos="7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175" w:name="page176"/>
    <w:bookmarkEnd w:id="175"/>
    <w:p>
      <w:pPr>
        <w:ind w:right="20"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TWELVE - SINKING FUNDS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176" w:name="page177"/>
    <w:bookmarkEnd w:id="176"/>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THIRTEEN - REPAYMENT AT THE OPTION OF HOLDERS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Repayment of Securities</w:t>
      </w:r>
      <w:r>
        <w:rPr>
          <w:rFonts w:ascii="Arial" w:cs="Arial" w:eastAsia="Arial" w:hAnsi="Arial"/>
          <w:sz w:val="17"/>
          <w:szCs w:val="17"/>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Exercise of Option</w:t>
      </w:r>
      <w:r>
        <w:rPr>
          <w:rFonts w:ascii="Arial" w:cs="Arial" w:eastAsia="Arial" w:hAnsi="Arial"/>
          <w:sz w:val="18"/>
          <w:szCs w:val="18"/>
          <w:color w:val="auto"/>
        </w:rPr>
        <w:t>.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77" w:name="page178"/>
    <w:bookmarkEnd w:id="17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7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FOURTEEN - DEFEASANCE AND COVENANT DEFEASANCE</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4" w:lineRule="exact"/>
        <w:rPr>
          <w:sz w:val="20"/>
          <w:szCs w:val="20"/>
          <w:color w:val="auto"/>
        </w:rPr>
      </w:pPr>
    </w:p>
    <w:p>
      <w:pPr>
        <w:ind w:right="120" w:firstLine="8"/>
        <w:spacing w:after="0" w:line="261" w:lineRule="auto"/>
        <w:tabs>
          <w:tab w:leader="none" w:pos="2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79" w:name="page180"/>
    <w:bookmarkEnd w:id="179"/>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 The following shall be the conditions to application of Section 1402 or Section 1403 to any Outstanding Securities of or within a series and any coupons appertaining thereto:</w:t>
      </w:r>
    </w:p>
    <w:p>
      <w:pPr>
        <w:spacing w:after="0" w:line="170" w:lineRule="exact"/>
        <w:rPr>
          <w:sz w:val="20"/>
          <w:szCs w:val="20"/>
          <w:color w:val="auto"/>
        </w:rPr>
      </w:pPr>
    </w:p>
    <w:p>
      <w:pPr>
        <w:ind w:right="120" w:firstLine="464"/>
        <w:spacing w:after="0" w:line="268" w:lineRule="auto"/>
        <w:tabs>
          <w:tab w:leader="none" w:pos="70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83" w:lineRule="exact"/>
        <w:rPr>
          <w:rFonts w:ascii="Arial" w:cs="Arial" w:eastAsia="Arial" w:hAnsi="Arial"/>
          <w:sz w:val="17"/>
          <w:szCs w:val="17"/>
          <w:color w:val="auto"/>
        </w:rPr>
      </w:pPr>
    </w:p>
    <w:p>
      <w:pPr>
        <w:ind w:right="520" w:firstLine="464"/>
        <w:spacing w:after="0" w:line="277"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firstLine="464"/>
        <w:spacing w:after="0" w:line="259" w:lineRule="auto"/>
        <w:tabs>
          <w:tab w:leader="none" w:pos="70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right="100" w:firstLine="464"/>
        <w:spacing w:after="0" w:line="255"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93" w:lineRule="exact"/>
        <w:rPr>
          <w:rFonts w:ascii="Arial" w:cs="Arial" w:eastAsia="Arial" w:hAnsi="Arial"/>
          <w:sz w:val="18"/>
          <w:szCs w:val="18"/>
          <w:color w:val="auto"/>
        </w:rPr>
      </w:pPr>
    </w:p>
    <w:p>
      <w:pPr>
        <w:ind w:right="80" w:firstLine="464"/>
        <w:spacing w:after="0" w:line="259" w:lineRule="auto"/>
        <w:tabs>
          <w:tab w:leader="none" w:pos="70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firstLine="464"/>
        <w:spacing w:after="0" w:line="297" w:lineRule="auto"/>
        <w:tabs>
          <w:tab w:leader="none" w:pos="68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180" w:name="page181"/>
    <w:bookmarkEnd w:id="180"/>
    <w:p>
      <w:pPr>
        <w:ind w:right="60" w:firstLine="464"/>
        <w:spacing w:after="0" w:line="308" w:lineRule="auto"/>
        <w:tabs>
          <w:tab w:leader="none" w:pos="7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 Trustee.</w:t>
      </w:r>
    </w:p>
    <w:p>
      <w:pPr>
        <w:spacing w:after="0" w:line="24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Deposited Money and Government Obligations to Be Held in Trust; Other Miscellaneous Provisions</w:t>
      </w:r>
      <w:r>
        <w:rPr>
          <w:rFonts w:ascii="Arial" w:cs="Arial" w:eastAsia="Arial" w:hAnsi="Arial"/>
          <w:sz w:val="17"/>
          <w:szCs w:val="17"/>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FIFTEEN - MEETINGS OF HOLDERS OF SECURITIES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6" w:lineRule="exact"/>
        <w:rPr>
          <w:rFonts w:ascii="Arial" w:cs="Arial" w:eastAsia="Arial" w:hAnsi="Arial"/>
          <w:sz w:val="18"/>
          <w:szCs w:val="18"/>
          <w:color w:val="auto"/>
        </w:rPr>
      </w:pPr>
    </w:p>
    <w:p>
      <w:pPr>
        <w:ind w:right="40" w:firstLine="464"/>
        <w:spacing w:after="0" w:line="293" w:lineRule="auto"/>
        <w:tabs>
          <w:tab w:leader="none" w:pos="71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82" w:name="page183"/>
    <w:bookmarkEnd w:id="182"/>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1120" w:hanging="217"/>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ind w:left="460" w:right="180" w:firstLine="443"/>
        <w:spacing w:after="0" w:line="264" w:lineRule="auto"/>
        <w:tabs>
          <w:tab w:leader="none" w:pos="116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1" w:lineRule="auto"/>
        <w:tabs>
          <w:tab w:leader="none" w:pos="70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78" w:lineRule="exact"/>
        <w:rPr>
          <w:rFonts w:ascii="Arial" w:cs="Arial" w:eastAsia="Arial" w:hAnsi="Arial"/>
          <w:sz w:val="17"/>
          <w:szCs w:val="17"/>
          <w:color w:val="auto"/>
        </w:rPr>
      </w:pPr>
    </w:p>
    <w:p>
      <w:pPr>
        <w:ind w:right="320" w:firstLine="464"/>
        <w:spacing w:after="0" w:line="302" w:lineRule="auto"/>
        <w:tabs>
          <w:tab w:leader="none" w:pos="71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right="180" w:firstLine="464"/>
        <w:spacing w:after="0" w:line="259" w:lineRule="auto"/>
        <w:tabs>
          <w:tab w:leader="none" w:pos="70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SIXTEEN - SUBORDINATION OF SECURITIES</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u w:val="single" w:color="auto"/>
          <w:color w:val="auto"/>
        </w:rPr>
        <w:t>Agreement to Subordinate</w:t>
      </w:r>
      <w:r>
        <w:rPr>
          <w:rFonts w:ascii="Arial" w:cs="Arial" w:eastAsia="Arial" w:hAnsi="Arial"/>
          <w:sz w:val="17"/>
          <w:szCs w:val="17"/>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Payment Over of Proceeds upon Dissolution, Etc</w:t>
      </w:r>
      <w:r>
        <w:rPr>
          <w:rFonts w:ascii="Arial" w:cs="Arial" w:eastAsia="Arial" w:hAnsi="Arial"/>
          <w:sz w:val="17"/>
          <w:szCs w:val="17"/>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73" w:lineRule="exact"/>
        <w:rPr>
          <w:sz w:val="20"/>
          <w:szCs w:val="20"/>
          <w:color w:val="auto"/>
        </w:rPr>
      </w:pPr>
    </w:p>
    <w:p>
      <w:pPr>
        <w:ind w:right="20" w:firstLine="464"/>
        <w:spacing w:after="0" w:line="257" w:lineRule="auto"/>
        <w:tabs>
          <w:tab w:leader="none" w:pos="7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(individually and collectively, a “Securities Payment”), and</w:t>
      </w:r>
    </w:p>
    <w:p>
      <w:pPr>
        <w:spacing w:after="0" w:line="188" w:lineRule="exact"/>
        <w:rPr>
          <w:rFonts w:ascii="Arial" w:cs="Arial" w:eastAsia="Arial" w:hAnsi="Arial"/>
          <w:sz w:val="18"/>
          <w:szCs w:val="18"/>
          <w:color w:val="auto"/>
        </w:rPr>
      </w:pPr>
    </w:p>
    <w:p>
      <w:pPr>
        <w:ind w:right="100" w:firstLine="464"/>
        <w:spacing w:after="0" w:line="290" w:lineRule="auto"/>
        <w:tabs>
          <w:tab w:leader="none" w:pos="71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8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184" w:name="page185"/>
    <w:bookmarkEnd w:id="18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No Payment When Senior Indebtedness in Default</w:t>
      </w:r>
      <w:r>
        <w:rPr>
          <w:rFonts w:ascii="Arial" w:cs="Arial" w:eastAsia="Arial" w:hAnsi="Arial"/>
          <w:sz w:val="16"/>
          <w:szCs w:val="16"/>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16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u w:val="single" w:color="auto"/>
          <w:color w:val="auto"/>
        </w:rPr>
        <w:t>Reliance by Senior Indebtedness on Subordination Provisions</w:t>
      </w:r>
      <w:r>
        <w:rPr>
          <w:rFonts w:ascii="Arial" w:cs="Arial" w:eastAsia="Arial" w:hAnsi="Arial"/>
          <w:sz w:val="17"/>
          <w:szCs w:val="17"/>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7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Section 1605. </w:t>
      </w:r>
      <w:r>
        <w:rPr>
          <w:rFonts w:ascii="Arial" w:cs="Arial" w:eastAsia="Arial" w:hAnsi="Arial"/>
          <w:sz w:val="16"/>
          <w:szCs w:val="16"/>
          <w:u w:val="single" w:color="auto"/>
          <w:color w:val="auto"/>
        </w:rPr>
        <w:t>Subrogation to Rights of Holders of Senior Indebtedness</w:t>
      </w:r>
      <w:r>
        <w:rPr>
          <w:rFonts w:ascii="Arial" w:cs="Arial" w:eastAsia="Arial" w:hAnsi="Arial"/>
          <w:sz w:val="16"/>
          <w:szCs w:val="16"/>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85" w:name="page186"/>
    <w:bookmarkEnd w:id="18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1606. </w:t>
      </w:r>
      <w:r>
        <w:rPr>
          <w:rFonts w:ascii="Arial" w:cs="Arial" w:eastAsia="Arial" w:hAnsi="Arial"/>
          <w:sz w:val="17"/>
          <w:szCs w:val="17"/>
          <w:u w:val="single" w:color="auto"/>
          <w:color w:val="auto"/>
        </w:rPr>
        <w:t>Provisions Solely to Define Relative Rights</w:t>
      </w:r>
      <w:r>
        <w:rPr>
          <w:rFonts w:ascii="Arial" w:cs="Arial" w:eastAsia="Arial" w:hAnsi="Arial"/>
          <w:sz w:val="17"/>
          <w:szCs w:val="17"/>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78"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Section 1607. </w:t>
      </w:r>
      <w:r>
        <w:rPr>
          <w:rFonts w:ascii="Arial" w:cs="Arial" w:eastAsia="Arial" w:hAnsi="Arial"/>
          <w:sz w:val="17"/>
          <w:szCs w:val="17"/>
          <w:u w:val="single" w:color="auto"/>
          <w:color w:val="auto"/>
        </w:rPr>
        <w:t>Trustee to Effectuate Subordination</w:t>
      </w:r>
      <w:r>
        <w:rPr>
          <w:rFonts w:ascii="Arial" w:cs="Arial" w:eastAsia="Arial" w:hAnsi="Arial"/>
          <w:sz w:val="17"/>
          <w:szCs w:val="17"/>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1608. </w:t>
      </w:r>
      <w:r>
        <w:rPr>
          <w:rFonts w:ascii="Arial" w:cs="Arial" w:eastAsia="Arial" w:hAnsi="Arial"/>
          <w:sz w:val="17"/>
          <w:szCs w:val="17"/>
          <w:u w:val="single" w:color="auto"/>
          <w:color w:val="auto"/>
        </w:rPr>
        <w:t>No Waiver of Subordination Provisions</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7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86" w:name="page187"/>
    <w:bookmarkEnd w:id="18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1609. </w:t>
      </w:r>
      <w:r>
        <w:rPr>
          <w:rFonts w:ascii="Arial" w:cs="Arial" w:eastAsia="Arial" w:hAnsi="Arial"/>
          <w:sz w:val="16"/>
          <w:szCs w:val="16"/>
          <w:u w:val="single" w:color="auto"/>
          <w:color w:val="auto"/>
        </w:rPr>
        <w:t>Notice to Trustee</w:t>
      </w:r>
      <w:r>
        <w:rPr>
          <w:rFonts w:ascii="Arial" w:cs="Arial" w:eastAsia="Arial" w:hAnsi="Arial"/>
          <w:sz w:val="16"/>
          <w:szCs w:val="16"/>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16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Section 1611. </w:t>
      </w:r>
      <w:r>
        <w:rPr>
          <w:rFonts w:ascii="Arial" w:cs="Arial" w:eastAsia="Arial" w:hAnsi="Arial"/>
          <w:sz w:val="16"/>
          <w:szCs w:val="16"/>
          <w:u w:val="single" w:color="auto"/>
          <w:color w:val="auto"/>
        </w:rPr>
        <w:t>Trustee Not Fiduciary for Holders of Senior Indebtedness</w:t>
      </w:r>
      <w:r>
        <w:rPr>
          <w:rFonts w:ascii="Arial" w:cs="Arial" w:eastAsia="Arial" w:hAnsi="Arial"/>
          <w:sz w:val="16"/>
          <w:szCs w:val="16"/>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87" w:name="page188"/>
    <w:bookmarkEnd w:id="187"/>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1612. </w:t>
      </w:r>
      <w:r>
        <w:rPr>
          <w:rFonts w:ascii="Arial" w:cs="Arial" w:eastAsia="Arial" w:hAnsi="Arial"/>
          <w:sz w:val="18"/>
          <w:szCs w:val="18"/>
          <w:u w:val="single" w:color="auto"/>
          <w:color w:val="auto"/>
        </w:rPr>
        <w:t>Rights of Trustee as Holder of Senior Indebtedness; Preservation of Trustee’s Rights</w:t>
      </w:r>
      <w:r>
        <w:rPr>
          <w:rFonts w:ascii="Arial" w:cs="Arial" w:eastAsia="Arial" w:hAnsi="Arial"/>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1612 shall not apply to the Company or any Affiliate of the Company if it or such Affiliate acts as Paying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SEVENTEEN - CONVERSION OF SECURITIES</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1701. </w:t>
      </w:r>
      <w:r>
        <w:rPr>
          <w:rFonts w:ascii="Arial" w:cs="Arial" w:eastAsia="Arial" w:hAnsi="Arial"/>
          <w:sz w:val="16"/>
          <w:szCs w:val="16"/>
          <w:u w:val="single" w:color="auto"/>
          <w:color w:val="auto"/>
        </w:rPr>
        <w:t>Applicability of Article; Conversion Privilege and Conversion Price</w:t>
      </w:r>
      <w:r>
        <w:rPr>
          <w:rFonts w:ascii="Arial" w:cs="Arial" w:eastAsia="Arial" w:hAnsi="Arial"/>
          <w:sz w:val="16"/>
          <w:szCs w:val="16"/>
          <w:color w:val="auto"/>
        </w:rPr>
        <w:t>. Securities of any series which are convertible shall be convertible in accordance with their terms and (except as otherwise specified as contemplated by Section 301 for Securities of any series) in accordance with this</w:t>
      </w:r>
    </w:p>
    <w:p>
      <w:pPr>
        <w:spacing w:after="0" w:line="269" w:lineRule="auto"/>
        <w:rPr>
          <w:sz w:val="20"/>
          <w:szCs w:val="20"/>
          <w:color w:val="auto"/>
        </w:rPr>
      </w:pPr>
      <w:r>
        <w:rPr>
          <w:rFonts w:ascii="Arial" w:cs="Arial" w:eastAsia="Arial" w:hAnsi="Arial"/>
          <w:sz w:val="17"/>
          <w:szCs w:val="17"/>
          <w:color w:val="auto"/>
        </w:rPr>
        <w:t>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In case the Company shall, by dividend or otherwise, declare or make a distribution on its Common Stock referred to in paragraph (4)of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1702. </w:t>
      </w:r>
      <w:r>
        <w:rPr>
          <w:rFonts w:ascii="Arial" w:cs="Arial" w:eastAsia="Arial" w:hAnsi="Arial"/>
          <w:sz w:val="18"/>
          <w:szCs w:val="18"/>
          <w:u w:val="single" w:color="auto"/>
          <w:color w:val="auto"/>
        </w:rPr>
        <w:t>Exercise of Conversion Privilege</w:t>
      </w:r>
      <w:r>
        <w:rPr>
          <w:rFonts w:ascii="Arial" w:cs="Arial" w:eastAsia="Arial" w:hAnsi="Arial"/>
          <w:sz w:val="18"/>
          <w:szCs w:val="18"/>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188" w:name="page189"/>
    <w:bookmarkEnd w:id="18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7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1703.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225" w:lineRule="exact"/>
        <w:rPr>
          <w:sz w:val="20"/>
          <w:szCs w:val="20"/>
          <w:color w:val="auto"/>
        </w:rPr>
      </w:pPr>
    </w:p>
    <w:p>
      <w:pPr>
        <w:ind w:right="160" w:firstLine="464"/>
        <w:spacing w:after="0" w:line="270" w:lineRule="auto"/>
        <w:tabs>
          <w:tab w:leader="none" w:pos="7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89" w:name="page190"/>
    <w:bookmarkEnd w:id="189"/>
    <w:p>
      <w:pPr>
        <w:ind w:left="-20" w:firstLine="464"/>
        <w:spacing w:after="0" w:line="286" w:lineRule="auto"/>
        <w:tabs>
          <w:tab w:leader="none" w:pos="691" w:val="left"/>
        </w:tabs>
        <w:numPr>
          <w:ilvl w:val="0"/>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168" w:lineRule="exact"/>
        <w:rPr>
          <w:rFonts w:ascii="Arial" w:cs="Arial" w:eastAsia="Arial" w:hAnsi="Arial"/>
          <w:sz w:val="16"/>
          <w:szCs w:val="16"/>
          <w:color w:val="auto"/>
        </w:rPr>
      </w:pPr>
    </w:p>
    <w:p>
      <w:pPr>
        <w:ind w:left="-20" w:right="20" w:firstLine="464"/>
        <w:spacing w:after="0" w:line="255" w:lineRule="auto"/>
        <w:tabs>
          <w:tab w:leader="none" w:pos="6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93" w:lineRule="exact"/>
        <w:rPr>
          <w:rFonts w:ascii="Arial" w:cs="Arial" w:eastAsia="Arial" w:hAnsi="Arial"/>
          <w:sz w:val="18"/>
          <w:szCs w:val="18"/>
          <w:color w:val="auto"/>
        </w:rPr>
      </w:pPr>
    </w:p>
    <w:p>
      <w:pPr>
        <w:ind w:left="-20" w:firstLine="464"/>
        <w:spacing w:after="0" w:line="267" w:lineRule="auto"/>
        <w:tabs>
          <w:tab w:leader="none" w:pos="69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60" w:top="274" w:right="239" w:bottom="1440" w:gutter="0" w:footer="0" w:header="0"/>
        </w:sectPr>
      </w:pPr>
    </w:p>
    <w:bookmarkStart w:id="190" w:name="page191"/>
    <w:bookmarkEnd w:id="190"/>
    <w:p>
      <w:pPr>
        <w:ind w:left="720" w:hanging="256"/>
        <w:spacing w:after="0"/>
        <w:tabs>
          <w:tab w:leader="none" w:pos="7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but shall not be required to, make such reductions in the Conversion Price, in addition to those required by paragraphs (1), (2),</w:t>
      </w:r>
    </w:p>
    <w:p>
      <w:pPr>
        <w:spacing w:after="0" w:line="46" w:lineRule="exact"/>
        <w:rPr>
          <w:rFonts w:ascii="Arial" w:cs="Arial" w:eastAsia="Arial" w:hAnsi="Arial"/>
          <w:sz w:val="16"/>
          <w:szCs w:val="16"/>
          <w:color w:val="auto"/>
        </w:rPr>
      </w:pPr>
    </w:p>
    <w:p>
      <w:pPr>
        <w:ind w:right="120"/>
        <w:spacing w:after="0" w:line="254" w:lineRule="auto"/>
        <w:rPr>
          <w:rFonts w:ascii="Arial" w:cs="Arial" w:eastAsia="Arial" w:hAnsi="Arial"/>
          <w:sz w:val="16"/>
          <w:szCs w:val="16"/>
          <w:color w:val="auto"/>
        </w:rPr>
      </w:pPr>
      <w:r>
        <w:rPr>
          <w:rFonts w:ascii="Arial" w:cs="Arial" w:eastAsia="Arial" w:hAnsi="Arial"/>
          <w:sz w:val="18"/>
          <w:szCs w:val="18"/>
          <w:color w:val="auto"/>
        </w:rPr>
        <w:t>(3),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89" w:lineRule="exact"/>
        <w:rPr>
          <w:rFonts w:ascii="Arial" w:cs="Arial" w:eastAsia="Arial" w:hAnsi="Arial"/>
          <w:sz w:val="16"/>
          <w:szCs w:val="16"/>
          <w:color w:val="auto"/>
        </w:rPr>
      </w:pPr>
    </w:p>
    <w:p>
      <w:pPr>
        <w:ind w:right="40" w:firstLine="464"/>
        <w:spacing w:after="0" w:line="269" w:lineRule="auto"/>
        <w:tabs>
          <w:tab w:leader="none" w:pos="71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82" w:lineRule="exact"/>
        <w:rPr>
          <w:rFonts w:ascii="Arial" w:cs="Arial" w:eastAsia="Arial" w:hAnsi="Arial"/>
          <w:sz w:val="17"/>
          <w:szCs w:val="17"/>
          <w:color w:val="auto"/>
        </w:rPr>
      </w:pPr>
    </w:p>
    <w:p>
      <w:pPr>
        <w:ind w:right="180" w:firstLine="464"/>
        <w:spacing w:after="0" w:line="264"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1" w:lineRule="exact"/>
        <w:rPr>
          <w:rFonts w:ascii="Arial" w:cs="Arial" w:eastAsia="Arial" w:hAnsi="Arial"/>
          <w:sz w:val="18"/>
          <w:szCs w:val="18"/>
          <w:color w:val="auto"/>
        </w:rPr>
      </w:pPr>
    </w:p>
    <w:p>
      <w:pPr>
        <w:ind w:right="320" w:firstLine="464"/>
        <w:spacing w:after="0" w:line="259"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86" w:lineRule="exact"/>
        <w:rPr>
          <w:rFonts w:ascii="Arial" w:cs="Arial" w:eastAsia="Arial" w:hAnsi="Arial"/>
          <w:sz w:val="18"/>
          <w:szCs w:val="18"/>
          <w:color w:val="auto"/>
        </w:rPr>
      </w:pPr>
    </w:p>
    <w:p>
      <w:pPr>
        <w:ind w:firstLine="464"/>
        <w:spacing w:after="0" w:line="297" w:lineRule="auto"/>
        <w:tabs>
          <w:tab w:leader="none" w:pos="71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58" w:lineRule="exact"/>
        <w:rPr>
          <w:rFonts w:ascii="Arial" w:cs="Arial" w:eastAsia="Arial" w:hAnsi="Arial"/>
          <w:sz w:val="16"/>
          <w:szCs w:val="16"/>
          <w:color w:val="auto"/>
        </w:rPr>
      </w:pPr>
    </w:p>
    <w:p>
      <w:pPr>
        <w:ind w:right="60" w:firstLine="464"/>
        <w:spacing w:after="0" w:line="279" w:lineRule="auto"/>
        <w:tabs>
          <w:tab w:leader="none" w:pos="80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1" w:lineRule="exact"/>
        <w:rPr>
          <w:rFonts w:ascii="Arial" w:cs="Arial" w:eastAsia="Arial" w:hAnsi="Arial"/>
          <w:sz w:val="17"/>
          <w:szCs w:val="17"/>
          <w:color w:val="auto"/>
        </w:rPr>
      </w:pPr>
    </w:p>
    <w:p>
      <w:pPr>
        <w:ind w:right="80" w:firstLine="464"/>
        <w:spacing w:after="0" w:line="312" w:lineRule="auto"/>
        <w:tabs>
          <w:tab w:leader="none" w:pos="7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91" w:name="page192"/>
    <w:bookmarkEnd w:id="19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w:t>
      </w:r>
    </w:p>
    <w:p>
      <w:pPr>
        <w:ind w:right="120"/>
        <w:spacing w:after="0" w:line="254" w:lineRule="auto"/>
        <w:rPr>
          <w:sz w:val="20"/>
          <w:szCs w:val="20"/>
          <w:color w:val="auto"/>
        </w:rPr>
      </w:pPr>
      <w:r>
        <w:rPr>
          <w:rFonts w:ascii="Arial" w:cs="Arial" w:eastAsia="Arial" w:hAnsi="Arial"/>
          <w:sz w:val="18"/>
          <w:szCs w:val="18"/>
          <w:color w:val="auto"/>
        </w:rPr>
        <w:t>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225" w:lineRule="exact"/>
        <w:rPr>
          <w:sz w:val="20"/>
          <w:szCs w:val="20"/>
          <w:color w:val="auto"/>
        </w:rPr>
      </w:pPr>
    </w:p>
    <w:p>
      <w:pPr>
        <w:ind w:right="260" w:firstLine="464"/>
        <w:spacing w:after="0" w:line="259" w:lineRule="auto"/>
        <w:tabs>
          <w:tab w:leader="none" w:pos="7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225" w:lineRule="exact"/>
        <w:rPr>
          <w:sz w:val="20"/>
          <w:szCs w:val="20"/>
          <w:color w:val="auto"/>
        </w:rPr>
      </w:pPr>
    </w:p>
    <w:p>
      <w:pPr>
        <w:ind w:left="720" w:hanging="256"/>
        <w:spacing w:after="0"/>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shall take any action that would require a Conversion Price adjustment pursuant to Section 1704 or Section 1711; or</w:t>
      </w:r>
    </w:p>
    <w:p>
      <w:pPr>
        <w:spacing w:after="0" w:line="225" w:lineRule="exact"/>
        <w:rPr>
          <w:rFonts w:ascii="Arial" w:cs="Arial" w:eastAsia="Arial" w:hAnsi="Arial"/>
          <w:sz w:val="18"/>
          <w:szCs w:val="18"/>
          <w:color w:val="auto"/>
        </w:rPr>
      </w:pPr>
    </w:p>
    <w:p>
      <w:pPr>
        <w:jc w:val="both"/>
        <w:ind w:right="260" w:firstLine="464"/>
        <w:spacing w:after="0" w:line="264" w:lineRule="auto"/>
        <w:tabs>
          <w:tab w:leader="none" w:pos="7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1" w:lineRule="exact"/>
        <w:rPr>
          <w:rFonts w:ascii="Arial" w:cs="Arial" w:eastAsia="Arial" w:hAnsi="Arial"/>
          <w:sz w:val="18"/>
          <w:szCs w:val="18"/>
          <w:color w:val="auto"/>
        </w:rPr>
      </w:pPr>
    </w:p>
    <w:p>
      <w:pPr>
        <w:ind w:right="60" w:firstLine="464"/>
        <w:spacing w:after="0" w:line="253" w:lineRule="auto"/>
        <w:tabs>
          <w:tab w:leader="none" w:pos="7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9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1707.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1708.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192" w:name="page193"/>
    <w:bookmarkEnd w:id="192"/>
    <w:p>
      <w:pPr>
        <w:ind w:right="3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1709. </w:t>
      </w:r>
      <w:r>
        <w:rPr>
          <w:rFonts w:ascii="Arial" w:cs="Arial" w:eastAsia="Arial" w:hAnsi="Arial"/>
          <w:sz w:val="18"/>
          <w:szCs w:val="18"/>
          <w:u w:val="single" w:color="auto"/>
          <w:color w:val="auto"/>
        </w:rPr>
        <w:t>Covenants as to Common Stock</w:t>
      </w:r>
      <w:r>
        <w:rPr>
          <w:rFonts w:ascii="Arial" w:cs="Arial" w:eastAsia="Arial" w:hAnsi="Arial"/>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1711. </w:t>
      </w:r>
      <w:r>
        <w:rPr>
          <w:rFonts w:ascii="Arial" w:cs="Arial" w:eastAsia="Arial" w:hAnsi="Arial"/>
          <w:sz w:val="16"/>
          <w:szCs w:val="16"/>
          <w:u w:val="single" w:color="auto"/>
          <w:color w:val="auto"/>
        </w:rPr>
        <w:t>Provisions in Case of Consolidation, Merger or Sale of Assets; Special Distributions</w:t>
      </w:r>
      <w:r>
        <w:rPr>
          <w:rFonts w:ascii="Arial" w:cs="Arial" w:eastAsia="Arial" w:hAnsi="Arial"/>
          <w:sz w:val="16"/>
          <w:szCs w:val="16"/>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75" w:lineRule="exact"/>
        <w:rPr>
          <w:sz w:val="20"/>
          <w:szCs w:val="20"/>
          <w:color w:val="auto"/>
        </w:rPr>
      </w:pPr>
    </w:p>
    <w:p>
      <w:pPr>
        <w:ind w:firstLine="464"/>
        <w:spacing w:after="0" w:line="264" w:lineRule="auto"/>
        <w:tabs>
          <w:tab w:leader="none" w:pos="7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81" w:lineRule="exact"/>
        <w:rPr>
          <w:rFonts w:ascii="Arial" w:cs="Arial" w:eastAsia="Arial" w:hAnsi="Arial"/>
          <w:sz w:val="18"/>
          <w:szCs w:val="18"/>
          <w:color w:val="auto"/>
        </w:rPr>
      </w:pPr>
    </w:p>
    <w:p>
      <w:pPr>
        <w:ind w:right="40" w:firstLine="464"/>
        <w:spacing w:after="0" w:line="297" w:lineRule="auto"/>
        <w:tabs>
          <w:tab w:leader="none" w:pos="71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74" w:right="279" w:bottom="1440" w:gutter="0" w:footer="0" w:header="0"/>
        </w:sectPr>
      </w:pPr>
    </w:p>
    <w:bookmarkStart w:id="193" w:name="page194"/>
    <w:bookmarkEnd w:id="193"/>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u w:val="single" w:color="auto"/>
          <w:color w:val="auto"/>
        </w:rPr>
        <w:t>Trustee Adjustment Disclaimer; Company Determination Final</w:t>
      </w:r>
      <w:r>
        <w:rPr>
          <w:rFonts w:ascii="Arial" w:cs="Arial" w:eastAsia="Arial" w:hAnsi="Arial"/>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7" w:lineRule="exact"/>
        <w:rPr>
          <w:sz w:val="20"/>
          <w:szCs w:val="20"/>
          <w:color w:val="auto"/>
        </w:rPr>
      </w:pPr>
    </w:p>
    <w:p>
      <w:pPr>
        <w:ind w:right="20" w:firstLine="464"/>
        <w:spacing w:after="0" w:line="312" w:lineRule="auto"/>
        <w:tabs>
          <w:tab w:leader="none" w:pos="71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Section 1714.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194" w:name="page195"/>
    <w:bookmarkEnd w:id="194"/>
    <w:p>
      <w:pPr>
        <w:jc w:val="center"/>
        <w:ind w:righ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-130175</wp:posOffset>
            </wp:positionV>
            <wp:extent cx="25558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700" w:top="274"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REDEEMABLE OR NON-REDEEMABLE SUBORDINATED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18"/>
          <w:szCs w:val="18"/>
          <w:color w:val="auto"/>
        </w:rPr>
        <w:t>]</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an Original Issue Discount Security, insert</w:t>
      </w:r>
      <w:r>
        <w:rPr>
          <w:rFonts w:ascii="Arial" w:cs="Arial" w:eastAsia="Arial" w:hAnsi="Arial"/>
          <w:sz w:val="18"/>
          <w:szCs w:val="18"/>
          <w:color w:val="auto"/>
        </w:rPr>
        <w:t xml:space="preserve"> — FOR PURPOSES OF SECTION 1273 and 1275 OF THE UNITED STATES INTERNAL REVENUE CODE, THE AMOUNT OF ORIGINAL ISSUE DISCOUNT ON THIS SECURITY IS % OF ITS PRINCIPAL AMOUNT, THE ISSUE DATE IS , 20 , AND THE YIELD TO MATURITY IS %. THE METHOD USED TO DETERMINE THE AMOUNT OF ORIGINAL ISSUE DISCOUNT APPLICABLE TO THE SHORT ACCRUAL PERIOD OF , 20 TO , 20 , IS % OF THE PRINCIPAL AMOUNT OF THIS SECURITY.]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[Designation of Series]</w:t>
      </w:r>
    </w:p>
    <w:p>
      <w:pPr>
        <w:spacing w:after="0" w:line="252" w:lineRule="exact"/>
        <w:rPr>
          <w:sz w:val="20"/>
          <w:szCs w:val="20"/>
          <w:color w:val="auto"/>
        </w:rPr>
      </w:pPr>
    </w:p>
    <w:p>
      <w:pPr>
        <w:spacing w:after="0"/>
        <w:tabs>
          <w:tab w:leader="none" w:pos="113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ZAFGEN, INC., a Delaware corporation (herein referred to as the “Company,” which term includes any successor corporation under the Indenture referred to</w:t>
      </w:r>
    </w:p>
    <w:p>
      <w:pPr>
        <w:spacing w:after="0" w:line="46"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 xml:space="preserve">on the reverse hereof), for value received, hereby promises to pay to or registered assigns the principal sum of Dollars on (the “Stated Maturity Date”) [or </w:t>
      </w:r>
      <w:r>
        <w:rPr>
          <w:rFonts w:ascii="Arial" w:cs="Arial" w:eastAsia="Arial" w:hAnsi="Arial"/>
          <w:sz w:val="18"/>
          <w:szCs w:val="18"/>
          <w:u w:val="single" w:color="auto"/>
          <w:color w:val="auto"/>
        </w:rPr>
        <w:t>insert date fixed for earlier redemption</w:t>
      </w:r>
      <w:r>
        <w:rPr>
          <w:rFonts w:ascii="Arial" w:cs="Arial" w:eastAsia="Arial" w:hAnsi="Arial"/>
          <w:sz w:val="18"/>
          <w:szCs w:val="18"/>
          <w:color w:val="auto"/>
        </w:rPr>
        <w:t xml:space="preserve"> (the “Redemption Date,” and together with the Stated Maturity Date with respect to principal repayable on such date, the “Maturity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gridSpan w:val="4"/>
          </w:tcPr>
          <w:p>
            <w:pPr>
              <w:spacing w:after="0"/>
              <w:rPr>
                <w:sz w:val="20"/>
                <w:szCs w:val="20"/>
                <w:color w:val="auto"/>
              </w:rPr>
            </w:pPr>
            <w:r>
              <w:rPr>
                <w:rFonts w:ascii="Arial" w:cs="Arial" w:eastAsia="Arial" w:hAnsi="Arial"/>
                <w:sz w:val="18"/>
                <w:szCs w:val="18"/>
                <w:color w:val="auto"/>
                <w:w w:val="92"/>
              </w:rPr>
              <w:t>[If the Security is to bear interest prior to Maturity, insert — and to pay interest thereon from</w:t>
            </w:r>
          </w:p>
        </w:tc>
        <w:tc>
          <w:tcPr>
            <w:tcW w:w="4580" w:type="dxa"/>
            <w:vAlign w:val="bottom"/>
            <w:gridSpan w:val="3"/>
          </w:tcPr>
          <w:p>
            <w:pPr>
              <w:ind w:left="780"/>
              <w:spacing w:after="0"/>
              <w:rPr>
                <w:sz w:val="20"/>
                <w:szCs w:val="20"/>
                <w:color w:val="auto"/>
              </w:rPr>
            </w:pPr>
            <w:r>
              <w:rPr>
                <w:rFonts w:ascii="Arial" w:cs="Arial" w:eastAsia="Arial" w:hAnsi="Arial"/>
                <w:sz w:val="18"/>
                <w:szCs w:val="18"/>
                <w:color w:val="auto"/>
                <w:w w:val="96"/>
              </w:rPr>
              <w:t>or from the most recent Interest Payment Date to</w:t>
            </w:r>
          </w:p>
        </w:tc>
      </w:tr>
      <w:tr>
        <w:trPr>
          <w:trHeight w:val="20"/>
        </w:trPr>
        <w:tc>
          <w:tcPr>
            <w:tcW w:w="6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222"/>
        </w:trPr>
        <w:tc>
          <w:tcPr>
            <w:tcW w:w="5280" w:type="dxa"/>
            <w:vAlign w:val="bottom"/>
            <w:gridSpan w:val="3"/>
          </w:tcPr>
          <w:p>
            <w:pPr>
              <w:spacing w:after="0"/>
              <w:rPr>
                <w:sz w:val="20"/>
                <w:szCs w:val="20"/>
                <w:color w:val="auto"/>
              </w:rPr>
            </w:pPr>
            <w:r>
              <w:rPr>
                <w:rFonts w:ascii="Arial" w:cs="Arial" w:eastAsia="Arial" w:hAnsi="Arial"/>
                <w:sz w:val="18"/>
                <w:szCs w:val="18"/>
                <w:color w:val="auto"/>
                <w:w w:val="98"/>
              </w:rPr>
              <w:t>which interest has been paid or duly provided for, semi-annually on</w:t>
            </w:r>
          </w:p>
        </w:tc>
        <w:tc>
          <w:tcPr>
            <w:tcW w:w="1440" w:type="dxa"/>
            <w:vAlign w:val="bottom"/>
          </w:tcPr>
          <w:p>
            <w:pPr>
              <w:ind w:left="400"/>
              <w:spacing w:after="0"/>
              <w:rPr>
                <w:sz w:val="20"/>
                <w:szCs w:val="20"/>
                <w:color w:val="auto"/>
              </w:rPr>
            </w:pPr>
            <w:r>
              <w:rPr>
                <w:rFonts w:ascii="Arial" w:cs="Arial" w:eastAsia="Arial" w:hAnsi="Arial"/>
                <w:sz w:val="18"/>
                <w:szCs w:val="18"/>
                <w:color w:val="auto"/>
              </w:rPr>
              <w:t>and</w:t>
            </w:r>
          </w:p>
        </w:tc>
        <w:tc>
          <w:tcPr>
            <w:tcW w:w="4580" w:type="dxa"/>
            <w:vAlign w:val="bottom"/>
            <w:gridSpan w:val="3"/>
          </w:tcPr>
          <w:p>
            <w:pPr>
              <w:ind w:left="40"/>
              <w:spacing w:after="0"/>
              <w:rPr>
                <w:sz w:val="20"/>
                <w:szCs w:val="20"/>
                <w:color w:val="auto"/>
              </w:rPr>
            </w:pPr>
            <w:r>
              <w:rPr>
                <w:rFonts w:ascii="Arial" w:cs="Arial" w:eastAsia="Arial" w:hAnsi="Arial"/>
                <w:sz w:val="18"/>
                <w:szCs w:val="18"/>
                <w:color w:val="auto"/>
                <w:w w:val="91"/>
              </w:rPr>
              <w:t>in each year (each, an “Interest Payment Date”), commencing</w:t>
            </w:r>
          </w:p>
        </w:tc>
      </w:tr>
      <w:tr>
        <w:trPr>
          <w:trHeight w:val="216"/>
        </w:trPr>
        <w:tc>
          <w:tcPr>
            <w:tcW w:w="60" w:type="dxa"/>
            <w:vAlign w:val="bottom"/>
          </w:tcPr>
          <w:p>
            <w:pPr>
              <w:spacing w:after="0"/>
              <w:rPr>
                <w:sz w:val="18"/>
                <w:szCs w:val="18"/>
                <w:color w:val="auto"/>
              </w:rPr>
            </w:pPr>
          </w:p>
        </w:tc>
        <w:tc>
          <w:tcPr>
            <w:tcW w:w="11240" w:type="dxa"/>
            <w:vAlign w:val="bottom"/>
            <w:gridSpan w:val="6"/>
          </w:tcPr>
          <w:p>
            <w:pPr>
              <w:ind w:left="660"/>
              <w:spacing w:after="0"/>
              <w:rPr>
                <w:sz w:val="20"/>
                <w:szCs w:val="20"/>
                <w:color w:val="auto"/>
              </w:rPr>
            </w:pPr>
            <w:r>
              <w:rPr>
                <w:rFonts w:ascii="Arial" w:cs="Arial" w:eastAsia="Arial" w:hAnsi="Arial"/>
                <w:sz w:val="18"/>
                <w:szCs w:val="18"/>
                <w:color w:val="auto"/>
                <w:w w:val="92"/>
              </w:rPr>
              <w:t>, at the rate of   % per annum, until the principal hereof is paid or duly provided for. The interest so payable, and punctually paid or duly provided</w:t>
            </w:r>
          </w:p>
        </w:tc>
      </w:tr>
      <w:tr>
        <w:trPr>
          <w:trHeight w:val="216"/>
        </w:trPr>
        <w:tc>
          <w:tcPr>
            <w:tcW w:w="11300" w:type="dxa"/>
            <w:vAlign w:val="bottom"/>
            <w:gridSpan w:val="7"/>
          </w:tcPr>
          <w:p>
            <w:pPr>
              <w:spacing w:after="0"/>
              <w:rPr>
                <w:sz w:val="20"/>
                <w:szCs w:val="20"/>
                <w:color w:val="auto"/>
              </w:rPr>
            </w:pPr>
            <w:r>
              <w:rPr>
                <w:rFonts w:ascii="Arial" w:cs="Arial" w:eastAsia="Arial" w:hAnsi="Arial"/>
                <w:sz w:val="18"/>
                <w:szCs w:val="18"/>
                <w:color w:val="auto"/>
                <w:w w:val="95"/>
              </w:rPr>
              <w:t>for, on any Interest Payment Date will, as provided in such Indenture, be paid to the Holder in whose name this Security (or one or more Predecessor</w:t>
            </w:r>
          </w:p>
        </w:tc>
      </w:tr>
      <w:tr>
        <w:trPr>
          <w:trHeight w:val="230"/>
        </w:trPr>
        <w:tc>
          <w:tcPr>
            <w:tcW w:w="8460" w:type="dxa"/>
            <w:vAlign w:val="bottom"/>
            <w:gridSpan w:val="5"/>
          </w:tcPr>
          <w:p>
            <w:pPr>
              <w:spacing w:after="0"/>
              <w:rPr>
                <w:sz w:val="20"/>
                <w:szCs w:val="20"/>
                <w:color w:val="auto"/>
              </w:rPr>
            </w:pPr>
            <w:r>
              <w:rPr>
                <w:rFonts w:ascii="Arial" w:cs="Arial" w:eastAsia="Arial" w:hAnsi="Arial"/>
                <w:sz w:val="18"/>
                <w:szCs w:val="18"/>
                <w:color w:val="auto"/>
                <w:w w:val="94"/>
              </w:rPr>
              <w:t>Securities) is registered at the close of business on the Regular Record Date for such interest, which shall be the</w:t>
            </w:r>
          </w:p>
        </w:tc>
        <w:tc>
          <w:tcPr>
            <w:tcW w:w="960" w:type="dxa"/>
            <w:vAlign w:val="bottom"/>
          </w:tcPr>
          <w:p>
            <w:pPr>
              <w:ind w:left="400"/>
              <w:spacing w:after="0"/>
              <w:rPr>
                <w:sz w:val="20"/>
                <w:szCs w:val="20"/>
                <w:color w:val="auto"/>
              </w:rPr>
            </w:pPr>
            <w:r>
              <w:rPr>
                <w:rFonts w:ascii="Arial" w:cs="Arial" w:eastAsia="Arial" w:hAnsi="Arial"/>
                <w:sz w:val="18"/>
                <w:szCs w:val="18"/>
                <w:color w:val="auto"/>
              </w:rPr>
              <w:t>or</w:t>
            </w:r>
          </w:p>
        </w:tc>
        <w:tc>
          <w:tcPr>
            <w:tcW w:w="1880" w:type="dxa"/>
            <w:vAlign w:val="bottom"/>
          </w:tcPr>
          <w:p>
            <w:pPr>
              <w:ind w:left="400"/>
              <w:spacing w:after="0"/>
              <w:rPr>
                <w:sz w:val="20"/>
                <w:szCs w:val="20"/>
                <w:color w:val="auto"/>
              </w:rPr>
            </w:pPr>
            <w:r>
              <w:rPr>
                <w:rFonts w:ascii="Arial" w:cs="Arial" w:eastAsia="Arial" w:hAnsi="Arial"/>
                <w:sz w:val="18"/>
                <w:szCs w:val="18"/>
                <w:color w:val="auto"/>
              </w:rPr>
              <w:t>(whether or not a</w:t>
            </w:r>
          </w:p>
        </w:tc>
      </w:tr>
    </w:tbl>
    <w:p>
      <w:pPr>
        <w:ind w:right="40"/>
        <w:spacing w:after="0" w:line="273" w:lineRule="auto"/>
        <w:rPr>
          <w:sz w:val="20"/>
          <w:szCs w:val="20"/>
          <w:color w:val="auto"/>
        </w:rPr>
      </w:pPr>
      <w:r>
        <w:rPr>
          <w:rFonts w:ascii="Arial" w:cs="Arial" w:eastAsia="Arial" w:hAnsi="Arial"/>
          <w:sz w:val="17"/>
          <w:szCs w:val="17"/>
          <w:color w:val="auto"/>
        </w:rPr>
        <w:t xml:space="preserve">Business Day), as the case may be, next preceding such Interest Payment Date [at the office or agency of the Company maintained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96" w:name="page197"/>
    <w:bookmarkEnd w:id="19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the Security is not to bear interest prior to Maturity, insert</w:t>
      </w:r>
      <w:r>
        <w:rPr>
          <w:rFonts w:ascii="Arial" w:cs="Arial" w:eastAsia="Arial" w:hAnsi="Arial"/>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ind w:right="120"/>
        <w:spacing w:after="0" w:line="261"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4"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ind w:right="40"/>
        <w:spacing w:after="0" w:line="288" w:lineRule="auto"/>
        <w:rPr>
          <w:sz w:val="20"/>
          <w:szCs w:val="20"/>
          <w:color w:val="auto"/>
        </w:rPr>
      </w:pPr>
      <w:r>
        <w:rPr>
          <w:rFonts w:ascii="Arial" w:cs="Arial" w:eastAsia="Arial" w:hAnsi="Arial"/>
          <w:sz w:val="16"/>
          <w:szCs w:val="16"/>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197" w:name="page198"/>
    <w:bookmarkEnd w:id="1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under its facsimile corporate seal.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-10160</wp:posOffset>
            </wp:positionV>
            <wp:extent cx="18859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274" w:right="1440"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Indenture, dated as of , 20 (herein called the “Indenture”) between the Company and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and the aggregate principal 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The Securities may not be redeemed prior to the Stated Maturity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11"/>
          </w:tcPr>
          <w:p>
            <w:pPr>
              <w:spacing w:after="0"/>
              <w:rPr>
                <w:sz w:val="20"/>
                <w:szCs w:val="20"/>
                <w:color w:val="auto"/>
              </w:rPr>
            </w:pPr>
            <w:r>
              <w:rPr>
                <w:rFonts w:ascii="Arial" w:cs="Arial" w:eastAsia="Arial" w:hAnsi="Arial"/>
                <w:sz w:val="18"/>
                <w:szCs w:val="18"/>
                <w:color w:val="auto"/>
                <w:w w:val="96"/>
              </w:rPr>
              <w:t>[If applicable, insert — The Securities are subject to redemption [ (l) (If applicable, insert — on</w:t>
            </w:r>
          </w:p>
        </w:tc>
        <w:tc>
          <w:tcPr>
            <w:tcW w:w="220" w:type="dxa"/>
            <w:vAlign w:val="bottom"/>
          </w:tcPr>
          <w:p>
            <w:pPr>
              <w:spacing w:after="0"/>
              <w:rPr>
                <w:sz w:val="17"/>
                <w:szCs w:val="17"/>
                <w:color w:val="auto"/>
              </w:rPr>
            </w:pPr>
          </w:p>
        </w:tc>
        <w:tc>
          <w:tcPr>
            <w:tcW w:w="3760" w:type="dxa"/>
            <w:vAlign w:val="bottom"/>
            <w:gridSpan w:val="5"/>
          </w:tcPr>
          <w:p>
            <w:pPr>
              <w:ind w:left="300"/>
              <w:spacing w:after="0"/>
              <w:rPr>
                <w:sz w:val="20"/>
                <w:szCs w:val="20"/>
                <w:color w:val="auto"/>
              </w:rPr>
            </w:pPr>
            <w:r>
              <w:rPr>
                <w:rFonts w:ascii="Arial" w:cs="Arial" w:eastAsia="Arial" w:hAnsi="Arial"/>
                <w:sz w:val="18"/>
                <w:szCs w:val="18"/>
                <w:color w:val="auto"/>
              </w:rPr>
              <w:t>in any year commencing with the year</w:t>
            </w: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1820" w:type="dxa"/>
            <w:vAlign w:val="bottom"/>
            <w:gridSpan w:val="5"/>
          </w:tcPr>
          <w:p>
            <w:pPr>
              <w:spacing w:after="0"/>
              <w:rPr>
                <w:sz w:val="20"/>
                <w:szCs w:val="20"/>
                <w:color w:val="auto"/>
              </w:rPr>
            </w:pPr>
            <w:r>
              <w:rPr>
                <w:rFonts w:ascii="Arial" w:cs="Arial" w:eastAsia="Arial" w:hAnsi="Arial"/>
                <w:sz w:val="18"/>
                <w:szCs w:val="18"/>
                <w:color w:val="auto"/>
                <w:w w:val="91"/>
              </w:rPr>
              <w:t>and ending with the year</w:t>
            </w:r>
          </w:p>
        </w:tc>
        <w:tc>
          <w:tcPr>
            <w:tcW w:w="9360" w:type="dxa"/>
            <w:vAlign w:val="bottom"/>
            <w:gridSpan w:val="12"/>
          </w:tcPr>
          <w:p>
            <w:pPr>
              <w:ind w:left="780"/>
              <w:spacing w:after="0"/>
              <w:rPr>
                <w:sz w:val="20"/>
                <w:szCs w:val="20"/>
                <w:color w:val="auto"/>
              </w:rPr>
            </w:pPr>
            <w:r>
              <w:rPr>
                <w:rFonts w:ascii="Arial" w:cs="Arial" w:eastAsia="Arial" w:hAnsi="Arial"/>
                <w:sz w:val="18"/>
                <w:szCs w:val="18"/>
                <w:color w:val="auto"/>
                <w:w w:val="91"/>
              </w:rPr>
              <w:t>through operation of the sinking fund for this series at a Redemption Price equal to 100% of the principal amount, and</w:t>
            </w:r>
          </w:p>
        </w:tc>
      </w:tr>
      <w:tr>
        <w:trPr>
          <w:trHeight w:val="190"/>
        </w:trPr>
        <w:tc>
          <w:tcPr>
            <w:tcW w:w="3980" w:type="dxa"/>
            <w:vAlign w:val="bottom"/>
            <w:gridSpan w:val="6"/>
          </w:tcPr>
          <w:p>
            <w:pPr>
              <w:spacing w:after="0" w:line="190" w:lineRule="exact"/>
              <w:rPr>
                <w:sz w:val="20"/>
                <w:szCs w:val="20"/>
                <w:color w:val="auto"/>
              </w:rPr>
            </w:pPr>
            <w:r>
              <w:rPr>
                <w:rFonts w:ascii="Arial" w:cs="Arial" w:eastAsia="Arial" w:hAnsi="Arial"/>
                <w:sz w:val="18"/>
                <w:szCs w:val="18"/>
                <w:color w:val="auto"/>
                <w:w w:val="98"/>
              </w:rPr>
              <w:t>(2) ] [If applicable, insert — at any time [on or after</w:t>
            </w:r>
          </w:p>
        </w:tc>
        <w:tc>
          <w:tcPr>
            <w:tcW w:w="240" w:type="dxa"/>
            <w:vAlign w:val="bottom"/>
          </w:tcPr>
          <w:p>
            <w:pPr>
              <w:spacing w:after="0"/>
              <w:rPr>
                <w:sz w:val="16"/>
                <w:szCs w:val="16"/>
                <w:color w:val="auto"/>
              </w:rPr>
            </w:pPr>
          </w:p>
        </w:tc>
        <w:tc>
          <w:tcPr>
            <w:tcW w:w="6960" w:type="dxa"/>
            <w:vAlign w:val="bottom"/>
            <w:gridSpan w:val="10"/>
          </w:tcPr>
          <w:p>
            <w:pPr>
              <w:ind w:left="300"/>
              <w:spacing w:after="0" w:line="190" w:lineRule="exact"/>
              <w:rPr>
                <w:sz w:val="20"/>
                <w:szCs w:val="20"/>
                <w:color w:val="auto"/>
              </w:rPr>
            </w:pPr>
            <w:r>
              <w:rPr>
                <w:rFonts w:ascii="Arial" w:cs="Arial" w:eastAsia="Arial" w:hAnsi="Arial"/>
                <w:sz w:val="18"/>
                <w:szCs w:val="18"/>
                <w:color w:val="auto"/>
                <w:w w:val="92"/>
              </w:rPr>
              <w:t>], as a whole or in part, at the election of the Company, at the following Redemption Prices</w:t>
            </w:r>
          </w:p>
        </w:tc>
      </w:tr>
      <w:tr>
        <w:trPr>
          <w:trHeight w:val="20"/>
        </w:trPr>
        <w:tc>
          <w:tcPr>
            <w:tcW w:w="42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3980" w:type="dxa"/>
            <w:vAlign w:val="bottom"/>
            <w:gridSpan w:val="6"/>
          </w:tcPr>
          <w:p>
            <w:pPr>
              <w:spacing w:after="0"/>
              <w:rPr>
                <w:sz w:val="20"/>
                <w:szCs w:val="20"/>
                <w:color w:val="auto"/>
              </w:rPr>
            </w:pPr>
            <w:r>
              <w:rPr>
                <w:rFonts w:ascii="Arial" w:cs="Arial" w:eastAsia="Arial" w:hAnsi="Arial"/>
                <w:sz w:val="18"/>
                <w:szCs w:val="18"/>
                <w:color w:val="auto"/>
                <w:w w:val="95"/>
              </w:rPr>
              <w:t>(expressed as percentages of the principal amount):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1820" w:type="dxa"/>
            <w:vAlign w:val="bottom"/>
            <w:gridSpan w:val="5"/>
          </w:tcPr>
          <w:p>
            <w:pPr>
              <w:spacing w:after="0"/>
              <w:rPr>
                <w:sz w:val="20"/>
                <w:szCs w:val="20"/>
                <w:color w:val="auto"/>
              </w:rPr>
            </w:pPr>
            <w:r>
              <w:rPr>
                <w:rFonts w:ascii="Arial" w:cs="Arial" w:eastAsia="Arial" w:hAnsi="Arial"/>
                <w:sz w:val="18"/>
                <w:szCs w:val="18"/>
                <w:color w:val="auto"/>
                <w:w w:val="90"/>
              </w:rPr>
              <w:t>If redeemed on or before</w:t>
            </w:r>
          </w:p>
        </w:tc>
        <w:tc>
          <w:tcPr>
            <w:tcW w:w="5380" w:type="dxa"/>
            <w:vAlign w:val="bottom"/>
            <w:gridSpan w:val="6"/>
          </w:tcPr>
          <w:p>
            <w:pPr>
              <w:ind w:left="740"/>
              <w:spacing w:after="0"/>
              <w:rPr>
                <w:sz w:val="20"/>
                <w:szCs w:val="20"/>
                <w:color w:val="auto"/>
              </w:rPr>
            </w:pPr>
            <w:r>
              <w:rPr>
                <w:rFonts w:ascii="Arial" w:cs="Arial" w:eastAsia="Arial" w:hAnsi="Arial"/>
                <w:sz w:val="18"/>
                <w:szCs w:val="18"/>
                <w:color w:val="auto"/>
                <w:w w:val="97"/>
              </w:rPr>
              <w:t>,   % and if redeemed during the 12-month period beginning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gridSpan w:val="3"/>
          </w:tcPr>
          <w:p>
            <w:pPr>
              <w:ind w:left="40"/>
              <w:spacing w:after="0"/>
              <w:rPr>
                <w:sz w:val="20"/>
                <w:szCs w:val="20"/>
                <w:color w:val="auto"/>
              </w:rPr>
            </w:pPr>
            <w:r>
              <w:rPr>
                <w:rFonts w:ascii="Arial" w:cs="Arial" w:eastAsia="Arial" w:hAnsi="Arial"/>
                <w:sz w:val="18"/>
                <w:szCs w:val="18"/>
                <w:color w:val="auto"/>
                <w:w w:val="88"/>
              </w:rPr>
              <w:t>of the years indicated at the Redemption Prices</w:t>
            </w:r>
          </w:p>
        </w:tc>
      </w:tr>
      <w:tr>
        <w:trPr>
          <w:trHeight w:val="230"/>
        </w:trPr>
        <w:tc>
          <w:tcPr>
            <w:tcW w:w="1820" w:type="dxa"/>
            <w:vAlign w:val="bottom"/>
            <w:gridSpan w:val="5"/>
          </w:tcPr>
          <w:p>
            <w:pPr>
              <w:spacing w:after="0"/>
              <w:rPr>
                <w:sz w:val="20"/>
                <w:szCs w:val="20"/>
                <w:color w:val="auto"/>
              </w:rPr>
            </w:pPr>
            <w:r>
              <w:rPr>
                <w:rFonts w:ascii="Arial" w:cs="Arial" w:eastAsia="Arial" w:hAnsi="Arial"/>
                <w:sz w:val="18"/>
                <w:szCs w:val="18"/>
                <w:color w:val="auto"/>
              </w:rPr>
              <w:t>indicated below.</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9"/>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4"/>
              </w:rPr>
              <w:t>Year</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4"/>
          </w:tcPr>
          <w:p>
            <w:pPr>
              <w:spacing w:after="0"/>
              <w:rPr>
                <w:sz w:val="20"/>
                <w:szCs w:val="20"/>
                <w:color w:val="auto"/>
              </w:rPr>
            </w:pPr>
            <w:r>
              <w:rPr>
                <w:rFonts w:ascii="Arial" w:cs="Arial" w:eastAsia="Arial" w:hAnsi="Arial"/>
                <w:sz w:val="18"/>
                <w:szCs w:val="18"/>
                <w:color w:val="auto"/>
              </w:rPr>
              <w:t>Redemption Price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w w:val="84"/>
              </w:rPr>
              <w:t>Year</w:t>
            </w:r>
          </w:p>
        </w:tc>
        <w:tc>
          <w:tcPr>
            <w:tcW w:w="17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Redemption Price</w:t>
            </w: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and thereafter at a Redemption Price equal to % of the principal amount, together in the case of any such redemption [</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Arial" w:cs="Arial" w:eastAsia="Arial" w:hAnsi="Arial"/>
                <w:sz w:val="18"/>
                <w:szCs w:val="18"/>
                <w:color w:val="auto"/>
                <w:w w:val="98"/>
              </w:rPr>
              <w:t>[If applicable, insert — The Securities are subject to redemption (1) on</w:t>
            </w:r>
          </w:p>
        </w:tc>
        <w:tc>
          <w:tcPr>
            <w:tcW w:w="3580" w:type="dxa"/>
            <w:vAlign w:val="bottom"/>
            <w:gridSpan w:val="2"/>
          </w:tcPr>
          <w:p>
            <w:pPr>
              <w:ind w:left="400"/>
              <w:spacing w:after="0"/>
              <w:rPr>
                <w:sz w:val="20"/>
                <w:szCs w:val="20"/>
                <w:color w:val="auto"/>
              </w:rPr>
            </w:pPr>
            <w:r>
              <w:rPr>
                <w:rFonts w:ascii="Arial" w:cs="Arial" w:eastAsia="Arial" w:hAnsi="Arial"/>
                <w:sz w:val="18"/>
                <w:szCs w:val="18"/>
                <w:color w:val="auto"/>
              </w:rPr>
              <w:t>in any year commencing with the year</w:t>
            </w:r>
          </w:p>
        </w:tc>
        <w:tc>
          <w:tcPr>
            <w:tcW w:w="2180" w:type="dxa"/>
            <w:vAlign w:val="bottom"/>
          </w:tcPr>
          <w:p>
            <w:pPr>
              <w:ind w:left="400"/>
              <w:spacing w:after="0"/>
              <w:rPr>
                <w:sz w:val="20"/>
                <w:szCs w:val="20"/>
                <w:color w:val="auto"/>
              </w:rPr>
            </w:pPr>
            <w:r>
              <w:rPr>
                <w:rFonts w:ascii="Arial" w:cs="Arial" w:eastAsia="Arial" w:hAnsi="Arial"/>
                <w:sz w:val="18"/>
                <w:szCs w:val="18"/>
                <w:color w:val="auto"/>
                <w:w w:val="89"/>
              </w:rPr>
              <w:t>and ending with the year</w:t>
            </w:r>
          </w:p>
        </w:tc>
      </w:tr>
      <w:tr>
        <w:trPr>
          <w:trHeight w:val="20"/>
        </w:trPr>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820" w:type="dxa"/>
            <w:vAlign w:val="bottom"/>
            <w:gridSpan w:val="4"/>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1220" w:type="dxa"/>
            <w:vAlign w:val="bottom"/>
            <w:gridSpan w:val="5"/>
          </w:tcPr>
          <w:p>
            <w:pPr>
              <w:ind w:left="720"/>
              <w:spacing w:after="0"/>
              <w:rPr>
                <w:sz w:val="20"/>
                <w:szCs w:val="20"/>
                <w:color w:val="auto"/>
              </w:rPr>
            </w:pPr>
            <w:r>
              <w:rPr>
                <w:rFonts w:ascii="Arial" w:cs="Arial" w:eastAsia="Arial" w:hAnsi="Arial"/>
                <w:sz w:val="18"/>
                <w:szCs w:val="18"/>
                <w:color w:val="auto"/>
                <w:w w:val="91"/>
              </w:rPr>
              <w:t>through operation of the sinking fund for this series at the Redemption Prices for redemption through operation of the sinking fund (expressed as</w:t>
            </w:r>
          </w:p>
        </w:tc>
      </w:tr>
      <w:tr>
        <w:trPr>
          <w:trHeight w:val="230"/>
        </w:trPr>
        <w:tc>
          <w:tcPr>
            <w:tcW w:w="7300" w:type="dxa"/>
            <w:vAlign w:val="bottom"/>
            <w:gridSpan w:val="4"/>
          </w:tcPr>
          <w:p>
            <w:pPr>
              <w:spacing w:after="0"/>
              <w:rPr>
                <w:sz w:val="20"/>
                <w:szCs w:val="20"/>
                <w:color w:val="auto"/>
              </w:rPr>
            </w:pPr>
            <w:r>
              <w:rPr>
                <w:rFonts w:ascii="Arial" w:cs="Arial" w:eastAsia="Arial" w:hAnsi="Arial"/>
                <w:sz w:val="18"/>
                <w:szCs w:val="18"/>
                <w:color w:val="auto"/>
                <w:w w:val="95"/>
              </w:rPr>
              <w:t>percentages of the principal amount) set forth in the table below, and (2) at any time [on or after</w:t>
            </w:r>
          </w:p>
        </w:tc>
        <w:tc>
          <w:tcPr>
            <w:tcW w:w="3980" w:type="dxa"/>
            <w:vAlign w:val="bottom"/>
            <w:gridSpan w:val="2"/>
          </w:tcPr>
          <w:p>
            <w:pPr>
              <w:ind w:left="380"/>
              <w:spacing w:after="0"/>
              <w:rPr>
                <w:sz w:val="20"/>
                <w:szCs w:val="20"/>
                <w:color w:val="auto"/>
              </w:rPr>
            </w:pPr>
            <w:r>
              <w:rPr>
                <w:rFonts w:ascii="Arial" w:cs="Arial" w:eastAsia="Arial" w:hAnsi="Arial"/>
                <w:sz w:val="18"/>
                <w:szCs w:val="18"/>
                <w:color w:val="auto"/>
              </w:rPr>
              <w:t>], as a whole or in part, at the election of the</w:t>
            </w:r>
          </w:p>
        </w:tc>
      </w:tr>
    </w:tbl>
    <w:p>
      <w:pPr>
        <w:spacing w:after="0"/>
        <w:rPr>
          <w:sz w:val="20"/>
          <w:szCs w:val="20"/>
          <w:color w:val="auto"/>
        </w:rPr>
      </w:pPr>
      <w:r>
        <w:rPr>
          <w:rFonts w:ascii="Arial" w:cs="Arial" w:eastAsia="Arial" w:hAnsi="Arial"/>
          <w:sz w:val="16"/>
          <w:szCs w:val="16"/>
          <w:color w:val="auto"/>
        </w:rPr>
        <w:t>Company, at the Redemption Prices for redemption otherwise than through operation of the sinking fund (expressed as percentages of the principal amount)</w:t>
      </w:r>
    </w:p>
    <w:p>
      <w:pPr>
        <w:spacing w:after="0" w:line="386"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set forth in the table below: If redeemed during the 12-month period beginning</w:t>
      </w:r>
      <w:r>
        <w:rPr>
          <w:sz w:val="20"/>
          <w:szCs w:val="20"/>
          <w:color w:val="auto"/>
        </w:rPr>
        <w:tab/>
      </w:r>
      <w:r>
        <w:rPr>
          <w:rFonts w:ascii="Arial" w:cs="Arial" w:eastAsia="Arial" w:hAnsi="Arial"/>
          <w:sz w:val="16"/>
          <w:szCs w:val="16"/>
          <w:color w:val="auto"/>
        </w:rPr>
        <w:t>of the years indicated,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199" w:name="page200"/>
    <w:bookmarkEnd w:id="199"/>
    <w:tbl>
      <w:tblPr>
        <w:tblLayout w:type="fixed"/>
        <w:tblInd w:w="18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40" w:type="dxa"/>
            <w:vAlign w:val="bottom"/>
            <w:gridSpan w:val="3"/>
          </w:tcPr>
          <w:p>
            <w:pPr>
              <w:jc w:val="center"/>
              <w:ind w:left="670"/>
              <w:spacing w:after="0"/>
              <w:rPr>
                <w:sz w:val="20"/>
                <w:szCs w:val="20"/>
                <w:color w:val="auto"/>
              </w:rPr>
            </w:pPr>
            <w:r>
              <w:rPr>
                <w:rFonts w:ascii="Arial" w:cs="Arial" w:eastAsia="Arial" w:hAnsi="Arial"/>
                <w:sz w:val="18"/>
                <w:szCs w:val="18"/>
                <w:color w:val="auto"/>
                <w:w w:val="92"/>
              </w:rPr>
              <w:t>Redemption Price for</w:t>
            </w:r>
          </w:p>
        </w:tc>
      </w:tr>
      <w:tr>
        <w:trPr>
          <w:trHeight w:val="216"/>
        </w:trPr>
        <w:tc>
          <w:tcPr>
            <w:tcW w:w="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4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Redemption Price for</w:t>
            </w:r>
          </w:p>
        </w:tc>
        <w:tc>
          <w:tcPr>
            <w:tcW w:w="284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Redemption Otherwise Than</w:t>
            </w:r>
          </w:p>
        </w:tc>
      </w:tr>
      <w:tr>
        <w:trPr>
          <w:trHeight w:val="216"/>
        </w:trPr>
        <w:tc>
          <w:tcPr>
            <w:tcW w:w="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4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Redemption Through</w:t>
            </w:r>
          </w:p>
        </w:tc>
        <w:tc>
          <w:tcPr>
            <w:tcW w:w="2840" w:type="dxa"/>
            <w:vAlign w:val="bottom"/>
            <w:gridSpan w:val="3"/>
          </w:tcPr>
          <w:p>
            <w:pPr>
              <w:jc w:val="center"/>
              <w:ind w:left="670"/>
              <w:spacing w:after="0"/>
              <w:rPr>
                <w:sz w:val="20"/>
                <w:szCs w:val="20"/>
                <w:color w:val="auto"/>
              </w:rPr>
            </w:pPr>
            <w:r>
              <w:rPr>
                <w:rFonts w:ascii="Arial" w:cs="Arial" w:eastAsia="Arial" w:hAnsi="Arial"/>
                <w:sz w:val="18"/>
                <w:szCs w:val="18"/>
                <w:color w:val="auto"/>
                <w:w w:val="91"/>
              </w:rPr>
              <w:t>Through Operation of the</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auto"/>
                <w:w w:val="78"/>
              </w:rPr>
              <w:t>Year</w:t>
            </w:r>
          </w:p>
        </w:tc>
        <w:tc>
          <w:tcPr>
            <w:tcW w:w="5760" w:type="dxa"/>
            <w:vAlign w:val="bottom"/>
            <w:gridSpan w:val="3"/>
          </w:tcPr>
          <w:p>
            <w:pPr>
              <w:jc w:val="center"/>
              <w:ind w:left="1990"/>
              <w:spacing w:after="0" w:line="190" w:lineRule="exact"/>
              <w:rPr>
                <w:sz w:val="20"/>
                <w:szCs w:val="20"/>
                <w:color w:val="auto"/>
              </w:rPr>
            </w:pPr>
            <w:r>
              <w:rPr>
                <w:rFonts w:ascii="Arial" w:cs="Arial" w:eastAsia="Arial" w:hAnsi="Arial"/>
                <w:sz w:val="18"/>
                <w:szCs w:val="18"/>
                <w:color w:val="auto"/>
                <w:w w:val="91"/>
              </w:rPr>
              <w:t>Operation of the Sinking Fund</w:t>
            </w:r>
          </w:p>
        </w:tc>
        <w:tc>
          <w:tcPr>
            <w:tcW w:w="2840" w:type="dxa"/>
            <w:vAlign w:val="bottom"/>
            <w:gridSpan w:val="3"/>
          </w:tcPr>
          <w:p>
            <w:pPr>
              <w:jc w:val="center"/>
              <w:ind w:left="670"/>
              <w:spacing w:after="0" w:line="190" w:lineRule="exact"/>
              <w:rPr>
                <w:sz w:val="20"/>
                <w:szCs w:val="20"/>
                <w:color w:val="auto"/>
              </w:rPr>
            </w:pPr>
            <w:r>
              <w:rPr>
                <w:rFonts w:ascii="Arial" w:cs="Arial" w:eastAsia="Arial" w:hAnsi="Arial"/>
                <w:sz w:val="18"/>
                <w:szCs w:val="18"/>
                <w:color w:val="auto"/>
                <w:w w:val="91"/>
              </w:rPr>
              <w:t>Sinking Fund</w:t>
            </w:r>
          </w:p>
        </w:tc>
      </w:tr>
      <w:tr>
        <w:trPr>
          <w:trHeight w:val="20"/>
        </w:trPr>
        <w:tc>
          <w:tcPr>
            <w:tcW w:w="3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1" w:lineRule="exact"/>
        <w:rPr>
          <w:sz w:val="20"/>
          <w:szCs w:val="20"/>
          <w:color w:val="auto"/>
        </w:rPr>
      </w:pPr>
    </w:p>
    <w:p>
      <w:pPr>
        <w:ind w:right="6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gridSpan w:val="3"/>
          </w:tcPr>
          <w:p>
            <w:pPr>
              <w:ind w:left="460"/>
              <w:spacing w:after="0"/>
              <w:rPr>
                <w:sz w:val="20"/>
                <w:szCs w:val="20"/>
                <w:color w:val="auto"/>
              </w:rPr>
            </w:pPr>
            <w:r>
              <w:rPr>
                <w:rFonts w:ascii="Arial" w:cs="Arial" w:eastAsia="Arial" w:hAnsi="Arial"/>
                <w:sz w:val="18"/>
                <w:szCs w:val="18"/>
                <w:color w:val="auto"/>
                <w:w w:val="97"/>
              </w:rPr>
              <w:t>[If applicable, insert — The sinking fund for the Securities provides for the redemption on</w:t>
            </w:r>
          </w:p>
        </w:tc>
        <w:tc>
          <w:tcPr>
            <w:tcW w:w="3960" w:type="dxa"/>
            <w:vAlign w:val="bottom"/>
          </w:tcPr>
          <w:p>
            <w:pPr>
              <w:ind w:left="400"/>
              <w:spacing w:after="0"/>
              <w:rPr>
                <w:sz w:val="20"/>
                <w:szCs w:val="20"/>
                <w:color w:val="auto"/>
              </w:rPr>
            </w:pPr>
            <w:r>
              <w:rPr>
                <w:rFonts w:ascii="Arial" w:cs="Arial" w:eastAsia="Arial" w:hAnsi="Arial"/>
                <w:sz w:val="18"/>
                <w:szCs w:val="18"/>
                <w:color w:val="auto"/>
              </w:rPr>
              <w:t>in each year, beginning with the year</w:t>
            </w:r>
          </w:p>
        </w:tc>
      </w:tr>
      <w:tr>
        <w:trPr>
          <w:trHeight w:val="20"/>
        </w:trPr>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20" w:type="dxa"/>
            <w:vAlign w:val="bottom"/>
            <w:gridSpan w:val="2"/>
          </w:tcPr>
          <w:p>
            <w:pPr>
              <w:spacing w:after="0" w:line="20" w:lineRule="exact"/>
              <w:rPr>
                <w:sz w:val="1"/>
                <w:szCs w:val="1"/>
                <w:color w:val="auto"/>
              </w:rPr>
            </w:pP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w w:val="96"/>
              </w:rPr>
              <w:t>and ending with the year</w:t>
            </w:r>
          </w:p>
        </w:tc>
        <w:tc>
          <w:tcPr>
            <w:tcW w:w="9420" w:type="dxa"/>
            <w:vAlign w:val="bottom"/>
            <w:gridSpan w:val="2"/>
          </w:tcPr>
          <w:p>
            <w:pPr>
              <w:ind w:left="640"/>
              <w:spacing w:after="0"/>
              <w:rPr>
                <w:sz w:val="20"/>
                <w:szCs w:val="20"/>
                <w:color w:val="auto"/>
              </w:rPr>
            </w:pPr>
            <w:r>
              <w:rPr>
                <w:rFonts w:ascii="Arial" w:cs="Arial" w:eastAsia="Arial" w:hAnsi="Arial"/>
                <w:sz w:val="18"/>
                <w:szCs w:val="18"/>
                <w:color w:val="auto"/>
                <w:w w:val="93"/>
              </w:rPr>
              <w:t>, of [not less than] $  ] [(“mandatory sinking fund”) and not more than $  ] aggregate principal amount of the Securities.</w:t>
            </w:r>
          </w:p>
        </w:tc>
      </w:tr>
    </w:tbl>
    <w:p>
      <w:pPr>
        <w:ind w:right="540"/>
        <w:spacing w:after="0" w:line="290" w:lineRule="auto"/>
        <w:rPr>
          <w:sz w:val="20"/>
          <w:szCs w:val="20"/>
          <w:color w:val="auto"/>
        </w:rPr>
      </w:pPr>
      <w:r>
        <w:rPr>
          <w:rFonts w:ascii="Arial" w:cs="Arial" w:eastAsia="Arial" w:hAnsi="Arial"/>
          <w:sz w:val="17"/>
          <w:szCs w:val="17"/>
          <w:color w:val="auto"/>
        </w:rPr>
        <w:t>[The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17"/>
          <w:szCs w:val="17"/>
          <w:u w:val="single" w:color="auto"/>
          <w:color w:val="auto"/>
        </w:rPr>
        <w:t>describe order</w:t>
      </w:r>
      <w:r>
        <w:rPr>
          <w:rFonts w:ascii="Arial" w:cs="Arial" w:eastAsia="Arial" w:hAnsi="Arial"/>
          <w:sz w:val="17"/>
          <w:szCs w:val="17"/>
          <w:color w:val="auto"/>
        </w:rPr>
        <w:t>] order in which they become due.]]</w:t>
      </w:r>
    </w:p>
    <w:p>
      <w:pPr>
        <w:spacing w:after="0" w:line="162"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7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200" w:name="page201"/>
    <w:bookmarkEnd w:id="200"/>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Security is subordinated to the prior payment in full in cash of Senior Indebtedness to the extent set forth in Article Sixteen of the Indenture.</w:t>
      </w:r>
    </w:p>
    <w:p>
      <w:pPr>
        <w:spacing w:after="0" w:line="237" w:lineRule="exact"/>
        <w:rPr>
          <w:sz w:val="20"/>
          <w:szCs w:val="20"/>
          <w:color w:val="auto"/>
        </w:rPr>
      </w:pPr>
    </w:p>
    <w:p>
      <w:pPr>
        <w:ind w:left="460"/>
        <w:spacing w:after="0"/>
        <w:tabs>
          <w:tab w:leader="none" w:pos="872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274" w:right="31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left="260"/>
        <w:spacing w:after="0" w:line="277" w:lineRule="auto"/>
        <w:rPr>
          <w:sz w:val="20"/>
          <w:szCs w:val="20"/>
          <w:color w:val="auto"/>
        </w:rPr>
      </w:pPr>
      <w:r>
        <w:rPr>
          <w:rFonts w:ascii="Arial" w:cs="Arial" w:eastAsia="Arial" w:hAnsi="Arial"/>
          <w:sz w:val="18"/>
          <w:szCs w:val="18"/>
          <w:color w:val="auto"/>
        </w:rPr>
        <w:t>FORM OF CERTIFICATE TO BE GIVEN BY PERSON ENTITLED TO RECEIVE BEARER SECURITY OR TO OBTAIN INTEREST PAYABLE PRIOR TO THE EXCHANGE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right="100" w:firstLine="8"/>
        <w:spacing w:after="0" w:line="251" w:lineRule="auto"/>
        <w:tabs>
          <w:tab w:leader="none" w:pos="24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Zafgen,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8"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202" w:name="page203"/>
    <w:bookmarkEnd w:id="202"/>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Person Making Certification]</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25"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Zafgen,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0"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ind w:left="1240" w:hanging="776"/>
        <w:spacing w:after="0"/>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as Operator of the Euroclear System] [Clearstream Banking Luxembourg]</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August 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registration of up to $150,000,000 of any combination of (i) common stock, par value $0.001 per share (the “Common Stock”), of Zafgen, Inc., a Delaware corporation (the “Company”), (ii) preferred stock, par value $0.001 per share, of the Company (the “Preferred Stock”), (iii) debt securities of the Company (“Debt Securities”), (iv) warrants to purchase Common Stock, Preferred Stock, Debt Securities or Units (as defined below) (“Warrants”) or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The opinions set forth below are limited to the Delaware General Corporation Law (which includes reported judicial decisions interpreting the Delaware General Corporation Law), the law of New York, and the federal law of the United States. Without limiting the generality of the foregoing, we express no opinion with respect to (i) state securities or “blue sky” laws, or (ii) state or federal antitrust laws.</w:t>
      </w:r>
    </w:p>
    <w:p>
      <w:pPr>
        <w:spacing w:after="0" w:line="16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purposes of the opinions set forth below, without limiting any other exceptions or qualifications set forth herein, we have assumed that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under the Company’s certificate of incorporation as then in effect (the “Charter”).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1460" w:right="60" w:hanging="547"/>
        <w:spacing w:after="0" w:line="259" w:lineRule="auto"/>
        <w:tabs>
          <w:tab w:leader="none" w:pos="1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92"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Preferred Stock, (a) the establishment of the terms of such Preferred Stock by the Company in conformity with the Charter and applicable law and (b) the execution,</w:t>
      </w:r>
    </w:p>
    <w:p>
      <w:pPr>
        <w:sectPr>
          <w:pgSz w:w="11900" w:h="16838" w:orient="portrait"/>
          <w:cols w:equalWidth="0" w:num="1">
            <w:col w:w="11420"/>
          </w:cols>
          <w:pgMar w:left="240" w:top="121" w:right="239" w:bottom="1440" w:gutter="0" w:footer="0" w:header="0"/>
        </w:sectPr>
      </w:pPr>
    </w:p>
    <w:bookmarkStart w:id="205" w:name="page206"/>
    <w:bookmarkEnd w:id="205"/>
    <w:p>
      <w:pPr>
        <w:ind w:left="148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acknowledgement and filing with the Delaware Secretary of State, and the effectiveness of, a certificate of designations to the Charter setting forth the terms of such Preferred Stock in accordance with the Charter and applicable law;</w:t>
      </w:r>
    </w:p>
    <w:p>
      <w:pPr>
        <w:spacing w:after="0" w:line="76" w:lineRule="exact"/>
        <w:rPr>
          <w:sz w:val="20"/>
          <w:szCs w:val="20"/>
          <w:color w:val="auto"/>
        </w:rPr>
      </w:pPr>
    </w:p>
    <w:p>
      <w:pPr>
        <w:ind w:left="1460" w:hanging="547"/>
        <w:spacing w:after="0" w:line="302" w:lineRule="auto"/>
        <w:tabs>
          <w:tab w:leader="none" w:pos="14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59" w:lineRule="exact"/>
        <w:rPr>
          <w:rFonts w:ascii="Arial" w:cs="Arial" w:eastAsia="Arial" w:hAnsi="Arial"/>
          <w:sz w:val="16"/>
          <w:szCs w:val="16"/>
          <w:color w:val="auto"/>
        </w:rPr>
      </w:pPr>
    </w:p>
    <w:p>
      <w:pPr>
        <w:ind w:left="1460" w:right="20" w:hanging="547"/>
        <w:spacing w:after="0" w:line="312" w:lineRule="auto"/>
        <w:tabs>
          <w:tab w:leader="none" w:pos="14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with respect to Warrants or Units, (a) the authorization, execution and delivery by the Company and the other parties thereto of any agreement under which such Securities are to be issued and (b) the establishment of the terms of such Securities, and the execution and delivery of such Securities, in conformity with any applicable agreement under which such Securities are to be issued and applicable law.</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right="540" w:firstLine="464"/>
        <w:spacing w:after="0" w:line="277" w:lineRule="auto"/>
        <w:tabs>
          <w:tab w:leader="none" w:pos="6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Common Stock, such shares of Common Stock will be validly issued, fully paid and nonassessable.</w:t>
      </w:r>
    </w:p>
    <w:p>
      <w:pPr>
        <w:spacing w:after="0" w:line="62" w:lineRule="exact"/>
        <w:rPr>
          <w:rFonts w:ascii="Arial" w:cs="Arial" w:eastAsia="Arial" w:hAnsi="Arial"/>
          <w:sz w:val="18"/>
          <w:szCs w:val="18"/>
          <w:color w:val="auto"/>
        </w:rPr>
      </w:pPr>
    </w:p>
    <w:p>
      <w:pPr>
        <w:ind w:right="540" w:firstLine="464"/>
        <w:spacing w:after="0" w:line="277" w:lineRule="auto"/>
        <w:tabs>
          <w:tab w:leader="none" w:pos="6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Preferred Stock, such shares of Preferred Stock will be validly issued, fully paid and nonassessable.</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Upon the Future Authorization and Issuance of Debt Securities, such Debt Securities will be valid and binding obligations of the Company.</w:t>
      </w:r>
    </w:p>
    <w:p>
      <w:pPr>
        <w:spacing w:after="0" w:line="128" w:lineRule="exact"/>
        <w:rPr>
          <w:rFonts w:ascii="Arial" w:cs="Arial" w:eastAsia="Arial" w:hAnsi="Arial"/>
          <w:sz w:val="17"/>
          <w:szCs w:val="17"/>
          <w:color w:val="auto"/>
        </w:rPr>
      </w:pPr>
    </w:p>
    <w:p>
      <w:pPr>
        <w:ind w:left="640" w:hanging="17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opinion letter and the opinions it contains shall be interpreted in accordance with the Legal Opinion Principles issued by the Committee on Legal Opinions of the American Bar Association’s Business Law Section as published in 53 Business Lawyer 831 (May 1998).</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GOODWIN PROCTER LLP</w:t>
      </w:r>
    </w:p>
    <w:p>
      <w:pPr>
        <w:sectPr>
          <w:pgSz w:w="11900" w:h="16838" w:orient="portrait"/>
          <w:cols w:equalWidth="0" w:num="1">
            <w:col w:w="11380"/>
          </w:cols>
          <w:pgMar w:left="240" w:top="274" w:right="279" w:bottom="1440" w:gutter="0" w:footer="0" w:header="0"/>
        </w:sectPr>
      </w:pPr>
    </w:p>
    <w:bookmarkStart w:id="206" w:name="page207"/>
    <w:bookmarkEnd w:id="206"/>
    <w:tbl>
      <w:tblPr>
        <w:tblLayout w:type="fixed"/>
        <w:tblInd w:w="452"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ind w:left="540"/>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369"/>
        </w:trPr>
        <w:tc>
          <w:tcPr>
            <w:tcW w:w="5860" w:type="dxa"/>
            <w:vAlign w:val="bottom"/>
          </w:tcPr>
          <w:p>
            <w:pPr>
              <w:spacing w:after="0"/>
              <w:rPr>
                <w:sz w:val="24"/>
                <w:szCs w:val="24"/>
                <w:color w:val="auto"/>
              </w:rPr>
            </w:pPr>
          </w:p>
        </w:tc>
        <w:tc>
          <w:tcPr>
            <w:tcW w:w="2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2016</w:t>
            </w:r>
          </w:p>
        </w:tc>
        <w:tc>
          <w:tcPr>
            <w:tcW w:w="136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$(58,225)</w:t>
            </w:r>
          </w:p>
        </w:tc>
        <w:tc>
          <w:tcPr>
            <w:tcW w:w="13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$(73,813)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$(35,532)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Add back: fixed charges</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676</w:t>
            </w: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913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loss from continuing operations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(57,549)</w:t>
            </w:r>
          </w:p>
        </w:tc>
        <w:tc>
          <w:tcPr>
            <w:tcW w:w="13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(72,900)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(26,617)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381</w:t>
            </w: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575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Noncash interest and other</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295</w:t>
            </w: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338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charges</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676</w:t>
            </w: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913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Deficiency of earnings available to cover fixed charges (1)</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$(58,225)</w:t>
            </w:r>
          </w:p>
        </w:tc>
        <w:tc>
          <w:tcPr>
            <w:tcW w:w="13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$(73,813)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$(35,532)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52" w:hanging="452"/>
        <w:spacing w:after="0"/>
        <w:tabs>
          <w:tab w:leader="none" w:pos="4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Less than one to one coverage.</w:t>
      </w:r>
    </w:p>
    <w:p>
      <w:pPr>
        <w:spacing w:after="0" w:line="23" w:lineRule="exact"/>
        <w:rPr>
          <w:sz w:val="20"/>
          <w:szCs w:val="20"/>
          <w:color w:val="auto"/>
        </w:rPr>
      </w:pPr>
    </w:p>
    <w:p>
      <w:pPr>
        <w:ind w:left="452" w:hanging="452"/>
        <w:spacing w:after="0"/>
        <w:tabs>
          <w:tab w:leader="none" w:pos="4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Losses in each period. Insufficient earnings to cover fixed charges by the amounts indicated.</w:t>
      </w:r>
    </w:p>
    <w:p>
      <w:pPr>
        <w:sectPr>
          <w:pgSz w:w="11900" w:h="16838" w:orient="portrait"/>
          <w:cols w:equalWidth="0" w:num="1">
            <w:col w:w="11412"/>
          </w:cols>
          <w:pgMar w:left="248" w:top="121"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March 10, 2017 relating to the financial statements, which appears in Zafgen Inc.’s Annual Report on Form 10-K for the year ended December 31, 2016.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9, 2017</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1)"/>
      <w:numFmt w:val="decimal"/>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lvl w:ilvl="1">
      <w:lvlJc w:val="left"/>
      <w:lvlText w:val="(%2)"/>
      <w:numFmt w:val="lowerRoman"/>
      <w:start w:val="2"/>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1)"/>
      <w:numFmt w:val="lowerLetter"/>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1)"/>
      <w:numFmt w:val="lowerRoman"/>
      <w:start w:val="1"/>
    </w:lvl>
  </w:abstractNum>
  <w:abstractNum w:abstractNumId="16">
    <w:nsid w:val="5092CA79"/>
    <w:multiLevelType w:val="hybridMultilevel"/>
    <w:lvl w:ilvl="0">
      <w:lvlJc w:val="left"/>
      <w:lvlText w:val="•"/>
      <w:numFmt w:val="bullet"/>
      <w:start w:val="1"/>
    </w:lvl>
    <w:lvl w:ilvl="1">
      <w:lvlJc w:val="left"/>
      <w:lvlText w:val="(%2)"/>
      <w:numFmt w:val="lowerRoman"/>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
      <w:numFmt w:val="bullet"/>
      <w:start w:val="1"/>
    </w:lvl>
  </w:abstractNum>
  <w:abstractNum w:abstractNumId="29">
    <w:nsid w:val="45E6D486"/>
    <w:multiLevelType w:val="hybridMultilevel"/>
    <w:lvl w:ilvl="0">
      <w:lvlJc w:val="left"/>
      <w:lvlText w:val="•"/>
      <w:numFmt w:val="bullet"/>
      <w:start w:val="1"/>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
      <w:numFmt w:val="bullet"/>
      <w:start w:val="1"/>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
      <w:numFmt w:val="bullet"/>
      <w:start w:val="1"/>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
      <w:numFmt w:val="bullet"/>
      <w:start w:val="1"/>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
      <w:numFmt w:val="bullet"/>
      <w:start w:val="1"/>
    </w:lvl>
  </w:abstractNum>
  <w:abstractNum w:abstractNumId="42">
    <w:nsid w:val="6AA7B75C"/>
    <w:multiLevelType w:val="hybridMultilevel"/>
    <w:lvl w:ilvl="0">
      <w:lvlJc w:val="left"/>
      <w:lvlText w:val="(%1)"/>
      <w:numFmt w:val="decimal"/>
      <w:start w:val="1"/>
    </w:lvl>
    <w:lvl w:ilvl="1">
      <w:lvlJc w:val="left"/>
      <w:lvlText w:val="(%2)"/>
      <w:numFmt w:val="lowerRoman"/>
      <w:start w:val="1"/>
    </w:lvl>
  </w:abstractNum>
  <w:abstractNum w:abstractNumId="43">
    <w:nsid w:val="1DF029D3"/>
    <w:multiLevelType w:val="hybridMultilevel"/>
    <w:lvl w:ilvl="0">
      <w:lvlJc w:val="left"/>
      <w:lvlText w:val="(%1)"/>
      <w:numFmt w:val="decimal"/>
      <w:start w:val="2"/>
    </w:lvl>
    <w:lvl w:ilvl="1">
      <w:lvlJc w:val="left"/>
      <w:lvlText w:val="(%2)"/>
      <w:numFmt w:val="lowerRoman"/>
      <w:start w:val="1"/>
    </w:lvl>
  </w:abstractNum>
  <w:abstractNum w:abstractNumId="44">
    <w:nsid w:val="5675FF36"/>
    <w:multiLevelType w:val="hybridMultilevel"/>
    <w:lvl w:ilvl="0">
      <w:lvlJc w:val="left"/>
      <w:lvlText w:val="%1"/>
      <w:numFmt w:val="decimal"/>
      <w:start w:val="1"/>
    </w:lvl>
    <w:lvl w:ilvl="1">
      <w:lvlJc w:val="left"/>
      <w:lvlText w:val="(%2)"/>
      <w:numFmt w:val="lowerRoman"/>
      <w:start w:val="2"/>
    </w:lvl>
  </w:abstractNum>
  <w:abstractNum w:abstractNumId="45">
    <w:nsid w:val="3DD15094"/>
    <w:multiLevelType w:val="hybridMultilevel"/>
    <w:lvl w:ilvl="0">
      <w:lvlJc w:val="left"/>
      <w:lvlText w:val="(%1)"/>
      <w:numFmt w:val="decimal"/>
      <w:start w:val="6"/>
    </w:lvl>
    <w:lvl w:ilvl="1">
      <w:lvlJc w:val="left"/>
      <w:lvlText w:val="%2"/>
      <w:numFmt w:val="lowerRoman"/>
      <w:start w:val="1"/>
    </w:lvl>
  </w:abstractNum>
  <w:abstractNum w:abstractNumId="46">
    <w:nsid w:val="3DB012B3"/>
    <w:multiLevelType w:val="hybridMultilevel"/>
    <w:lvl w:ilvl="0">
      <w:lvlJc w:val="left"/>
      <w:lvlText w:val="*"/>
      <w:numFmt w:val="bullet"/>
      <w:start w:val="1"/>
    </w:lvl>
  </w:abstractNum>
  <w:abstractNum w:abstractNumId="47">
    <w:nsid w:val="2708C9AF"/>
    <w:multiLevelType w:val="hybridMultilevel"/>
    <w:lvl w:ilvl="0">
      <w:lvlJc w:val="left"/>
      <w:lvlText w:val="**"/>
      <w:numFmt w:val="bullet"/>
      <w:start w:val="1"/>
    </w:lvl>
  </w:abstractNum>
  <w:abstractNum w:abstractNumId="48">
    <w:nsid w:val="5B25ACE2"/>
    <w:multiLevelType w:val="hybridMultilevel"/>
    <w:lvl w:ilvl="0">
      <w:lvlJc w:val="left"/>
      <w:lvlText w:val="(%1)"/>
      <w:numFmt w:val="decimal"/>
      <w:start w:val="1"/>
    </w:lvl>
  </w:abstractNum>
  <w:abstractNum w:abstractNumId="49">
    <w:nsid w:val="175DFCF0"/>
    <w:multiLevelType w:val="hybridMultilevel"/>
    <w:lvl w:ilvl="0">
      <w:lvlJc w:val="left"/>
      <w:lvlText w:val="(%1)"/>
      <w:numFmt w:val="lowerRoman"/>
      <w:start w:val="1"/>
    </w:lvl>
  </w:abstractNum>
  <w:abstractNum w:abstractNumId="50">
    <w:nsid w:val="4F97E3E4"/>
    <w:multiLevelType w:val="hybridMultilevel"/>
    <w:lvl w:ilvl="0">
      <w:lvlJc w:val="left"/>
      <w:lvlText w:val="(%1)"/>
      <w:numFmt w:val="decimal"/>
      <w:start w:val="1"/>
    </w:lvl>
  </w:abstractNum>
  <w:abstractNum w:abstractNumId="51">
    <w:nsid w:val="53B0A9E"/>
    <w:multiLevelType w:val="hybridMultilevel"/>
    <w:lvl w:ilvl="0">
      <w:lvlJc w:val="left"/>
      <w:lvlText w:val="(%1)"/>
      <w:numFmt w:val="lowerLetter"/>
      <w:start w:val="1"/>
    </w:lvl>
  </w:abstractNum>
  <w:abstractNum w:abstractNumId="52">
    <w:nsid w:val="34FD6B4F"/>
    <w:multiLevelType w:val="hybridMultilevel"/>
    <w:lvl w:ilvl="0">
      <w:lvlJc w:val="left"/>
      <w:lvlText w:val="(%1)"/>
      <w:numFmt w:val="lowerLetter"/>
      <w:start w:val="6"/>
    </w:lvl>
  </w:abstractNum>
  <w:abstractNum w:abstractNumId="53">
    <w:nsid w:val="5915FF32"/>
    <w:multiLevelType w:val="hybridMultilevel"/>
    <w:lvl w:ilvl="0">
      <w:lvlJc w:val="left"/>
      <w:lvlText w:val="(%1)"/>
      <w:numFmt w:val="decimal"/>
      <w:start w:val="2"/>
    </w:lvl>
  </w:abstractNum>
  <w:abstractNum w:abstractNumId="54">
    <w:nsid w:val="56438D15"/>
    <w:multiLevelType w:val="hybridMultilevel"/>
    <w:lvl w:ilvl="0">
      <w:lvlJc w:val="left"/>
      <w:lvlText w:val="(%1)"/>
      <w:numFmt w:val="decimal"/>
      <w:start w:val="3"/>
    </w:lvl>
  </w:abstractNum>
  <w:abstractNum w:abstractNumId="55">
    <w:nsid w:val="519E3149"/>
    <w:multiLevelType w:val="hybridMultilevel"/>
    <w:lvl w:ilvl="0">
      <w:lvlJc w:val="left"/>
      <w:lvlText w:val="(%1)"/>
      <w:numFmt w:val="decimal"/>
      <w:start w:val="1"/>
    </w:lvl>
  </w:abstractNum>
  <w:abstractNum w:abstractNumId="56">
    <w:nsid w:val="2C6E4AFD"/>
    <w:multiLevelType w:val="hybridMultilevel"/>
    <w:lvl w:ilvl="0">
      <w:lvlJc w:val="left"/>
      <w:lvlText w:val="(%1)"/>
      <w:numFmt w:val="decimal"/>
      <w:start w:val="3"/>
    </w:lvl>
  </w:abstractNum>
  <w:abstractNum w:abstractNumId="57">
    <w:nsid w:val="17A1B582"/>
    <w:multiLevelType w:val="hybridMultilevel"/>
    <w:lvl w:ilvl="0">
      <w:lvlJc w:val="left"/>
      <w:lvlText w:val="(%1)"/>
      <w:numFmt w:val="decimal"/>
      <w:start w:val="15"/>
    </w:lvl>
  </w:abstractNum>
  <w:abstractNum w:abstractNumId="58">
    <w:nsid w:val="4DF72E4E"/>
    <w:multiLevelType w:val="hybridMultilevel"/>
    <w:lvl w:ilvl="0">
      <w:lvlJc w:val="left"/>
      <w:lvlText w:val="(%1)"/>
      <w:numFmt w:val="lowerLetter"/>
      <w:start w:val="9"/>
    </w:lvl>
    <w:lvl w:ilvl="1">
      <w:lvlJc w:val="left"/>
      <w:lvlText w:val="(%2)"/>
      <w:numFmt w:val="lowerLetter"/>
      <w:start w:val="1"/>
    </w:lvl>
  </w:abstractNum>
  <w:abstractNum w:abstractNumId="59">
    <w:nsid w:val="5046B5A9"/>
    <w:multiLevelType w:val="hybridMultilevel"/>
    <w:lvl w:ilvl="0">
      <w:lvlJc w:val="left"/>
      <w:lvlText w:val="(%1)"/>
      <w:numFmt w:val="lowerRoman"/>
      <w:start w:val="2"/>
    </w:lvl>
  </w:abstractNum>
  <w:abstractNum w:abstractNumId="60">
    <w:nsid w:val="5D888A08"/>
    <w:multiLevelType w:val="hybridMultilevel"/>
    <w:lvl w:ilvl="0">
      <w:lvlJc w:val="left"/>
      <w:lvlText w:val="(%1)"/>
      <w:numFmt w:val="lowerLetter"/>
      <w:start w:val="1"/>
    </w:lvl>
  </w:abstractNum>
  <w:abstractNum w:abstractNumId="61">
    <w:nsid w:val="2A082C70"/>
    <w:multiLevelType w:val="hybridMultilevel"/>
    <w:lvl w:ilvl="0">
      <w:lvlJc w:val="left"/>
      <w:lvlText w:val="(%1)"/>
      <w:numFmt w:val="lowerLetter"/>
      <w:start w:val="2"/>
    </w:lvl>
  </w:abstractNum>
  <w:abstractNum w:abstractNumId="62">
    <w:nsid w:val="5EC6AFD4"/>
    <w:multiLevelType w:val="hybridMultilevel"/>
    <w:lvl w:ilvl="0">
      <w:lvlJc w:val="left"/>
      <w:lvlText w:val="(%1)"/>
      <w:numFmt w:val="decimal"/>
      <w:start w:val="1"/>
    </w:lvl>
  </w:abstractNum>
  <w:abstractNum w:abstractNumId="63">
    <w:nsid w:val="19E21BB2"/>
    <w:multiLevelType w:val="hybridMultilevel"/>
    <w:lvl w:ilvl="0">
      <w:lvlJc w:val="left"/>
      <w:lvlText w:val="(%1)"/>
      <w:numFmt w:val="decimal"/>
      <w:start w:val="2"/>
    </w:lvl>
  </w:abstractNum>
  <w:abstractNum w:abstractNumId="64">
    <w:nsid w:val="75E0858A"/>
    <w:multiLevelType w:val="hybridMultilevel"/>
    <w:lvl w:ilvl="0">
      <w:lvlJc w:val="left"/>
      <w:lvlText w:val="(%1)"/>
      <w:numFmt w:val="decimal"/>
      <w:start w:val="1"/>
    </w:lvl>
    <w:lvl w:ilvl="1">
      <w:lvlJc w:val="left"/>
      <w:lvlText w:val="(%2)"/>
      <w:numFmt w:val="upperLetter"/>
      <w:start w:val="1"/>
    </w:lvl>
  </w:abstractNum>
  <w:abstractNum w:abstractNumId="65">
    <w:nsid w:val="57A61A29"/>
    <w:multiLevelType w:val="hybridMultilevel"/>
    <w:lvl w:ilvl="0">
      <w:lvlJc w:val="left"/>
      <w:lvlText w:val="%1"/>
      <w:numFmt w:val="lowerRoman"/>
      <w:start w:val="1"/>
    </w:lvl>
    <w:lvl w:ilvl="1">
      <w:lvlJc w:val="left"/>
      <w:lvlText w:val="(%2)"/>
      <w:numFmt w:val="lowerRoman"/>
      <w:start w:val="1"/>
    </w:lvl>
  </w:abstractNum>
  <w:abstractNum w:abstractNumId="66">
    <w:nsid w:val="5399C654"/>
    <w:multiLevelType w:val="hybridMultilevel"/>
    <w:lvl w:ilvl="0">
      <w:lvlJc w:val="left"/>
      <w:lvlText w:val="(%1)"/>
      <w:numFmt w:val="lowerRoman"/>
      <w:start w:val="3"/>
    </w:lvl>
    <w:lvl w:ilvl="1">
      <w:lvlJc w:val="left"/>
      <w:lvlText w:val="%2"/>
      <w:numFmt w:val="lowerRoman"/>
      <w:start w:val="1"/>
    </w:lvl>
  </w:abstractNum>
  <w:abstractNum w:abstractNumId="67">
    <w:nsid w:val="20EE1348"/>
    <w:multiLevelType w:val="hybridMultilevel"/>
    <w:lvl w:ilvl="0">
      <w:lvlJc w:val="left"/>
      <w:lvlText w:val="(%1)"/>
      <w:numFmt w:val="decimal"/>
      <w:start w:val="2"/>
    </w:lvl>
  </w:abstractNum>
  <w:abstractNum w:abstractNumId="68">
    <w:nsid w:val="4427069A"/>
    <w:multiLevelType w:val="hybridMultilevel"/>
    <w:lvl w:ilvl="0">
      <w:lvlJc w:val="left"/>
      <w:lvlText w:val="(%1)"/>
      <w:numFmt w:val="decimal"/>
      <w:start w:val="1"/>
    </w:lvl>
  </w:abstractNum>
  <w:abstractNum w:abstractNumId="69">
    <w:nsid w:val="B37E80A"/>
    <w:multiLevelType w:val="hybridMultilevel"/>
    <w:lvl w:ilvl="0">
      <w:lvlJc w:val="left"/>
      <w:lvlText w:val="(%1)"/>
      <w:numFmt w:val="decimal"/>
      <w:start w:val="6"/>
    </w:lvl>
    <w:lvl w:ilvl="1">
      <w:lvlJc w:val="left"/>
      <w:lvlText w:val="(%2)"/>
      <w:numFmt w:val="upperLetter"/>
      <w:start w:val="1"/>
    </w:lvl>
  </w:abstractNum>
  <w:abstractNum w:abstractNumId="70">
    <w:nsid w:val="2157F6BC"/>
    <w:multiLevelType w:val="hybridMultilevel"/>
    <w:lvl w:ilvl="0">
      <w:lvlJc w:val="left"/>
      <w:lvlText w:val="(%1)"/>
      <w:numFmt w:val="decimal"/>
      <w:start w:val="1"/>
    </w:lvl>
    <w:lvl w:ilvl="1">
      <w:lvlJc w:val="left"/>
      <w:lvlText w:val="(%2)"/>
      <w:numFmt w:val="upperLetter"/>
      <w:start w:val="1"/>
    </w:lvl>
  </w:abstractNum>
  <w:abstractNum w:abstractNumId="71">
    <w:nsid w:val="704E1DD5"/>
    <w:multiLevelType w:val="hybridMultilevel"/>
    <w:lvl w:ilvl="0">
      <w:lvlJc w:val="left"/>
      <w:lvlText w:val="%1"/>
      <w:numFmt w:val="decimal"/>
      <w:start w:val="1"/>
    </w:lvl>
    <w:lvl w:ilvl="1">
      <w:lvlJc w:val="left"/>
      <w:lvlText w:val="(%2)"/>
      <w:numFmt w:val="upperLetter"/>
      <w:start w:val="2"/>
    </w:lvl>
  </w:abstractNum>
  <w:abstractNum w:abstractNumId="72">
    <w:nsid w:val="57D2F10E"/>
    <w:multiLevelType w:val="hybridMultilevel"/>
    <w:lvl w:ilvl="0">
      <w:lvlJc w:val="left"/>
      <w:lvlText w:val="(%1)"/>
      <w:numFmt w:val="decimal"/>
      <w:start w:val="2"/>
    </w:lvl>
    <w:lvl w:ilvl="1">
      <w:lvlJc w:val="left"/>
      <w:lvlText w:val="%2"/>
      <w:numFmt w:val="upperLetter"/>
      <w:start w:val="1"/>
    </w:lvl>
  </w:abstractNum>
  <w:abstractNum w:abstractNumId="73">
    <w:nsid w:val="BFFAE18"/>
    <w:multiLevelType w:val="hybridMultilevel"/>
    <w:lvl w:ilvl="0">
      <w:lvlJc w:val="left"/>
      <w:lvlText w:val="(%1)"/>
      <w:numFmt w:val="decimal"/>
      <w:start w:val="1"/>
    </w:lvl>
  </w:abstractNum>
  <w:abstractNum w:abstractNumId="74">
    <w:nsid w:val="E3E47A8"/>
    <w:multiLevelType w:val="hybridMultilevel"/>
    <w:lvl w:ilvl="0">
      <w:lvlJc w:val="left"/>
      <w:lvlText w:val="(%1)"/>
      <w:numFmt w:val="lowerRoman"/>
      <w:start w:val="1"/>
    </w:lvl>
  </w:abstractNum>
  <w:abstractNum w:abstractNumId="75">
    <w:nsid w:val="2E48F044"/>
    <w:multiLevelType w:val="hybridMultilevel"/>
    <w:lvl w:ilvl="0">
      <w:lvlJc w:val="left"/>
      <w:lvlText w:val="(%1)"/>
      <w:numFmt w:val="lowerRoman"/>
      <w:start w:val="2"/>
    </w:lvl>
  </w:abstractNum>
  <w:abstractNum w:abstractNumId="76">
    <w:nsid w:val="49D0FEAC"/>
    <w:multiLevelType w:val="hybridMultilevel"/>
    <w:lvl w:ilvl="0">
      <w:lvlJc w:val="left"/>
      <w:lvlText w:val="(%1)"/>
      <w:numFmt w:val="decimal"/>
      <w:start w:val="1"/>
    </w:lvl>
  </w:abstractNum>
  <w:abstractNum w:abstractNumId="77">
    <w:nsid w:val="4BEE5A5B"/>
    <w:multiLevelType w:val="hybridMultilevel"/>
    <w:lvl w:ilvl="0">
      <w:lvlJc w:val="left"/>
      <w:lvlText w:val="(%1)"/>
      <w:numFmt w:val="decimal"/>
      <w:start w:val="2"/>
    </w:lvl>
  </w:abstractNum>
  <w:abstractNum w:abstractNumId="78">
    <w:nsid w:val="5551B9F3"/>
    <w:multiLevelType w:val="hybridMultilevel"/>
    <w:lvl w:ilvl="0">
      <w:lvlJc w:val="left"/>
      <w:lvlText w:val="(%1)"/>
      <w:numFmt w:val="decimal"/>
      <w:start w:val="1"/>
    </w:lvl>
  </w:abstractNum>
  <w:abstractNum w:abstractNumId="79">
    <w:nsid w:val="24F6AB8E"/>
    <w:multiLevelType w:val="hybridMultilevel"/>
    <w:lvl w:ilvl="0">
      <w:lvlJc w:val="left"/>
      <w:lvlText w:val="(%1)"/>
      <w:numFmt w:val="decimal"/>
      <w:start w:val="2"/>
    </w:lvl>
  </w:abstractNum>
  <w:abstractNum w:abstractNumId="80">
    <w:nsid w:val="634C574C"/>
    <w:multiLevelType w:val="hybridMultilevel"/>
    <w:lvl w:ilvl="0">
      <w:lvlJc w:val="left"/>
      <w:lvlText w:val="(%1)"/>
      <w:numFmt w:val="decimal"/>
      <w:start w:val="1"/>
    </w:lvl>
  </w:abstractNum>
  <w:abstractNum w:abstractNumId="81">
    <w:nsid w:val="24E99DD7"/>
    <w:multiLevelType w:val="hybridMultilevel"/>
    <w:lvl w:ilvl="0">
      <w:lvlJc w:val="left"/>
      <w:lvlText w:val="(%1)"/>
      <w:numFmt w:val="decimal"/>
      <w:start w:val="1"/>
    </w:lvl>
  </w:abstractNum>
  <w:abstractNum w:abstractNumId="82">
    <w:nsid w:val="2A31B62D"/>
    <w:multiLevelType w:val="hybridMultilevel"/>
    <w:lvl w:ilvl="0">
      <w:lvlJc w:val="left"/>
      <w:lvlText w:val="(%1)"/>
      <w:numFmt w:val="decimal"/>
      <w:start w:val="8"/>
    </w:lvl>
  </w:abstractNum>
  <w:abstractNum w:abstractNumId="83">
    <w:nsid w:val="1849C29B"/>
    <w:multiLevelType w:val="hybridMultilevel"/>
    <w:lvl w:ilvl="0">
      <w:lvlJc w:val="left"/>
      <w:lvlText w:val="(%1)"/>
      <w:numFmt w:val="decimal"/>
      <w:start w:val="1"/>
    </w:lvl>
  </w:abstractNum>
  <w:abstractNum w:abstractNumId="84">
    <w:nsid w:val="7DFF9D09"/>
    <w:multiLevelType w:val="hybridMultilevel"/>
    <w:lvl w:ilvl="0">
      <w:lvlJc w:val="left"/>
      <w:lvlText w:val="(%1)"/>
      <w:numFmt w:val="lowerLetter"/>
      <w:start w:val="1"/>
    </w:lvl>
  </w:abstractNum>
  <w:abstractNum w:abstractNumId="85">
    <w:nsid w:val="754342"/>
    <w:multiLevelType w:val="hybridMultilevel"/>
    <w:lvl w:ilvl="0">
      <w:lvlJc w:val="left"/>
      <w:lvlText w:val="(%1)"/>
      <w:numFmt w:val="lowerLetter"/>
      <w:start w:val="3"/>
    </w:lvl>
  </w:abstractNum>
  <w:abstractNum w:abstractNumId="86">
    <w:nsid w:val="69E7F3E5"/>
    <w:multiLevelType w:val="hybridMultilevel"/>
    <w:lvl w:ilvl="0">
      <w:lvlJc w:val="left"/>
      <w:lvlText w:val="(%1)"/>
      <w:numFmt w:val="decimal"/>
      <w:start w:val="1"/>
    </w:lvl>
  </w:abstractNum>
  <w:abstractNum w:abstractNumId="87">
    <w:nsid w:val="2A6DE806"/>
    <w:multiLevelType w:val="hybridMultilevel"/>
    <w:lvl w:ilvl="0">
      <w:lvlJc w:val="left"/>
      <w:lvlText w:val="(%1)"/>
      <w:numFmt w:val="lowerLetter"/>
      <w:start w:val="5"/>
    </w:lvl>
  </w:abstractNum>
  <w:abstractNum w:abstractNumId="88">
    <w:nsid w:val="1816F8C4"/>
    <w:multiLevelType w:val="hybridMultilevel"/>
    <w:lvl w:ilvl="0">
      <w:lvlJc w:val="left"/>
      <w:lvlText w:val="(%1)"/>
      <w:numFmt w:val="lowerLetter"/>
      <w:start w:val="1"/>
    </w:lvl>
  </w:abstractNum>
  <w:abstractNum w:abstractNumId="89">
    <w:nsid w:val="37DF2233"/>
    <w:multiLevelType w:val="hybridMultilevel"/>
    <w:lvl w:ilvl="0">
      <w:lvlJc w:val="left"/>
      <w:lvlText w:val="(%1)"/>
      <w:numFmt w:val="lowerLetter"/>
      <w:start w:val="2"/>
    </w:lvl>
  </w:abstractNum>
  <w:abstractNum w:abstractNumId="90">
    <w:nsid w:val="7AB49DAF"/>
    <w:multiLevelType w:val="hybridMultilevel"/>
    <w:lvl w:ilvl="0">
      <w:lvlJc w:val="left"/>
      <w:lvlText w:val="(%1)"/>
      <w:numFmt w:val="decimal"/>
      <w:start w:val="1"/>
    </w:lvl>
  </w:abstractNum>
  <w:abstractNum w:abstractNumId="91">
    <w:nsid w:val="759F82CD"/>
    <w:multiLevelType w:val="hybridMultilevel"/>
    <w:lvl w:ilvl="0">
      <w:lvlJc w:val="left"/>
      <w:lvlText w:val="(%1)"/>
      <w:numFmt w:val="decimal"/>
      <w:start w:val="2"/>
    </w:lvl>
  </w:abstractNum>
  <w:abstractNum w:abstractNumId="92">
    <w:nsid w:val="61E74EA3"/>
    <w:multiLevelType w:val="hybridMultilevel"/>
    <w:lvl w:ilvl="0">
      <w:lvlJc w:val="left"/>
      <w:lvlText w:val="(%1)"/>
      <w:numFmt w:val="lowerLetter"/>
      <w:start w:val="2"/>
    </w:lvl>
  </w:abstractNum>
  <w:abstractNum w:abstractNumId="93">
    <w:nsid w:val="597B4D84"/>
    <w:multiLevelType w:val="hybridMultilevel"/>
    <w:lvl w:ilvl="0">
      <w:lvlJc w:val="left"/>
      <w:lvlText w:val="(%1)"/>
      <w:numFmt w:val="decimal"/>
      <w:start w:val="1"/>
    </w:lvl>
  </w:abstractNum>
  <w:abstractNum w:abstractNumId="94">
    <w:nsid w:val="F819E7F"/>
    <w:multiLevelType w:val="hybridMultilevel"/>
    <w:lvl w:ilvl="0">
      <w:lvlJc w:val="left"/>
      <w:lvlText w:val="(%1)"/>
      <w:numFmt w:val="lowerLetter"/>
      <w:start w:val="4"/>
    </w:lvl>
  </w:abstractNum>
  <w:abstractNum w:abstractNumId="95">
    <w:nsid w:val="57C7D42D"/>
    <w:multiLevelType w:val="hybridMultilevel"/>
    <w:lvl w:ilvl="0">
      <w:lvlJc w:val="left"/>
      <w:lvlText w:val="(%1)"/>
      <w:numFmt w:val="decimal"/>
      <w:start w:val="1"/>
    </w:lvl>
  </w:abstractNum>
  <w:abstractNum w:abstractNumId="96">
    <w:nsid w:val="312167AD"/>
    <w:multiLevelType w:val="hybridMultilevel"/>
    <w:lvl w:ilvl="0">
      <w:lvlJc w:val="left"/>
      <w:lvlText w:val="(%1)"/>
      <w:numFmt w:val="lowerLetter"/>
      <w:start w:val="1"/>
    </w:lvl>
  </w:abstractNum>
  <w:abstractNum w:abstractNumId="97">
    <w:nsid w:val="631B64D4"/>
    <w:multiLevelType w:val="hybridMultilevel"/>
    <w:lvl w:ilvl="0">
      <w:lvlJc w:val="left"/>
      <w:lvlText w:val="(%1)"/>
      <w:numFmt w:val="decimal"/>
      <w:start w:val="1"/>
    </w:lvl>
  </w:abstractNum>
  <w:abstractNum w:abstractNumId="98">
    <w:nsid w:val="78B5E776"/>
    <w:multiLevelType w:val="hybridMultilevel"/>
    <w:lvl w:ilvl="0">
      <w:lvlJc w:val="left"/>
      <w:lvlText w:val="(%1)"/>
      <w:numFmt w:val="decimal"/>
      <w:start w:val="4"/>
    </w:lvl>
  </w:abstractNum>
  <w:abstractNum w:abstractNumId="99">
    <w:nsid w:val="75486E47"/>
    <w:multiLevelType w:val="hybridMultilevel"/>
    <w:lvl w:ilvl="0">
      <w:lvlJc w:val="left"/>
      <w:lvlText w:val="(%1)"/>
      <w:numFmt w:val="decimal"/>
      <w:start w:val="1"/>
    </w:lvl>
  </w:abstractNum>
  <w:abstractNum w:abstractNumId="100">
    <w:nsid w:val="6E534CDE"/>
    <w:multiLevelType w:val="hybridMultilevel"/>
    <w:lvl w:ilvl="0">
      <w:lvlJc w:val="left"/>
      <w:lvlText w:val="(%1)"/>
      <w:numFmt w:val="decimal"/>
      <w:start w:val="2"/>
    </w:lvl>
  </w:abstractNum>
  <w:abstractNum w:abstractNumId="101">
    <w:nsid w:val="1A0DDE32"/>
    <w:multiLevelType w:val="hybridMultilevel"/>
    <w:lvl w:ilvl="0">
      <w:lvlJc w:val="left"/>
      <w:lvlText w:val="(%1)"/>
      <w:numFmt w:val="lowerRoman"/>
      <w:start w:val="1"/>
    </w:lvl>
  </w:abstractNum>
  <w:abstractNum w:abstractNumId="102">
    <w:nsid w:val="65968C1C"/>
    <w:multiLevelType w:val="hybridMultilevel"/>
    <w:lvl w:ilvl="0">
      <w:lvlJc w:val="left"/>
      <w:lvlText w:val="(%1)"/>
      <w:numFmt w:val="decimal"/>
      <w:start w:val="1"/>
    </w:lvl>
  </w:abstractNum>
  <w:abstractNum w:abstractNumId="103">
    <w:nsid w:val="46263DEC"/>
    <w:multiLevelType w:val="hybridMultilevel"/>
    <w:lvl w:ilvl="0">
      <w:lvlJc w:val="left"/>
      <w:lvlText w:val="(%1)"/>
      <w:numFmt w:val="decimal"/>
      <w:start w:val="1"/>
    </w:lvl>
  </w:abstractNum>
  <w:abstractNum w:abstractNumId="104">
    <w:nsid w:val="260D8C4A"/>
    <w:multiLevelType w:val="hybridMultilevel"/>
    <w:lvl w:ilvl="0">
      <w:lvlJc w:val="left"/>
      <w:lvlText w:val="(%1)"/>
      <w:numFmt w:val="decimal"/>
      <w:start w:val="6"/>
    </w:lvl>
  </w:abstractNum>
  <w:abstractNum w:abstractNumId="105">
    <w:nsid w:val="73D4D3C4"/>
    <w:multiLevelType w:val="hybridMultilevel"/>
    <w:lvl w:ilvl="0">
      <w:lvlJc w:val="left"/>
      <w:lvlText w:val="(%1)"/>
      <w:numFmt w:val="upperLetter"/>
      <w:start w:val="4"/>
    </w:lvl>
  </w:abstractNum>
  <w:abstractNum w:abstractNumId="106">
    <w:nsid w:val="746F2E30"/>
    <w:multiLevelType w:val="hybridMultilevel"/>
    <w:lvl w:ilvl="0">
      <w:lvlJc w:val="left"/>
      <w:lvlText w:val="(%1)"/>
      <w:numFmt w:val="lowerLetter"/>
      <w:start w:val="1"/>
    </w:lvl>
  </w:abstractNum>
  <w:abstractNum w:abstractNumId="107">
    <w:nsid w:val="6FDE8AF6"/>
    <w:multiLevelType w:val="hybridMultilevel"/>
    <w:lvl w:ilvl="0">
      <w:lvlJc w:val="left"/>
      <w:lvlText w:val="(%1)"/>
      <w:numFmt w:val="lowerLetter"/>
      <w:start w:val="2"/>
    </w:lvl>
  </w:abstractNum>
  <w:abstractNum w:abstractNumId="108">
    <w:nsid w:val="3FC32E20"/>
    <w:multiLevelType w:val="hybridMultilevel"/>
    <w:lvl w:ilvl="0">
      <w:lvlJc w:val="left"/>
      <w:lvlText w:val="(%1)"/>
      <w:numFmt w:val="lowerLetter"/>
      <w:start w:val="1"/>
    </w:lvl>
  </w:abstractNum>
  <w:abstractNum w:abstractNumId="109">
    <w:nsid w:val="49C0E823"/>
    <w:multiLevelType w:val="hybridMultilevel"/>
    <w:lvl w:ilvl="0">
      <w:lvlJc w:val="left"/>
      <w:lvlText w:val="(%1)"/>
      <w:numFmt w:val="lowerRoman"/>
      <w:start w:val="1"/>
    </w:lvl>
  </w:abstractNum>
  <w:abstractNum w:abstractNumId="110">
    <w:nsid w:val="14D53685"/>
    <w:multiLevelType w:val="hybridMultilevel"/>
    <w:lvl w:ilvl="0">
      <w:lvlJc w:val="left"/>
      <w:lvlText w:val="(%1)"/>
      <w:numFmt w:val="lowerLetter"/>
      <w:start w:val="1"/>
    </w:lvl>
  </w:abstractNum>
  <w:abstractNum w:abstractNumId="111">
    <w:nsid w:val="230F856C"/>
    <w:multiLevelType w:val="hybridMultilevel"/>
    <w:lvl w:ilvl="0">
      <w:lvlJc w:val="left"/>
      <w:lvlText w:val="(%1)"/>
      <w:numFmt w:val="lowerLetter"/>
      <w:start w:val="2"/>
    </w:lvl>
  </w:abstractNum>
  <w:abstractNum w:abstractNumId="112">
    <w:nsid w:val="6EAA85FB"/>
    <w:multiLevelType w:val="hybridMultilevel"/>
    <w:lvl w:ilvl="0">
      <w:lvlJc w:val="left"/>
      <w:lvlText w:val="%1"/>
      <w:numFmt w:val="decimal"/>
      <w:start w:val="1"/>
    </w:lvl>
    <w:lvl w:ilvl="1">
      <w:lvlJc w:val="left"/>
      <w:lvlText w:val="(%2)"/>
      <w:numFmt w:val="decimal"/>
      <w:start w:val="1"/>
    </w:lvl>
  </w:abstractNum>
  <w:abstractNum w:abstractNumId="113">
    <w:nsid w:val="3F06ECB2"/>
    <w:multiLevelType w:val="hybridMultilevel"/>
    <w:lvl w:ilvl="0">
      <w:lvlJc w:val="left"/>
      <w:lvlText w:val="(%1)"/>
      <w:numFmt w:val="decimal"/>
      <w:start w:val="7"/>
    </w:lvl>
    <w:lvl w:ilvl="1">
      <w:lvlJc w:val="left"/>
      <w:lvlText w:val="%2"/>
      <w:numFmt w:val="decimal"/>
      <w:start w:val="1"/>
    </w:lvl>
  </w:abstractNum>
  <w:abstractNum w:abstractNumId="114">
    <w:nsid w:val="3B594807"/>
    <w:multiLevelType w:val="hybridMultilevel"/>
    <w:lvl w:ilvl="0">
      <w:lvlJc w:val="left"/>
      <w:lvlText w:val="(%1)"/>
      <w:numFmt w:val="decimal"/>
      <w:start w:val="3"/>
    </w:lvl>
  </w:abstractNum>
  <w:abstractNum w:abstractNumId="115">
    <w:nsid w:val="6CAA2304"/>
    <w:multiLevelType w:val="hybridMultilevel"/>
    <w:lvl w:ilvl="0">
      <w:lvlJc w:val="left"/>
      <w:lvlText w:val="(%1)"/>
      <w:numFmt w:val="decimal"/>
      <w:start w:val="7"/>
    </w:lvl>
  </w:abstractNum>
  <w:abstractNum w:abstractNumId="116">
    <w:nsid w:val="3F7C2FF4"/>
    <w:multiLevelType w:val="hybridMultilevel"/>
    <w:lvl w:ilvl="0">
      <w:lvlJc w:val="left"/>
      <w:lvlText w:val="(%1)"/>
      <w:numFmt w:val="decimal"/>
      <w:start w:val="1"/>
    </w:lvl>
  </w:abstractNum>
  <w:abstractNum w:abstractNumId="117">
    <w:nsid w:val="25413BEC"/>
    <w:multiLevelType w:val="hybridMultilevel"/>
    <w:lvl w:ilvl="0">
      <w:lvlJc w:val="left"/>
      <w:lvlText w:val="(%1)"/>
      <w:numFmt w:val="decimal"/>
      <w:start w:val="1"/>
    </w:lvl>
  </w:abstractNum>
  <w:abstractNum w:abstractNumId="118">
    <w:nsid w:val="17180B0B"/>
    <w:multiLevelType w:val="hybridMultilevel"/>
    <w:lvl w:ilvl="0">
      <w:lvlJc w:val="left"/>
      <w:lvlText w:val="(%1)"/>
      <w:numFmt w:val="lowerRoman"/>
      <w:start w:val="1"/>
    </w:lvl>
  </w:abstractNum>
  <w:abstractNum w:abstractNumId="119">
    <w:nsid w:val="579328B9"/>
    <w:multiLevelType w:val="hybridMultilevel"/>
    <w:lvl w:ilvl="0">
      <w:lvlJc w:val="left"/>
      <w:lvlText w:val="(%1)"/>
      <w:numFmt w:val="decimal"/>
      <w:start w:val="1"/>
    </w:lvl>
  </w:abstractNum>
  <w:abstractNum w:abstractNumId="120">
    <w:nsid w:val="5D205E20"/>
    <w:multiLevelType w:val="hybridMultilevel"/>
    <w:lvl w:ilvl="0">
      <w:lvlJc w:val="left"/>
      <w:lvlText w:val="(%1)"/>
      <w:numFmt w:val="decimal"/>
      <w:start w:val="1"/>
    </w:lvl>
  </w:abstractNum>
  <w:abstractNum w:abstractNumId="121">
    <w:nsid w:val="11CCA8BA"/>
    <w:multiLevelType w:val="hybridMultilevel"/>
    <w:lvl w:ilvl="0">
      <w:lvlJc w:val="left"/>
      <w:lvlText w:val="(%1)"/>
      <w:numFmt w:val="lowerLetter"/>
      <w:start w:val="1"/>
    </w:lvl>
  </w:abstractNum>
  <w:abstractNum w:abstractNumId="122">
    <w:nsid w:val="4D32AB86"/>
    <w:multiLevelType w:val="hybridMultilevel"/>
    <w:lvl w:ilvl="0">
      <w:lvlJc w:val="left"/>
      <w:lvlText w:val="(%1)"/>
      <w:numFmt w:val="lowerRoman"/>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1)"/>
      <w:numFmt w:val="decimal"/>
      <w:start w:val="1"/>
    </w:lvl>
  </w:abstractNum>
  <w:abstractNum w:abstractNumId="125">
    <w:nsid w:val="5CB44A05"/>
    <w:multiLevelType w:val="hybridMultilevel"/>
    <w:lvl w:ilvl="0">
      <w:lvlJc w:val="left"/>
      <w:lvlText w:val="(%1)"/>
      <w:numFmt w:val="upperLetter"/>
      <w:start w:val="1"/>
    </w:lvl>
  </w:abstractNum>
  <w:abstractNum w:abstractNumId="126">
    <w:nsid w:val="16CF80F1"/>
    <w:multiLevelType w:val="hybridMultilevel"/>
    <w:lvl w:ilvl="0">
      <w:lvlJc w:val="left"/>
      <w:lvlText w:val="(%1)"/>
      <w:numFmt w:val="lowerRoman"/>
      <w:start w:val="1"/>
    </w:lvl>
  </w:abstractNum>
  <w:abstractNum w:abstractNumId="127">
    <w:nsid w:val="1C695DEC"/>
    <w:multiLevelType w:val="hybridMultilevel"/>
    <w:lvl w:ilvl="0">
      <w:lvlJc w:val="left"/>
      <w:lvlText w:val="(%1)"/>
      <w:numFmt w:val="decimal"/>
      <w:start w:val="1"/>
    </w:lvl>
  </w:abstractNum>
  <w:abstractNum w:abstractNumId="128">
    <w:nsid w:val="3FCFAED9"/>
    <w:multiLevelType w:val="hybridMultilevel"/>
    <w:lvl w:ilvl="0">
      <w:lvlJc w:val="left"/>
      <w:lvlText w:val="(%1)"/>
      <w:numFmt w:val="lowerLetter"/>
      <w:start w:val="1"/>
    </w:lvl>
  </w:abstractNum>
  <w:abstractNum w:abstractNumId="129">
    <w:nsid w:val="F856867"/>
    <w:multiLevelType w:val="hybridMultilevel"/>
    <w:lvl w:ilvl="0">
      <w:lvlJc w:val="left"/>
      <w:lvlText w:val="(%1)"/>
      <w:numFmt w:val="lowerLetter"/>
      <w:start w:val="6"/>
    </w:lvl>
  </w:abstractNum>
  <w:abstractNum w:abstractNumId="130">
    <w:nsid w:val="11B1CC33"/>
    <w:multiLevelType w:val="hybridMultilevel"/>
    <w:lvl w:ilvl="0">
      <w:lvlJc w:val="left"/>
      <w:lvlText w:val="(%1)"/>
      <w:numFmt w:val="decimal"/>
      <w:start w:val="2"/>
    </w:lvl>
  </w:abstractNum>
  <w:abstractNum w:abstractNumId="131">
    <w:nsid w:val="2E22FBB7"/>
    <w:multiLevelType w:val="hybridMultilevel"/>
    <w:lvl w:ilvl="0">
      <w:lvlJc w:val="left"/>
      <w:lvlText w:val="(%1)"/>
      <w:numFmt w:val="decimal"/>
      <w:start w:val="3"/>
    </w:lvl>
  </w:abstractNum>
  <w:abstractNum w:abstractNumId="132">
    <w:nsid w:val="29934699"/>
    <w:multiLevelType w:val="hybridMultilevel"/>
    <w:lvl w:ilvl="0">
      <w:lvlJc w:val="left"/>
      <w:lvlText w:val="(%1)"/>
      <w:numFmt w:val="decimal"/>
      <w:start w:val="1"/>
    </w:lvl>
  </w:abstractNum>
  <w:abstractNum w:abstractNumId="133">
    <w:nsid w:val="77485850"/>
    <w:multiLevelType w:val="hybridMultilevel"/>
    <w:lvl w:ilvl="0">
      <w:lvlJc w:val="left"/>
      <w:lvlText w:val="(%1)"/>
      <w:numFmt w:val="decimal"/>
      <w:start w:val="2"/>
    </w:lvl>
  </w:abstractNum>
  <w:abstractNum w:abstractNumId="134">
    <w:nsid w:val="744939A3"/>
    <w:multiLevelType w:val="hybridMultilevel"/>
    <w:lvl w:ilvl="0">
      <w:lvlJc w:val="left"/>
      <w:lvlText w:val="(%1)"/>
      <w:numFmt w:val="decimal"/>
      <w:start w:val="14"/>
    </w:lvl>
  </w:abstractNum>
  <w:abstractNum w:abstractNumId="135">
    <w:nsid w:val="4FA0D2E3"/>
    <w:multiLevelType w:val="hybridMultilevel"/>
    <w:lvl w:ilvl="0">
      <w:lvlJc w:val="left"/>
      <w:lvlText w:val="(%1)"/>
      <w:numFmt w:val="decimal"/>
      <w:start w:val="23"/>
    </w:lvl>
  </w:abstractNum>
  <w:abstractNum w:abstractNumId="136">
    <w:nsid w:val="6B1D2C14"/>
    <w:multiLevelType w:val="hybridMultilevel"/>
    <w:lvl w:ilvl="0">
      <w:lvlJc w:val="left"/>
      <w:lvlText w:val="(%1)"/>
      <w:numFmt w:val="lowerLetter"/>
      <w:start w:val="9"/>
    </w:lvl>
    <w:lvl w:ilvl="1">
      <w:lvlJc w:val="left"/>
      <w:lvlText w:val="(%2)"/>
      <w:numFmt w:val="lowerLetter"/>
      <w:start w:val="1"/>
    </w:lvl>
  </w:abstractNum>
  <w:abstractNum w:abstractNumId="137">
    <w:nsid w:val="68B867D3"/>
    <w:multiLevelType w:val="hybridMultilevel"/>
    <w:lvl w:ilvl="0">
      <w:lvlJc w:val="left"/>
      <w:lvlText w:val="(%1)"/>
      <w:numFmt w:val="lowerRoman"/>
      <w:start w:val="2"/>
    </w:lvl>
  </w:abstractNum>
  <w:abstractNum w:abstractNumId="138">
    <w:nsid w:val="3F7F5DD9"/>
    <w:multiLevelType w:val="hybridMultilevel"/>
    <w:lvl w:ilvl="0">
      <w:lvlJc w:val="left"/>
      <w:lvlText w:val="(%1)"/>
      <w:numFmt w:val="lowerLetter"/>
      <w:start w:val="1"/>
    </w:lvl>
  </w:abstractNum>
  <w:abstractNum w:abstractNumId="139">
    <w:nsid w:val="2AE05A34"/>
    <w:multiLevelType w:val="hybridMultilevel"/>
    <w:lvl w:ilvl="0">
      <w:lvlJc w:val="left"/>
      <w:lvlText w:val="(%1)"/>
      <w:numFmt w:val="lowerLetter"/>
      <w:start w:val="2"/>
    </w:lvl>
  </w:abstractNum>
  <w:abstractNum w:abstractNumId="140">
    <w:nsid w:val="32794FF7"/>
    <w:multiLevelType w:val="hybridMultilevel"/>
    <w:lvl w:ilvl="0">
      <w:lvlJc w:val="left"/>
      <w:lvlText w:val="(%1)"/>
      <w:numFmt w:val="lowerRoman"/>
      <w:start w:val="2"/>
    </w:lvl>
  </w:abstractNum>
  <w:abstractNum w:abstractNumId="141">
    <w:nsid w:val="5454945E"/>
    <w:multiLevelType w:val="hybridMultilevel"/>
    <w:lvl w:ilvl="0">
      <w:lvlJc w:val="left"/>
      <w:lvlText w:val="(%1)"/>
      <w:numFmt w:val="decimal"/>
      <w:start w:val="1"/>
    </w:lvl>
  </w:abstractNum>
  <w:abstractNum w:abstractNumId="142">
    <w:nsid w:val="4DEFDFA0"/>
    <w:multiLevelType w:val="hybridMultilevel"/>
    <w:lvl w:ilvl="0">
      <w:lvlJc w:val="left"/>
      <w:lvlText w:val="(%1)"/>
      <w:numFmt w:val="decimal"/>
      <w:start w:val="2"/>
    </w:lvl>
  </w:abstractNum>
  <w:abstractNum w:abstractNumId="143">
    <w:nsid w:val="2123D5F2"/>
    <w:multiLevelType w:val="hybridMultilevel"/>
    <w:lvl w:ilvl="0">
      <w:lvlJc w:val="left"/>
      <w:lvlText w:val="(%1)"/>
      <w:numFmt w:val="decimal"/>
      <w:start w:val="1"/>
    </w:lvl>
    <w:lvl w:ilvl="1">
      <w:lvlJc w:val="left"/>
      <w:lvlText w:val="(%2)"/>
      <w:numFmt w:val="upperLetter"/>
      <w:start w:val="1"/>
    </w:lvl>
  </w:abstractNum>
  <w:abstractNum w:abstractNumId="144">
    <w:nsid w:val="135B8110"/>
    <w:multiLevelType w:val="hybridMultilevel"/>
    <w:lvl w:ilvl="0">
      <w:lvlJc w:val="left"/>
      <w:lvlText w:val="(%1)"/>
      <w:numFmt w:val="lowerRoman"/>
      <w:start w:val="2"/>
    </w:lvl>
  </w:abstractNum>
  <w:abstractNum w:abstractNumId="145">
    <w:nsid w:val="94927A8"/>
    <w:multiLevelType w:val="hybridMultilevel"/>
    <w:lvl w:ilvl="0">
      <w:lvlJc w:val="left"/>
      <w:lvlText w:val="(%1)"/>
      <w:numFmt w:val="decimal"/>
      <w:start w:val="2"/>
    </w:lvl>
  </w:abstractNum>
  <w:abstractNum w:abstractNumId="146">
    <w:nsid w:val="DCDF8F6"/>
    <w:multiLevelType w:val="hybridMultilevel"/>
    <w:lvl w:ilvl="0">
      <w:lvlJc w:val="left"/>
      <w:lvlText w:val="(%1)"/>
      <w:numFmt w:val="decimal"/>
      <w:start w:val="1"/>
    </w:lvl>
  </w:abstractNum>
  <w:abstractNum w:abstractNumId="147">
    <w:nsid w:val="52D7B105"/>
    <w:multiLevelType w:val="hybridMultilevel"/>
    <w:lvl w:ilvl="0">
      <w:lvlJc w:val="left"/>
      <w:lvlText w:val="(%1)"/>
      <w:numFmt w:val="decimal"/>
      <w:start w:val="5"/>
    </w:lvl>
    <w:lvl w:ilvl="1">
      <w:lvlJc w:val="left"/>
      <w:lvlText w:val="(%2)"/>
      <w:numFmt w:val="upperLetter"/>
      <w:start w:val="1"/>
    </w:lvl>
  </w:abstractNum>
  <w:abstractNum w:abstractNumId="148">
    <w:nsid w:val="2E8A6394"/>
    <w:multiLevelType w:val="hybridMultilevel"/>
    <w:lvl w:ilvl="0">
      <w:lvlJc w:val="left"/>
      <w:lvlText w:val="(%1)"/>
      <w:numFmt w:val="decimal"/>
      <w:start w:val="1"/>
    </w:lvl>
    <w:lvl w:ilvl="1">
      <w:lvlJc w:val="left"/>
      <w:lvlText w:val="(%2)"/>
      <w:numFmt w:val="upperLetter"/>
      <w:start w:val="1"/>
    </w:lvl>
  </w:abstractNum>
  <w:abstractNum w:abstractNumId="149">
    <w:nsid w:val="24E60401"/>
    <w:multiLevelType w:val="hybridMultilevel"/>
    <w:lvl w:ilvl="0">
      <w:lvlJc w:val="left"/>
      <w:lvlText w:val="(%1)"/>
      <w:numFmt w:val="decimal"/>
      <w:start w:val="1"/>
    </w:lvl>
  </w:abstractNum>
  <w:abstractNum w:abstractNumId="150">
    <w:nsid w:val="2A6AD9BE"/>
    <w:multiLevelType w:val="hybridMultilevel"/>
    <w:lvl w:ilvl="0">
      <w:lvlJc w:val="left"/>
      <w:lvlText w:val="(%1)"/>
      <w:numFmt w:val="lowerRoman"/>
      <w:start w:val="1"/>
    </w:lvl>
  </w:abstractNum>
  <w:abstractNum w:abstractNumId="151">
    <w:nsid w:val="BAAC1B4"/>
    <w:multiLevelType w:val="hybridMultilevel"/>
    <w:lvl w:ilvl="0">
      <w:lvlJc w:val="left"/>
      <w:lvlText w:val="(%1)"/>
      <w:numFmt w:val="decimal"/>
      <w:start w:val="1"/>
    </w:lvl>
  </w:abstractNum>
  <w:abstractNum w:abstractNumId="152">
    <w:nsid w:val="36B2ACBC"/>
    <w:multiLevelType w:val="hybridMultilevel"/>
    <w:lvl w:ilvl="0">
      <w:lvlJc w:val="left"/>
      <w:lvlText w:val="(%1)"/>
      <w:numFmt w:val="decimal"/>
      <w:start w:val="1"/>
    </w:lvl>
  </w:abstractNum>
  <w:abstractNum w:abstractNumId="153">
    <w:nsid w:val="779D8544"/>
    <w:multiLevelType w:val="hybridMultilevel"/>
    <w:lvl w:ilvl="0">
      <w:lvlJc w:val="left"/>
      <w:lvlText w:val="(%1)"/>
      <w:numFmt w:val="decimal"/>
      <w:start w:val="1"/>
    </w:lvl>
  </w:abstractNum>
  <w:abstractNum w:abstractNumId="154">
    <w:nsid w:val="4AB26E78"/>
    <w:multiLevelType w:val="hybridMultilevel"/>
    <w:lvl w:ilvl="0">
      <w:lvlJc w:val="left"/>
      <w:lvlText w:val="(%1)"/>
      <w:numFmt w:val="decimal"/>
      <w:start w:val="1"/>
    </w:lvl>
  </w:abstractNum>
  <w:abstractNum w:abstractNumId="155">
    <w:nsid w:val="21FAA2FA"/>
    <w:multiLevelType w:val="hybridMultilevel"/>
    <w:lvl w:ilvl="0">
      <w:lvlJc w:val="left"/>
      <w:lvlText w:val="(%1)"/>
      <w:numFmt w:val="decimal"/>
      <w:start w:val="7"/>
    </w:lvl>
  </w:abstractNum>
  <w:abstractNum w:abstractNumId="156">
    <w:nsid w:val="5451CF49"/>
    <w:multiLevelType w:val="hybridMultilevel"/>
    <w:lvl w:ilvl="0">
      <w:lvlJc w:val="left"/>
      <w:lvlText w:val="(%1)"/>
      <w:numFmt w:val="decimal"/>
      <w:start w:val="1"/>
    </w:lvl>
  </w:abstractNum>
  <w:abstractNum w:abstractNumId="157">
    <w:nsid w:val="6181EF69"/>
    <w:multiLevelType w:val="hybridMultilevel"/>
    <w:lvl w:ilvl="0">
      <w:lvlJc w:val="left"/>
      <w:lvlText w:val="(%1)"/>
      <w:numFmt w:val="lowerLetter"/>
      <w:start w:val="1"/>
    </w:lvl>
  </w:abstractNum>
  <w:abstractNum w:abstractNumId="158">
    <w:nsid w:val="3E6400E6"/>
    <w:multiLevelType w:val="hybridMultilevel"/>
    <w:lvl w:ilvl="0">
      <w:lvlJc w:val="left"/>
      <w:lvlText w:val="(%1)"/>
      <w:numFmt w:val="decimal"/>
      <w:start w:val="1"/>
    </w:lvl>
  </w:abstractNum>
  <w:abstractNum w:abstractNumId="159">
    <w:nsid w:val="14217E23"/>
    <w:multiLevelType w:val="hybridMultilevel"/>
    <w:lvl w:ilvl="0">
      <w:lvlJc w:val="left"/>
      <w:lvlText w:val="(%1)"/>
      <w:numFmt w:val="lowerLetter"/>
      <w:start w:val="5"/>
    </w:lvl>
  </w:abstractNum>
  <w:abstractNum w:abstractNumId="160">
    <w:nsid w:val="710757D0"/>
    <w:multiLevelType w:val="hybridMultilevel"/>
    <w:lvl w:ilvl="0">
      <w:lvlJc w:val="left"/>
      <w:lvlText w:val="(%1)"/>
      <w:numFmt w:val="lowerLetter"/>
      <w:start w:val="6"/>
    </w:lvl>
  </w:abstractNum>
  <w:abstractNum w:abstractNumId="161">
    <w:nsid w:val="5015CD1A"/>
    <w:multiLevelType w:val="hybridMultilevel"/>
    <w:lvl w:ilvl="0">
      <w:lvlJc w:val="left"/>
      <w:lvlText w:val="(%1)"/>
      <w:numFmt w:val="lowerLetter"/>
      <w:start w:val="1"/>
    </w:lvl>
  </w:abstractNum>
  <w:abstractNum w:abstractNumId="162">
    <w:nsid w:val="424479DA"/>
    <w:multiLevelType w:val="hybridMultilevel"/>
    <w:lvl w:ilvl="0">
      <w:lvlJc w:val="left"/>
      <w:lvlText w:val="(%1)"/>
      <w:numFmt w:val="decimal"/>
      <w:start w:val="1"/>
    </w:lvl>
  </w:abstractNum>
  <w:abstractNum w:abstractNumId="163">
    <w:nsid w:val="1A9A9E69"/>
    <w:multiLevelType w:val="hybridMultilevel"/>
    <w:lvl w:ilvl="0">
      <w:lvlJc w:val="left"/>
      <w:lvlText w:val="(%1)"/>
      <w:numFmt w:val="lowerLetter"/>
      <w:start w:val="2"/>
    </w:lvl>
  </w:abstractNum>
  <w:abstractNum w:abstractNumId="164">
    <w:nsid w:val="475E256A"/>
    <w:multiLevelType w:val="hybridMultilevel"/>
    <w:lvl w:ilvl="0">
      <w:lvlJc w:val="left"/>
      <w:lvlText w:val="(%1)"/>
      <w:numFmt w:val="decimal"/>
      <w:start w:val="1"/>
    </w:lvl>
  </w:abstractNum>
  <w:abstractNum w:abstractNumId="165">
    <w:nsid w:val="368DB37E"/>
    <w:multiLevelType w:val="hybridMultilevel"/>
    <w:lvl w:ilvl="0">
      <w:lvlJc w:val="left"/>
      <w:lvlText w:val="(%1)"/>
      <w:numFmt w:val="lowerLetter"/>
      <w:start w:val="4"/>
    </w:lvl>
  </w:abstractNum>
  <w:abstractNum w:abstractNumId="166">
    <w:nsid w:val="6A3B714C"/>
    <w:multiLevelType w:val="hybridMultilevel"/>
    <w:lvl w:ilvl="0">
      <w:lvlJc w:val="left"/>
      <w:lvlText w:val="(%1)"/>
      <w:numFmt w:val="decimal"/>
      <w:start w:val="1"/>
    </w:lvl>
  </w:abstractNum>
  <w:abstractNum w:abstractNumId="167">
    <w:nsid w:val="327B517E"/>
    <w:multiLevelType w:val="hybridMultilevel"/>
    <w:lvl w:ilvl="0">
      <w:lvlJc w:val="left"/>
      <w:lvlText w:val="(%1)"/>
      <w:numFmt w:val="lowerLetter"/>
      <w:start w:val="1"/>
    </w:lvl>
  </w:abstractNum>
  <w:abstractNum w:abstractNumId="168">
    <w:nsid w:val="1F461B51"/>
    <w:multiLevelType w:val="hybridMultilevel"/>
    <w:lvl w:ilvl="0">
      <w:lvlJc w:val="left"/>
      <w:lvlText w:val="(%1)"/>
      <w:numFmt w:val="decimal"/>
      <w:start w:val="1"/>
    </w:lvl>
  </w:abstractNum>
  <w:abstractNum w:abstractNumId="169">
    <w:nsid w:val="29BACF25"/>
    <w:multiLevelType w:val="hybridMultilevel"/>
    <w:lvl w:ilvl="0">
      <w:lvlJc w:val="left"/>
      <w:lvlText w:val="(%1)"/>
      <w:numFmt w:val="decimal"/>
      <w:start w:val="1"/>
    </w:lvl>
  </w:abstractNum>
  <w:abstractNum w:abstractNumId="170">
    <w:nsid w:val="5D5BABB3"/>
    <w:multiLevelType w:val="hybridMultilevel"/>
    <w:lvl w:ilvl="0">
      <w:lvlJc w:val="left"/>
      <w:lvlText w:val="(%1)"/>
      <w:numFmt w:val="decimal"/>
      <w:start w:val="1"/>
    </w:lvl>
  </w:abstractNum>
  <w:abstractNum w:abstractNumId="171">
    <w:nsid w:val="51BF6B48"/>
    <w:multiLevelType w:val="hybridMultilevel"/>
    <w:lvl w:ilvl="0">
      <w:lvlJc w:val="left"/>
      <w:lvlText w:val="(%1)"/>
      <w:numFmt w:val="lowerRoman"/>
      <w:start w:val="1"/>
    </w:lvl>
  </w:abstractNum>
  <w:abstractNum w:abstractNumId="172">
    <w:nsid w:val="7E0F6384"/>
    <w:multiLevelType w:val="hybridMultilevel"/>
    <w:lvl w:ilvl="0">
      <w:lvlJc w:val="left"/>
      <w:lvlText w:val="(%1)"/>
      <w:numFmt w:val="decimal"/>
      <w:start w:val="1"/>
    </w:lvl>
  </w:abstractNum>
  <w:abstractNum w:abstractNumId="173">
    <w:nsid w:val="2B4B8B53"/>
    <w:multiLevelType w:val="hybridMultilevel"/>
    <w:lvl w:ilvl="0">
      <w:lvlJc w:val="left"/>
      <w:lvlText w:val="(%1)"/>
      <w:numFmt w:val="decimal"/>
      <w:start w:val="3"/>
    </w:lvl>
  </w:abstractNum>
  <w:abstractNum w:abstractNumId="174">
    <w:nsid w:val="72E3413A"/>
    <w:multiLevelType w:val="hybridMultilevel"/>
    <w:lvl w:ilvl="0">
      <w:lvlJc w:val="left"/>
      <w:lvlText w:val="(%1)"/>
      <w:numFmt w:val="decimal"/>
      <w:start w:val="1"/>
    </w:lvl>
  </w:abstractNum>
  <w:abstractNum w:abstractNumId="175">
    <w:nsid w:val="116AE494"/>
    <w:multiLevelType w:val="hybridMultilevel"/>
    <w:lvl w:ilvl="0">
      <w:lvlJc w:val="left"/>
      <w:lvlText w:val="(%1)"/>
      <w:numFmt w:val="upperLetter"/>
      <w:start w:val="4"/>
    </w:lvl>
  </w:abstractNum>
  <w:abstractNum w:abstractNumId="176">
    <w:nsid w:val="3494B2FB"/>
    <w:multiLevelType w:val="hybridMultilevel"/>
    <w:lvl w:ilvl="0">
      <w:lvlJc w:val="left"/>
      <w:lvlText w:val="(%1)"/>
      <w:numFmt w:val="lowerLetter"/>
      <w:start w:val="1"/>
    </w:lvl>
  </w:abstractNum>
  <w:abstractNum w:abstractNumId="177">
    <w:nsid w:val="B13A31"/>
    <w:multiLevelType w:val="hybridMultilevel"/>
    <w:lvl w:ilvl="0">
      <w:lvlJc w:val="left"/>
      <w:lvlText w:val="(%1)"/>
      <w:numFmt w:val="lowerLetter"/>
      <w:start w:val="7"/>
    </w:lvl>
  </w:abstractNum>
  <w:abstractNum w:abstractNumId="178">
    <w:nsid w:val="64429599"/>
    <w:multiLevelType w:val="hybridMultilevel"/>
    <w:lvl w:ilvl="0">
      <w:lvlJc w:val="left"/>
      <w:lvlText w:val="(%1)"/>
      <w:numFmt w:val="lowerLetter"/>
      <w:start w:val="1"/>
    </w:lvl>
  </w:abstractNum>
  <w:abstractNum w:abstractNumId="179">
    <w:nsid w:val="631F1690"/>
    <w:multiLevelType w:val="hybridMultilevel"/>
    <w:lvl w:ilvl="0">
      <w:lvlJc w:val="left"/>
      <w:lvlText w:val="(%1)"/>
      <w:numFmt w:val="lowerRoman"/>
      <w:start w:val="1"/>
    </w:lvl>
  </w:abstractNum>
  <w:abstractNum w:abstractNumId="180">
    <w:nsid w:val="25973E32"/>
    <w:multiLevelType w:val="hybridMultilevel"/>
    <w:lvl w:ilvl="0">
      <w:lvlJc w:val="left"/>
      <w:lvlText w:val="(%1)"/>
      <w:numFmt w:val="lowerLetter"/>
      <w:start w:val="1"/>
    </w:lvl>
  </w:abstractNum>
  <w:abstractNum w:abstractNumId="181">
    <w:nsid w:val="EAD6F57"/>
    <w:multiLevelType w:val="hybridMultilevel"/>
    <w:lvl w:ilvl="0">
      <w:lvlJc w:val="left"/>
      <w:lvlText w:val="(%1)"/>
      <w:numFmt w:val="decimal"/>
      <w:start w:val="1"/>
    </w:lvl>
  </w:abstractNum>
  <w:abstractNum w:abstractNumId="182">
    <w:nsid w:val="6EC9D844"/>
    <w:multiLevelType w:val="hybridMultilevel"/>
    <w:lvl w:ilvl="0">
      <w:lvlJc w:val="left"/>
      <w:lvlText w:val="(%1)"/>
      <w:numFmt w:val="decimal"/>
      <w:start w:val="1"/>
    </w:lvl>
  </w:abstractNum>
  <w:abstractNum w:abstractNumId="183">
    <w:nsid w:val="5C49EAEE"/>
    <w:multiLevelType w:val="hybridMultilevel"/>
    <w:lvl w:ilvl="0">
      <w:lvlJc w:val="left"/>
      <w:lvlText w:val="(%1)"/>
      <w:numFmt w:val="decimal"/>
      <w:start w:val="2"/>
    </w:lvl>
  </w:abstractNum>
  <w:abstractNum w:abstractNumId="184">
    <w:nsid w:val="64AF49B"/>
    <w:multiLevelType w:val="hybridMultilevel"/>
    <w:lvl w:ilvl="0">
      <w:lvlJc w:val="left"/>
      <w:lvlText w:val="(%1)"/>
      <w:numFmt w:val="decimal"/>
      <w:start w:val="5"/>
    </w:lvl>
  </w:abstractNum>
  <w:abstractNum w:abstractNumId="185">
    <w:nsid w:val="397C46BC"/>
    <w:multiLevelType w:val="hybridMultilevel"/>
    <w:lvl w:ilvl="0">
      <w:lvlJc w:val="left"/>
      <w:lvlText w:val="(%1)"/>
      <w:numFmt w:val="decimal"/>
      <w:start w:val="1"/>
    </w:lvl>
  </w:abstractNum>
  <w:abstractNum w:abstractNumId="186">
    <w:nsid w:val="7E448DE9"/>
    <w:multiLevelType w:val="hybridMultilevel"/>
    <w:lvl w:ilvl="0">
      <w:lvlJc w:val="left"/>
      <w:lvlText w:val="(%1)"/>
      <w:numFmt w:val="decimal"/>
      <w:start w:val="1"/>
    </w:lvl>
  </w:abstractNum>
  <w:abstractNum w:abstractNumId="187">
    <w:nsid w:val="5A9CC3E5"/>
    <w:multiLevelType w:val="hybridMultilevel"/>
    <w:lvl w:ilvl="0">
      <w:lvlJc w:val="left"/>
      <w:lvlText w:val="(%1)"/>
      <w:numFmt w:val="decimal"/>
      <w:start w:val="1"/>
    </w:lvl>
  </w:abstractNum>
  <w:abstractNum w:abstractNumId="188">
    <w:nsid w:val="1AFE3625"/>
    <w:multiLevelType w:val="hybridMultilevel"/>
    <w:lvl w:ilvl="0">
      <w:lvlJc w:val="left"/>
      <w:lvlText w:val="(%1)"/>
      <w:numFmt w:val="decimal"/>
      <w:start w:val="1"/>
    </w:lvl>
  </w:abstractNum>
  <w:abstractNum w:abstractNumId="189">
    <w:nsid w:val="3CA88ECF"/>
    <w:multiLevelType w:val="hybridMultilevel"/>
    <w:lvl w:ilvl="0">
      <w:lvlJc w:val="left"/>
      <w:lvlText w:val="(%1)"/>
      <w:numFmt w:val="lowerLetter"/>
      <w:start w:val="1"/>
    </w:lvl>
  </w:abstractNum>
  <w:abstractNum w:abstractNumId="190">
    <w:nsid w:val="6EBE4208"/>
    <w:multiLevelType w:val="hybridMultilevel"/>
    <w:lvl w:ilvl="0">
      <w:lvlJc w:val="left"/>
      <w:lvlText w:val="["/>
      <w:numFmt w:val="bullet"/>
      <w:start w:val="1"/>
    </w:lvl>
  </w:abstractNum>
  <w:abstractNum w:abstractNumId="191">
    <w:nsid w:val="C058DF5"/>
    <w:multiLevelType w:val="hybridMultilevel"/>
    <w:lvl w:ilvl="0">
      <w:lvlJc w:val="left"/>
      <w:lvlText w:val="•"/>
      <w:numFmt w:val="bullet"/>
      <w:start w:val="1"/>
    </w:lvl>
  </w:abstractNum>
  <w:abstractNum w:abstractNumId="192">
    <w:nsid w:val="CBE5BE9"/>
    <w:multiLevelType w:val="hybridMultilevel"/>
    <w:lvl w:ilvl="0">
      <w:lvlJc w:val="left"/>
      <w:lvlText w:val="•"/>
      <w:numFmt w:val="bullet"/>
      <w:start w:val="1"/>
    </w:lvl>
  </w:abstractNum>
  <w:abstractNum w:abstractNumId="193">
    <w:nsid w:val="3102BBE2"/>
    <w:multiLevelType w:val="hybridMultilevel"/>
    <w:lvl w:ilvl="0">
      <w:lvlJc w:val="left"/>
      <w:lvlText w:val="%1."/>
      <w:numFmt w:val="decimal"/>
      <w:start w:val="1"/>
    </w:lvl>
  </w:abstractNum>
  <w:abstractNum w:abstractNumId="194">
    <w:nsid w:val="26A02C5E"/>
    <w:multiLevelType w:val="hybridMultilevel"/>
    <w:lvl w:ilvl="0">
      <w:lvlJc w:val="left"/>
      <w:lvlText w:val="*"/>
      <w:numFmt w:val="bullet"/>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2019-12-07T03:57:02Z</dcterms:created>
  <dcterms:modified xsi:type="dcterms:W3CDTF">2019-12-07T03:57:02Z</dcterms:modified>
</cp:coreProperties>
</file>