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As filed with the Securities and Exchange Commission on November 10, 2022</w:t>
      </w:r>
    </w:p>
    <w:p>
      <w:pPr>
        <w:spacing w:after="0" w:line="26"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UNDER</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Larimar Therapeutics, Inc.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tbl>
      <w:tblPr>
        <w:tblLayout w:type="fixed"/>
        <w:tblInd w:w="2020" w:type="dxa"/>
        <w:tblCellMar>
          <w:top w:w="0" w:type="dxa"/>
          <w:left w:w="0" w:type="dxa"/>
          <w:bottom w:w="0" w:type="dxa"/>
          <w:right w:w="0" w:type="dxa"/>
        </w:tblCellMar>
      </w:tblPr>
      <w:tr>
        <w:trPr>
          <w:trHeight w:val="204"/>
        </w:trPr>
        <w:tc>
          <w:tcPr>
            <w:tcW w:w="3760" w:type="dxa"/>
            <w:vAlign w:val="bottom"/>
          </w:tcPr>
          <w:p>
            <w:pPr>
              <w:jc w:val="center"/>
              <w:ind w:right="1928"/>
              <w:spacing w:after="0"/>
              <w:rPr>
                <w:sz w:val="20"/>
                <w:szCs w:val="20"/>
                <w:color w:val="auto"/>
              </w:rPr>
            </w:pPr>
            <w:r>
              <w:rPr>
                <w:rFonts w:ascii="Arial" w:cs="Arial" w:eastAsia="Arial" w:hAnsi="Arial"/>
                <w:sz w:val="16"/>
                <w:szCs w:val="16"/>
                <w:b w:val="1"/>
                <w:bCs w:val="1"/>
                <w:color w:val="auto"/>
                <w:w w:val="91"/>
              </w:rPr>
              <w:t>Delaware</w:t>
            </w:r>
          </w:p>
        </w:tc>
        <w:tc>
          <w:tcPr>
            <w:tcW w:w="3340" w:type="dxa"/>
            <w:vAlign w:val="bottom"/>
          </w:tcPr>
          <w:p>
            <w:pPr>
              <w:jc w:val="center"/>
              <w:ind w:left="1948"/>
              <w:spacing w:after="0"/>
              <w:rPr>
                <w:sz w:val="20"/>
                <w:szCs w:val="20"/>
                <w:color w:val="auto"/>
              </w:rPr>
            </w:pPr>
            <w:r>
              <w:rPr>
                <w:rFonts w:ascii="Arial" w:cs="Arial" w:eastAsia="Arial" w:hAnsi="Arial"/>
                <w:sz w:val="16"/>
                <w:szCs w:val="16"/>
                <w:b w:val="1"/>
                <w:bCs w:val="1"/>
                <w:color w:val="auto"/>
                <w:w w:val="93"/>
              </w:rPr>
              <w:t>20-3857670</w:t>
            </w:r>
          </w:p>
        </w:tc>
      </w:tr>
      <w:tr>
        <w:trPr>
          <w:trHeight w:val="148"/>
        </w:trPr>
        <w:tc>
          <w:tcPr>
            <w:tcW w:w="3760" w:type="dxa"/>
            <w:vAlign w:val="bottom"/>
          </w:tcPr>
          <w:p>
            <w:pPr>
              <w:jc w:val="center"/>
              <w:ind w:right="1928"/>
              <w:spacing w:after="0"/>
              <w:rPr>
                <w:sz w:val="20"/>
                <w:szCs w:val="20"/>
                <w:color w:val="auto"/>
              </w:rPr>
            </w:pPr>
            <w:r>
              <w:rPr>
                <w:rFonts w:ascii="Arial" w:cs="Arial" w:eastAsia="Arial" w:hAnsi="Arial"/>
                <w:sz w:val="13"/>
                <w:szCs w:val="13"/>
                <w:b w:val="1"/>
                <w:bCs w:val="1"/>
                <w:color w:val="auto"/>
                <w:w w:val="94"/>
              </w:rPr>
              <w:t>(State or other jurisdiction of</w:t>
            </w:r>
          </w:p>
        </w:tc>
        <w:tc>
          <w:tcPr>
            <w:tcW w:w="3340" w:type="dxa"/>
            <w:vAlign w:val="bottom"/>
          </w:tcPr>
          <w:p>
            <w:pPr>
              <w:jc w:val="center"/>
              <w:ind w:left="1948"/>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760" w:type="dxa"/>
            <w:vAlign w:val="bottom"/>
          </w:tcPr>
          <w:p>
            <w:pPr>
              <w:jc w:val="center"/>
              <w:ind w:right="1928"/>
              <w:spacing w:after="0"/>
              <w:rPr>
                <w:sz w:val="20"/>
                <w:szCs w:val="20"/>
                <w:color w:val="auto"/>
              </w:rPr>
            </w:pPr>
            <w:r>
              <w:rPr>
                <w:rFonts w:ascii="Arial" w:cs="Arial" w:eastAsia="Arial" w:hAnsi="Arial"/>
                <w:sz w:val="13"/>
                <w:szCs w:val="13"/>
                <w:b w:val="1"/>
                <w:bCs w:val="1"/>
                <w:color w:val="auto"/>
                <w:w w:val="94"/>
              </w:rPr>
              <w:t>incorporation or organization)</w:t>
            </w:r>
          </w:p>
        </w:tc>
        <w:tc>
          <w:tcPr>
            <w:tcW w:w="3340" w:type="dxa"/>
            <w:vAlign w:val="bottom"/>
          </w:tcPr>
          <w:p>
            <w:pPr>
              <w:jc w:val="center"/>
              <w:ind w:left="1928"/>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Three Bala Plaza East, Suite 506</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Bala Cynwyd, PA 19004</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(844) 511-9056</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Carole Ben-Maimon, M.D.</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Larimar Therapeutics, Inc.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Three Bala Plaza East, Suite 506</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Bala Cynwyd, PA 19004</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(844) 511-9056</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Copies to:</w:t>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Rachael M. Bushey, Esq.</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Jennifer L. Porter, Esq.</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Troutman Pepper Hamilton Sanders LLP</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3000 Two Logan Square</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Eighteenth and Arch Streets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Philadelphia, PA 19103</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(215) 981-4000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From time to time after the effective date of this Registration Statement.</w:t>
      </w:r>
    </w:p>
    <w:p>
      <w:pPr>
        <w:spacing w:after="0" w:line="113"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159" w:lineRule="exact"/>
        <w:rPr>
          <w:sz w:val="24"/>
          <w:szCs w:val="24"/>
          <w:color w:val="auto"/>
        </w:rPr>
      </w:pPr>
    </w:p>
    <w:p>
      <w:pPr>
        <w:ind w:left="120" w:right="42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09" w:lineRule="exact"/>
        <w:rPr>
          <w:sz w:val="24"/>
          <w:szCs w:val="24"/>
          <w:color w:val="auto"/>
        </w:rPr>
      </w:pPr>
    </w:p>
    <w:p>
      <w:pPr>
        <w:ind w:left="120" w:right="6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96" w:lineRule="exact"/>
        <w:rPr>
          <w:sz w:val="24"/>
          <w:szCs w:val="24"/>
          <w:color w:val="auto"/>
        </w:rPr>
      </w:pPr>
    </w:p>
    <w:p>
      <w:pPr>
        <w:ind w:left="120" w:right="2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09" w:lineRule="exact"/>
        <w:rPr>
          <w:sz w:val="24"/>
          <w:szCs w:val="24"/>
          <w:color w:val="auto"/>
        </w:rPr>
      </w:pPr>
    </w:p>
    <w:p>
      <w:pPr>
        <w:ind w:left="120" w:right="520"/>
        <w:spacing w:after="0" w:line="162"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09" w:lineRule="exact"/>
        <w:rPr>
          <w:sz w:val="24"/>
          <w:szCs w:val="24"/>
          <w:color w:val="auto"/>
        </w:rPr>
      </w:pPr>
    </w:p>
    <w:p>
      <w:pPr>
        <w:ind w:left="120" w:right="180"/>
        <w:spacing w:after="0" w:line="162" w:lineRule="exact"/>
        <w:rPr>
          <w:sz w:val="20"/>
          <w:szCs w:val="20"/>
          <w:color w:val="auto"/>
        </w:rPr>
      </w:pPr>
      <w:r>
        <w:rPr>
          <w:rFonts w:ascii="Arial" w:cs="Arial" w:eastAsia="Arial" w:hAnsi="Arial"/>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96" w:lineRule="exact"/>
        <w:rPr>
          <w:sz w:val="24"/>
          <w:szCs w:val="24"/>
          <w:color w:val="auto"/>
        </w:rPr>
      </w:pPr>
    </w:p>
    <w:p>
      <w:pPr>
        <w:ind w:left="120" w:right="54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280" w:type="dxa"/>
            <w:vAlign w:val="bottom"/>
          </w:tcPr>
          <w:p>
            <w:pPr>
              <w:spacing w:after="0"/>
              <w:rPr>
                <w:sz w:val="20"/>
                <w:szCs w:val="20"/>
                <w:color w:val="auto"/>
              </w:rPr>
            </w:pPr>
            <w:r>
              <w:rPr>
                <w:rFonts w:ascii="Arial" w:cs="Arial" w:eastAsia="Arial" w:hAnsi="Arial"/>
                <w:sz w:val="13"/>
                <w:szCs w:val="13"/>
                <w:color w:val="auto"/>
                <w:w w:val="97"/>
              </w:rPr>
              <w:t>Large accelerated filer</w:t>
            </w:r>
          </w:p>
        </w:tc>
        <w:tc>
          <w:tcPr>
            <w:tcW w:w="40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8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280" w:type="dxa"/>
            <w:vAlign w:val="bottom"/>
          </w:tcPr>
          <w:p>
            <w:pPr>
              <w:spacing w:after="0"/>
              <w:rPr>
                <w:sz w:val="20"/>
                <w:szCs w:val="20"/>
                <w:color w:val="auto"/>
              </w:rPr>
            </w:pPr>
            <w:r>
              <w:rPr>
                <w:rFonts w:ascii="Arial" w:cs="Arial" w:eastAsia="Arial" w:hAnsi="Arial"/>
                <w:sz w:val="13"/>
                <w:szCs w:val="13"/>
                <w:color w:val="auto"/>
              </w:rPr>
              <w:t>Non-accelerated filer</w:t>
            </w:r>
          </w:p>
        </w:tc>
        <w:tc>
          <w:tcPr>
            <w:tcW w:w="40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360" w:type="dxa"/>
            <w:vAlign w:val="bottom"/>
          </w:tcPr>
          <w:p>
            <w:pPr>
              <w:ind w:left="3780"/>
              <w:spacing w:after="0"/>
              <w:rPr>
                <w:sz w:val="20"/>
                <w:szCs w:val="20"/>
                <w:color w:val="auto"/>
              </w:rPr>
            </w:pPr>
            <w:r>
              <w:rPr>
                <w:rFonts w:ascii="Arial" w:cs="Arial" w:eastAsia="Arial" w:hAnsi="Arial"/>
                <w:sz w:val="13"/>
                <w:szCs w:val="13"/>
                <w:color w:val="auto"/>
              </w:rPr>
              <w:t>Smaller reporting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128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5360" w:type="dxa"/>
            <w:vAlign w:val="bottom"/>
          </w:tcPr>
          <w:p>
            <w:pPr>
              <w:ind w:left="3780"/>
              <w:spacing w:after="0"/>
              <w:rPr>
                <w:sz w:val="20"/>
                <w:szCs w:val="20"/>
                <w:color w:val="auto"/>
              </w:rPr>
            </w:pPr>
            <w:r>
              <w:rPr>
                <w:rFonts w:ascii="Arial" w:cs="Arial" w:eastAsia="Arial" w:hAnsi="Arial"/>
                <w:sz w:val="13"/>
                <w:szCs w:val="13"/>
                <w:color w:val="auto"/>
              </w:rPr>
              <w:t>Emerging growth company</w:t>
            </w:r>
          </w:p>
        </w:tc>
        <w:tc>
          <w:tcPr>
            <w:tcW w:w="300" w:type="dxa"/>
            <w:vAlign w:val="bottom"/>
          </w:tcPr>
          <w:p>
            <w:pPr>
              <w:ind w:left="1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09" w:lineRule="exact"/>
        <w:rPr>
          <w:sz w:val="24"/>
          <w:szCs w:val="24"/>
          <w:color w:val="auto"/>
        </w:rPr>
      </w:pPr>
    </w:p>
    <w:p>
      <w:pPr>
        <w:ind w:left="120" w:right="10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ind w:left="120" w:right="6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190500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207"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131" w:lineRule="exact"/>
        <w:rPr>
          <w:sz w:val="20"/>
          <w:szCs w:val="20"/>
          <w:color w:val="auto"/>
        </w:rPr>
      </w:pPr>
    </w:p>
    <w:p>
      <w:pPr>
        <w:ind w:left="1080" w:right="100" w:hanging="424"/>
        <w:spacing w:after="0" w:line="286"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base prospectus which covers the offering, issuance and sale by us of up to $200,000,000 in the aggregate of our common stock, preferred stock, debt securities, warrants to purchase our common stock, preferred stock or debt securities, subscription rights to purchase our common stock, preferred stock or debt securities and/or units consisting of some or all of these securities; and</w:t>
      </w:r>
    </w:p>
    <w:p>
      <w:pPr>
        <w:spacing w:after="0" w:line="70"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sales agreement prospectus covering the offering, issuance and sale by us of up to a maximum aggregate offering price of $50,000,000 of our common stock that may be issued and sold under a sales agreement, dated November 10, 2022, or the Sales Agreement, with Guggenheim Securities, LLC.</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specific terms of the securities to be issued and sold under the Sales Agreement are specified in the sales agreement prospectus that immediately follows the base prospectus. The $50,000,000 of common stock that may be offered, issued and sold under the sales agreement prospectus is included in the $200,000,000 of securities that may be offered, issued and sold by us under the base prospectus. Upon termination of the Sales Agreement with Guggenheim Securities, LLC, any portion of the $50,000,000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$50,000,000 of securities may be sold in other offerings pursuant to the base prospectus and a corresponding prospectus supplement.</w:t>
      </w:r>
    </w:p>
    <w:p>
      <w:pPr>
        <w:sectPr>
          <w:pgSz w:w="11900" w:h="16838" w:orient="portrait"/>
          <w:cols w:equalWidth="0" w:num="1">
            <w:col w:w="11100"/>
          </w:cols>
          <w:pgMar w:left="320" w:top="4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10,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178435</wp:posOffset>
            </wp:positionV>
            <wp:extent cx="2614295" cy="986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4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720"/>
        <w:spacing w:after="0" w:line="239" w:lineRule="auto"/>
        <w:rPr>
          <w:sz w:val="20"/>
          <w:szCs w:val="20"/>
          <w:color w:val="auto"/>
        </w:rPr>
      </w:pPr>
      <w:r>
        <w:rPr>
          <w:rFonts w:ascii="Arial" w:cs="Arial" w:eastAsia="Arial" w:hAnsi="Arial"/>
          <w:sz w:val="22"/>
          <w:szCs w:val="22"/>
          <w:b w:val="1"/>
          <w:bCs w:val="1"/>
          <w:color w:val="auto"/>
        </w:rPr>
        <w:t>INVESTING IN OUR SECURITIES INVOLVES RISKS. SEE THE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7 OF THIS PROSPECTUS AND ANY SIMILAR SECTION CONTAINED IN THE APPLICABLE PROSPECTUS SUPPLEMENT CONCERNING FACTORS YOU SHOULD CONSIDER BEFORE INVESTING IN OUR SECURITIES.</w:t>
      </w:r>
    </w:p>
    <w:p>
      <w:pPr>
        <w:spacing w:after="0" w:line="1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“LRMR.” On November 9, 2022, the last reported sale price of our common stock on the Nasdaq Global Market was $2.96 per share.</w:t>
      </w:r>
    </w:p>
    <w:p>
      <w:pPr>
        <w:spacing w:after="0" w:line="274"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900"/>
        <w:spacing w:after="0"/>
        <w:tabs>
          <w:tab w:leader="none" w:pos="68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5"/>
          <w:szCs w:val="15"/>
          <w:b w:val="1"/>
          <w:bCs w:val="1"/>
          <w:color w:val="auto"/>
        </w:rPr>
        <w:t>, 2022.</w:t>
      </w:r>
    </w:p>
    <w:p>
      <w:pPr>
        <w:sectPr>
          <w:pgSz w:w="11900" w:h="16838" w:orient="portrait"/>
          <w:cols w:equalWidth="0" w:num="1">
            <w:col w:w="11100"/>
          </w:cols>
          <w:pgMar w:left="320" w:top="459" w:right="4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94"/>
              </w:rPr>
              <w:t>INCORPORATION BY REFERENCE</w:t>
            </w:r>
          </w:p>
        </w:tc>
        <w:tc>
          <w:tcPr>
            <w:tcW w:w="980" w:type="dxa"/>
            <w:vAlign w:val="bottom"/>
            <w:tcBorders>
              <w:top w:val="single" w:sz="8" w:color="0000EE"/>
            </w:tcBorders>
            <w:gridSpan w:val="3"/>
          </w:tcPr>
          <w:p>
            <w:pPr>
              <w:spacing w:after="0"/>
              <w:rPr>
                <w:sz w:val="24"/>
                <w:szCs w:val="24"/>
                <w:color w:val="auto"/>
              </w:rPr>
            </w:pPr>
          </w:p>
        </w:tc>
        <w:tc>
          <w:tcPr>
            <w:tcW w:w="482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6"/>
              </w:rPr>
              <w:t>CAUTIONARY NOTE REGARDING FORWARD-LOOKING STATEMENTS</w:t>
            </w:r>
          </w:p>
        </w:tc>
        <w:tc>
          <w:tcPr>
            <w:tcW w:w="28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rPr>
              <w:t>ABOUT LARIMAR</w:t>
            </w:r>
          </w:p>
        </w:tc>
        <w:tc>
          <w:tcPr>
            <w:tcW w:w="7120" w:type="dxa"/>
            <w:vAlign w:val="bottom"/>
            <w:gridSpan w:val="1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USE OF PROCEEDS</w:t>
            </w:r>
          </w:p>
        </w:tc>
        <w:tc>
          <w:tcPr>
            <w:tcW w:w="704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DESCRIPTION OF CAPITAL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DESCRIPTION OF DEBT SECURITIES</w:t>
            </w:r>
          </w:p>
        </w:tc>
        <w:tc>
          <w:tcPr>
            <w:tcW w:w="560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4"/>
              </w:rPr>
              <w:t>DESCRIPTION OF WARRANTS</w:t>
            </w:r>
          </w:p>
        </w:tc>
        <w:tc>
          <w:tcPr>
            <w:tcW w:w="614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20" w:type="dxa"/>
            <w:vAlign w:val="bottom"/>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DESCRIPTION OF UNITS</w:t>
            </w:r>
          </w:p>
        </w:tc>
        <w:tc>
          <w:tcPr>
            <w:tcW w:w="6600" w:type="dxa"/>
            <w:vAlign w:val="bottom"/>
            <w:gridSpan w:val="1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DESCRIPTION OF OUR SUBSCRIPTION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6"/>
              </w:rPr>
              <w:t>GLOBAL SECURITIES</w:t>
            </w:r>
          </w:p>
        </w:tc>
        <w:tc>
          <w:tcPr>
            <w:tcW w:w="2080" w:type="dxa"/>
            <w:vAlign w:val="bottom"/>
            <w:tcBorders>
              <w:top w:val="single" w:sz="8" w:color="0000EE"/>
            </w:tcBorders>
            <w:gridSpan w:val="9"/>
          </w:tcPr>
          <w:p>
            <w:pPr>
              <w:spacing w:after="0"/>
              <w:rPr>
                <w:sz w:val="24"/>
                <w:szCs w:val="24"/>
                <w:color w:val="auto"/>
              </w:rPr>
            </w:pPr>
          </w:p>
        </w:tc>
        <w:tc>
          <w:tcPr>
            <w:tcW w:w="47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5"/>
          </w:tcPr>
          <w:p>
            <w:pPr>
              <w:spacing w:after="0"/>
              <w:rPr>
                <w:sz w:val="24"/>
                <w:szCs w:val="24"/>
                <w:color w:val="auto"/>
              </w:rPr>
            </w:pPr>
          </w:p>
        </w:tc>
        <w:tc>
          <w:tcPr>
            <w:tcW w:w="658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from time to time, offer and sell, either individually or in combination, in one or more offerings, up to a total dollar amount of $200,000,000 of any combination of the securities described in this prospectus.</w:t>
      </w:r>
    </w:p>
    <w:p>
      <w:pPr>
        <w:spacing w:after="0" w:line="165"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6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7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When we refer to “Larimar,” “we,” “our,” “us” and the “Company” in this prospectus, we mean Larimar Therapeutics, Inc., and its subsidiary unless otherwise specified. When we refer to “you,” we mean the potential holders of the applicable series of securities.</w:t>
      </w:r>
    </w:p>
    <w:p>
      <w:pPr>
        <w:spacing w:after="0" w:line="170" w:lineRule="exact"/>
        <w:rPr>
          <w:sz w:val="20"/>
          <w:szCs w:val="20"/>
          <w:color w:val="auto"/>
        </w:rPr>
      </w:pPr>
    </w:p>
    <w:p>
      <w:pPr>
        <w:ind w:left="120" w:right="80"/>
        <w:spacing w:after="0" w:line="222" w:lineRule="auto"/>
        <w:rPr>
          <w:sz w:val="20"/>
          <w:szCs w:val="20"/>
          <w:color w:val="auto"/>
        </w:rPr>
      </w:pPr>
      <w:r>
        <w:rPr>
          <w:rFonts w:ascii="Arial" w:cs="Arial" w:eastAsia="Arial" w:hAnsi="Arial"/>
          <w:sz w:val="18"/>
          <w:szCs w:val="18"/>
          <w:color w:val="auto"/>
        </w:rPr>
        <w:t xml:space="preserve">Solely for convenience, tradenames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tradenames.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5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8"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2021 filed with the SEC on </w:t>
      </w:r>
      <w:hyperlink r:id="rId28">
        <w:r>
          <w:rPr>
            <w:rFonts w:ascii="Arial" w:cs="Arial" w:eastAsia="Arial" w:hAnsi="Arial"/>
            <w:sz w:val="18"/>
            <w:szCs w:val="18"/>
            <w:u w:val="single" w:color="auto"/>
            <w:color w:val="0000EE"/>
          </w:rPr>
          <w:t>March 25,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2022, June 30, 2022 and September 30, 2022, filed with the SEC on </w:t>
      </w:r>
      <w:hyperlink r:id="rId29">
        <w:r>
          <w:rPr>
            <w:rFonts w:ascii="Arial" w:cs="Arial" w:eastAsia="Arial" w:hAnsi="Arial"/>
            <w:sz w:val="18"/>
            <w:szCs w:val="18"/>
            <w:u w:val="single" w:color="auto"/>
            <w:color w:val="0000EE"/>
          </w:rPr>
          <w:t>May 12,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 xml:space="preserve">August 11,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November 10,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1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from our Definitive Proxy Statement on </w:t>
      </w:r>
      <w:hyperlink r:id="rId32">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on April 12, 2022;</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
        </w:numPr>
        <w:rPr>
          <w:rFonts w:ascii="Arial" w:cs="Arial" w:eastAsia="Arial" w:hAnsi="Arial"/>
          <w:sz w:val="18"/>
          <w:szCs w:val="18"/>
          <w:color w:val="0000EE"/>
        </w:rPr>
      </w:pPr>
      <w:hyperlink r:id="rId3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28,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25,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11,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12, 2022</w:t>
        </w:r>
        <w:r>
          <w:rPr>
            <w:rFonts w:ascii="Arial" w:cs="Arial" w:eastAsia="Arial" w:hAnsi="Arial"/>
            <w:sz w:val="18"/>
            <w:szCs w:val="18"/>
            <w:color w:val="0000EE"/>
          </w:rPr>
          <w:t xml:space="preserve"> </w:t>
        </w:r>
        <w:r>
          <w:rPr>
            <w:rFonts w:ascii="Arial" w:cs="Arial" w:eastAsia="Arial" w:hAnsi="Arial"/>
            <w:sz w:val="18"/>
            <w:szCs w:val="18"/>
            <w:color w:val="000000"/>
          </w:rPr>
          <w:t>(</w:t>
        </w:r>
      </w:hyperlink>
      <w:hyperlink r:id="rId34">
        <w:r>
          <w:rPr>
            <w:rFonts w:ascii="Arial" w:cs="Arial" w:eastAsia="Arial" w:hAnsi="Arial"/>
            <w:sz w:val="18"/>
            <w:szCs w:val="18"/>
            <w:u w:val="single" w:color="auto"/>
            <w:color w:val="0000EE"/>
          </w:rPr>
          <w:t>both filings</w:t>
        </w:r>
      </w:hyperlink>
      <w:hyperlink r:id="rId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5">
        <w:r>
          <w:rPr>
            <w:rFonts w:ascii="Arial" w:cs="Arial" w:eastAsia="Arial" w:hAnsi="Arial"/>
            <w:sz w:val="18"/>
            <w:szCs w:val="18"/>
            <w:u w:val="single" w:color="auto"/>
            <w:color w:val="0000EE"/>
          </w:rPr>
          <w:t>August 11, 2022</w:t>
        </w:r>
      </w:hyperlink>
      <w:hyperlink r:id="rId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6">
        <w:r>
          <w:rPr>
            <w:rFonts w:ascii="Arial" w:cs="Arial" w:eastAsia="Arial" w:hAnsi="Arial"/>
            <w:sz w:val="18"/>
            <w:szCs w:val="18"/>
            <w:u w:val="single" w:color="auto"/>
            <w:color w:val="0000EE"/>
          </w:rPr>
          <w:t xml:space="preserve">September 14, 2022 </w:t>
        </w:r>
      </w:hyperlink>
      <w:hyperlink r:id="rId33">
        <w:r>
          <w:rPr>
            <w:rFonts w:ascii="Arial" w:cs="Arial" w:eastAsia="Arial" w:hAnsi="Arial"/>
            <w:sz w:val="18"/>
            <w:szCs w:val="18"/>
            <w:color w:val="000000"/>
          </w:rPr>
          <w:t>(</w:t>
        </w:r>
      </w:hyperlink>
      <w:hyperlink r:id="rId37">
        <w:r>
          <w:rPr>
            <w:rFonts w:ascii="Arial" w:cs="Arial" w:eastAsia="Arial" w:hAnsi="Arial"/>
            <w:sz w:val="18"/>
            <w:szCs w:val="18"/>
            <w:u w:val="single" w:color="auto"/>
            <w:color w:val="0000EE"/>
          </w:rPr>
          <w:t>both filings</w:t>
        </w:r>
      </w:hyperlink>
      <w:hyperlink r:id="rId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 xml:space="preserve">October 20, 2022 </w:t>
        </w:r>
      </w:hyperlink>
      <w:hyperlink r:id="rId3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9">
        <w:r>
          <w:rPr>
            <w:rFonts w:ascii="Arial" w:cs="Arial" w:eastAsia="Arial" w:hAnsi="Arial"/>
            <w:sz w:val="18"/>
            <w:szCs w:val="18"/>
            <w:u w:val="single" w:color="auto"/>
            <w:color w:val="0000EE"/>
          </w:rPr>
          <w:t xml:space="preserve">November 10, 2022 </w:t>
        </w:r>
      </w:hyperlink>
      <w:hyperlink r:id="rId33">
        <w:r>
          <w:rPr>
            <w:rFonts w:ascii="Arial" w:cs="Arial" w:eastAsia="Arial" w:hAnsi="Arial"/>
            <w:sz w:val="18"/>
            <w:szCs w:val="18"/>
            <w:color w:val="000000"/>
          </w:rPr>
          <w:t xml:space="preserve">(in each case </w:t>
        </w:r>
      </w:hyperlink>
      <w:r>
        <w:rPr>
          <w:rFonts w:ascii="Arial" w:cs="Arial" w:eastAsia="Arial" w:hAnsi="Arial"/>
          <w:sz w:val="18"/>
          <w:szCs w:val="18"/>
          <w:color w:val="0000EE"/>
        </w:rPr>
        <w:t xml:space="preserve">other </w:t>
      </w:r>
      <w:r>
        <w:rPr>
          <w:rFonts w:ascii="Arial" w:cs="Arial" w:eastAsia="Arial" w:hAnsi="Arial"/>
          <w:sz w:val="18"/>
          <w:szCs w:val="18"/>
          <w:color w:val="000000"/>
        </w:rPr>
        <w:t>than any portions thereof deemed furnished and not filed); and</w:t>
      </w:r>
    </w:p>
    <w:p>
      <w:pPr>
        <w:spacing w:after="0" w:line="89" w:lineRule="exact"/>
        <w:rPr>
          <w:rFonts w:ascii="Arial" w:cs="Arial" w:eastAsia="Arial" w:hAnsi="Arial"/>
          <w:sz w:val="18"/>
          <w:szCs w:val="18"/>
          <w:color w:val="0000EE"/>
        </w:rPr>
      </w:pPr>
    </w:p>
    <w:p>
      <w:pPr>
        <w:ind w:left="1080" w:right="20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001-36510) filed with the SEC on June 18, 2014, under the Exchange Act, including any amendment or report filed for the purpose of updating such description, including Exhibit 4.2 to 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84" w:lineRule="exact"/>
        <w:rPr>
          <w:rFonts w:ascii="Arial" w:cs="Arial" w:eastAsia="Arial" w:hAnsi="Arial"/>
          <w:sz w:val="18"/>
          <w:szCs w:val="18"/>
          <w:color w:val="auto"/>
        </w:rPr>
      </w:pPr>
    </w:p>
    <w:p>
      <w:pPr>
        <w:ind w:left="120"/>
        <w:spacing w:after="0" w:line="255" w:lineRule="auto"/>
        <w:rPr>
          <w:sz w:val="20"/>
          <w:szCs w:val="20"/>
          <w:color w:val="auto"/>
        </w:rPr>
      </w:pPr>
      <w:r>
        <w:rPr>
          <w:rFonts w:ascii="Arial" w:cs="Arial" w:eastAsia="Arial" w:hAnsi="Arial"/>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w:t>
      </w:r>
    </w:p>
    <w:p>
      <w:pPr>
        <w:spacing w:after="0" w:line="12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511-9056</w:t>
      </w:r>
    </w:p>
    <w:p>
      <w:pPr>
        <w:spacing w:after="0" w:line="9"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Attention: 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83" w:lineRule="exact"/>
        <w:rPr>
          <w:sz w:val="20"/>
          <w:szCs w:val="20"/>
          <w:color w:val="auto"/>
        </w:rPr>
      </w:pPr>
    </w:p>
    <w:p>
      <w:pPr>
        <w:jc w:val="both"/>
        <w:ind w:left="1080" w:right="1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engage with, and satisfactorily respond to, requests from the U.S. Food and Drug Administration, or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92"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in obtaining successful non-clinical or clinical results that reliably and meaningfully demonstrate safety, tolerability and efficacy profiles that are satisfactory to the FDA, European Medicines Agency, or EMA, and other comparable regulatory authorities for marketing approval for CTI-1601 or any other product candidate that we may develop in the future and unexpected costs that may result therefrom;</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patient recruitment (including the impact of other clinical trials of competitive products), delays as a result of clinical</w:t>
      </w:r>
    </w:p>
    <w:p>
      <w:pPr>
        <w:spacing w:after="0" w:line="23" w:lineRule="exact"/>
        <w:rPr>
          <w:rFonts w:ascii="Arial" w:cs="Arial" w:eastAsia="Arial" w:hAnsi="Arial"/>
          <w:sz w:val="18"/>
          <w:szCs w:val="18"/>
          <w:color w:val="auto"/>
        </w:rPr>
      </w:pPr>
    </w:p>
    <w:p>
      <w:pPr>
        <w:ind w:left="1080" w:right="20"/>
        <w:spacing w:after="0" w:line="290" w:lineRule="auto"/>
        <w:rPr>
          <w:rFonts w:ascii="Arial" w:cs="Arial" w:eastAsia="Arial" w:hAnsi="Arial"/>
          <w:sz w:val="18"/>
          <w:szCs w:val="18"/>
          <w:color w:val="auto"/>
        </w:rPr>
      </w:pPr>
      <w:r>
        <w:rPr>
          <w:rFonts w:ascii="Arial" w:cs="Arial" w:eastAsia="Arial" w:hAnsi="Arial"/>
          <w:sz w:val="17"/>
          <w:szCs w:val="17"/>
          <w:color w:val="auto"/>
        </w:rPr>
        <w:t>and non-clinical results and FDA’s request for additional studies, changes in clinical protocols, regulatory restrictions, including additional clinical holds, and milestones for CTI-1601, including those associated with COVID-19 and the efforts to mitigate it;</w:t>
      </w:r>
    </w:p>
    <w:p>
      <w:pPr>
        <w:spacing w:after="0" w:line="66"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30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competing therapies and products including those that are currently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third parties upon which we depend, including third-party contract research organizations and third-party suppliers, manufacturers, distributors, and logistics providers;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relationships, and contracts with our key vendors and to identify and contract with alternate or secondary key vendors;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recruit and retain key scientific, technical, commercial, and management personnel and to retain our executive officers;</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health epidemics, unforeseen emergencies and other outbreaks of communicable diseases, including the</w:t>
      </w:r>
    </w:p>
    <w:p>
      <w:pPr>
        <w:spacing w:after="0" w:line="23" w:lineRule="exact"/>
        <w:rPr>
          <w:rFonts w:ascii="Arial" w:cs="Arial" w:eastAsia="Arial" w:hAnsi="Arial"/>
          <w:sz w:val="18"/>
          <w:szCs w:val="18"/>
          <w:color w:val="auto"/>
        </w:rPr>
      </w:pPr>
    </w:p>
    <w:p>
      <w:pPr>
        <w:ind w:left="1080" w:right="220"/>
        <w:spacing w:after="0" w:line="290" w:lineRule="auto"/>
        <w:rPr>
          <w:rFonts w:ascii="Arial" w:cs="Arial" w:eastAsia="Arial" w:hAnsi="Arial"/>
          <w:sz w:val="18"/>
          <w:szCs w:val="18"/>
          <w:color w:val="auto"/>
        </w:rPr>
      </w:pPr>
      <w:r>
        <w:rPr>
          <w:rFonts w:ascii="Arial" w:cs="Arial" w:eastAsia="Arial" w:hAnsi="Arial"/>
          <w:sz w:val="17"/>
          <w:szCs w:val="17"/>
          <w:color w:val="auto"/>
        </w:rPr>
        <w:t>ongoing COVID-19 pandemic and the efforts to mitigate it, and geopolitical turmoil could disrupt our operations, the operations of third parties on which we rely or the operations of regulatory agencies we interact with in the development of CTI-1601; and</w:t>
      </w:r>
    </w:p>
    <w:p>
      <w:pPr>
        <w:spacing w:after="0" w:line="66"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6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have completed two Phase 1 clinical trials in patients with Friedreich’s ataxia. We have received an orphan drug designation, fast track designation and rare pediatric disease designation, from the U.S. Food and Drug Administration, or FDA, for CTI-1601. In addition, we received orphan drug designation for CTI-1601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7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24"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Arial" w:cs="Arial" w:eastAsia="Arial" w:hAnsi="Arial"/>
          <w:sz w:val="18"/>
          <w:szCs w:val="18"/>
          <w:i w:val="1"/>
          <w:iCs w:val="1"/>
          <w:color w:val="auto"/>
        </w:rPr>
        <w:t>www.larimartx.com</w:t>
      </w:r>
      <w:r>
        <w:rPr>
          <w:rFonts w:ascii="Arial" w:cs="Arial" w:eastAsia="Arial" w:hAnsi="Arial"/>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subsidiary.</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9"/>
          </w:cols>
          <w:pgMar w:left="320" w:top="459"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b w:val="1"/>
          <w:bCs w:val="1"/>
          <w:i w:val="1"/>
          <w:iCs w:val="1"/>
          <w:color w:val="auto"/>
        </w:rPr>
        <w:t>Authorized Capital Stock</w:t>
      </w:r>
      <w:r>
        <w:rPr>
          <w:rFonts w:ascii="Arial" w:cs="Arial" w:eastAsia="Arial" w:hAnsi="Arial"/>
          <w:sz w:val="18"/>
          <w:szCs w:val="18"/>
          <w:color w:val="auto"/>
        </w:rPr>
        <w:t>. Our authorized capital stock consists of (i) 115,000,000 shares of common stock, par value $0.001 per share,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43,269,200 shares have been issued and are outstanding as of November 9, 2022,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stockholders.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common stock do not have any cumulative voting rights.</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Holders of our common stock are entitled to receive ratably any dividends declared by our Board of Directors, or the Board, out of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legally available for that purpose, subject to any preferential dividend rights of any outstanding preferred stock.</w:t>
      </w:r>
    </w:p>
    <w:p>
      <w:pPr>
        <w:spacing w:after="0" w:line="170"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b w:val="1"/>
          <w:bCs w:val="1"/>
          <w:i w:val="1"/>
          <w:iCs w:val="1"/>
          <w:color w:val="auto"/>
        </w:rPr>
        <w:t>No Preemptive or Similar Rights</w:t>
      </w:r>
      <w:r>
        <w:rPr>
          <w:rFonts w:ascii="Arial" w:cs="Arial" w:eastAsia="Arial" w:hAnsi="Arial"/>
          <w:sz w:val="17"/>
          <w:szCs w:val="17"/>
          <w:color w:val="auto"/>
        </w:rPr>
        <w:t>. Our common stock has no preemptive rights, conversion rights or other subscription rights or redemption or sinking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r>
        <w:rPr>
          <w:rFonts w:ascii="Arial" w:cs="Arial" w:eastAsia="Arial" w:hAnsi="Arial"/>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color w:val="auto"/>
        </w:rPr>
        <w:t>. Our common stock is listed on the Nasdaq Global Market under the symbol “LRMR.” On November 9, 2022, the last reported sale price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Nasdaq Global Market was $2.96 per share. As of November 9, 2022, we had approximately 24 stockholders of record.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Certain provisions of the Delaware General Corporation Law, or DGCL, and of our Charter and Bylaws could have the effect of delaying, deferring or discouraging another party from acquiring control of us.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7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into three classes serving staggered three-year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or special meeting, and that stockholders may not take any action by written consent in lieu of a meeting.</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color w:val="auto"/>
        </w:rPr>
        <w:t>. Our Charter and Bylaws provide that only a majority of the members of our Board then in office may call special meetings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b w:val="1"/>
          <w:bCs w:val="1"/>
          <w:i w:val="1"/>
          <w:iCs w:val="1"/>
          <w:color w:val="auto"/>
        </w:rPr>
        <w:t>Advance Notice Requirements</w:t>
      </w:r>
      <w:r>
        <w:rPr>
          <w:rFonts w:ascii="Arial" w:cs="Arial" w:eastAsia="Arial" w:hAnsi="Arial"/>
          <w:sz w:val="16"/>
          <w:szCs w:val="16"/>
          <w:color w:val="auto"/>
        </w:rPr>
        <w:t>. Our Bylaws establish advance notice procedures with regard to stockholder proposals relating to the nomination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i w:val="1"/>
          <w:iCs w:val="1"/>
          <w:color w:val="auto"/>
        </w:rPr>
        <w:t>Amendment to Charter and Bylaws</w:t>
      </w:r>
      <w:r>
        <w:rPr>
          <w:rFonts w:ascii="Arial" w:cs="Arial" w:eastAsia="Arial" w:hAnsi="Arial"/>
          <w:sz w:val="17"/>
          <w:szCs w:val="17"/>
          <w:color w:val="auto"/>
        </w:rPr>
        <w:t>. As required by the DGCL, any amendment of our Charter must first be approved by a majority of our Board, and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81"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203, a business combination between a corporation and an interested stockholder is prohibited unless it satisfies one of the following conditions:</w:t>
      </w:r>
    </w:p>
    <w:p>
      <w:pPr>
        <w:spacing w:after="0" w:line="154" w:lineRule="exact"/>
        <w:rPr>
          <w:sz w:val="20"/>
          <w:szCs w:val="20"/>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1080" w:right="1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i w:val="1"/>
          <w:iCs w:val="1"/>
          <w:color w:val="auto"/>
        </w:rPr>
        <w:t>Exclusive Jurisdiction of Certain Actions</w:t>
      </w:r>
      <w:r>
        <w:rPr>
          <w:rFonts w:ascii="Arial" w:cs="Arial" w:eastAsia="Arial" w:hAnsi="Arial"/>
          <w:sz w:val="17"/>
          <w:szCs w:val="17"/>
          <w:color w:val="auto"/>
        </w:rPr>
        <w:t>. Our Charter provides that, unless we consent in writing to the selection of an alternative forum, the Court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1"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and you should read the indenture for provisions that may be important to you. Capitalized terms used in the summary and not defined herein have the meanings specified in the indenture.</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used in this section only, “Larimar,” “we,” “our” or “us” refer to Larimar Therapeutics, Inc., excluding our subsidiary, unless expressly stated or the context otherwise requires.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65"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issued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pacing w:after="0" w:line="75"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70"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denominations in which the debt securities will be issued, if other than denominations of $1,000 and any integral multiple thereof;</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29"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if any, and interest on the debt securities will be made;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(as defined below) described in this prospectus or in the indenture with respect to the debt securities and any change in the acceleration provisions described in this prospectus or in the indenture with respect to the debt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depositaries, interest rate calculation agents, exchange rate calculation agents or other agents with respect to the debt securities;</w:t>
      </w:r>
    </w:p>
    <w:p>
      <w:pPr>
        <w:spacing w:after="0" w:line="142"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United States federal income tax considerations and other special considerations applicable to any of these debt securities in the applicable prospectus supplement.</w:t>
      </w:r>
    </w:p>
    <w:p>
      <w:pPr>
        <w:spacing w:after="0" w:line="165"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i w:val="1"/>
          <w:iCs w:val="1"/>
          <w:color w:val="auto"/>
        </w:rPr>
        <w:t>Certificated Debt Securities</w:t>
      </w:r>
      <w:r>
        <w:rPr>
          <w:rFonts w:ascii="Arial" w:cs="Arial" w:eastAsia="Arial" w:hAnsi="Arial"/>
          <w:sz w:val="17"/>
          <w:szCs w:val="17"/>
          <w:color w:val="auto"/>
        </w:rPr>
        <w:t>. You may transfer or exchange certificated debt securities at any office we maintain for this purpose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6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84"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i w:val="1"/>
          <w:iCs w:val="1"/>
          <w:color w:val="auto"/>
        </w:rPr>
        <w:t>Global Debt Securities and Book-Entry System</w:t>
      </w:r>
      <w:r>
        <w:rPr>
          <w:rFonts w:ascii="Arial" w:cs="Arial" w:eastAsia="Arial" w:hAnsi="Arial"/>
          <w:sz w:val="17"/>
          <w:szCs w:val="17"/>
          <w:color w:val="auto"/>
        </w:rPr>
        <w:t>. Each global debt security representing book-entry debt securities will be deposited with, or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Depositary, and registered in the name of the Depositary or a nominee of the Depositary. Please see “Global Securities.”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76" w:lineRule="exact"/>
        <w:rPr>
          <w:sz w:val="20"/>
          <w:szCs w:val="20"/>
          <w:color w:val="auto"/>
        </w:rPr>
      </w:pPr>
    </w:p>
    <w:p>
      <w:pPr>
        <w:ind w:left="1080" w:right="22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360" w:firstLine="536"/>
        <w:spacing w:after="0" w:line="623" w:lineRule="auto"/>
        <w:tabs>
          <w:tab w:leader="none" w:pos="10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3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Larimar;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other Event of Default provided with respect to debt securities of that series that is described in the applicable prospectus supplement.</w:t>
      </w:r>
    </w:p>
    <w:p>
      <w:pPr>
        <w:spacing w:after="0" w:line="248"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6" w:lineRule="exact"/>
        <w:rPr>
          <w:sz w:val="20"/>
          <w:szCs w:val="20"/>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4"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30" w:lineRule="exact"/>
        <w:rPr>
          <w:rFonts w:ascii="Arial" w:cs="Arial" w:eastAsia="Arial" w:hAnsi="Arial"/>
          <w:sz w:val="18"/>
          <w:szCs w:val="18"/>
          <w:color w:val="auto"/>
        </w:rPr>
      </w:pPr>
    </w:p>
    <w:p>
      <w:pPr>
        <w:ind w:left="5540" w:right="2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 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75" w:lineRule="exact"/>
        <w:rPr>
          <w:rFonts w:ascii="Arial" w:cs="Arial" w:eastAsia="Arial" w:hAnsi="Arial"/>
          <w:sz w:val="18"/>
          <w:szCs w:val="18"/>
          <w:color w:val="auto"/>
        </w:rPr>
      </w:pPr>
    </w:p>
    <w:p>
      <w:pPr>
        <w:ind w:left="1080" w:right="26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conform the terms of the indenture (insofar as it applies to any series of debt securities issued under the indenture) or the terms of the debt securities of any series issued under the indenture to the description thereof contained in any prospectus, prospectus supplement or similar offering document used in connection with the initial offering and sale of such debt securities to investors in a public or private offering; or</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142"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 discharged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any and all obligations in respect of the debt securities of any series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93" w:lineRule="auto"/>
        <w:rPr>
          <w:sz w:val="20"/>
          <w:szCs w:val="20"/>
          <w:color w:val="auto"/>
        </w:rPr>
      </w:pPr>
      <w:r>
        <w:rPr>
          <w:rFonts w:ascii="Arial" w:cs="Arial" w:eastAsia="Arial" w:hAnsi="Arial"/>
          <w:sz w:val="16"/>
          <w:szCs w:val="16"/>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76" w:lineRule="exact"/>
        <w:rPr>
          <w:sz w:val="20"/>
          <w:szCs w:val="20"/>
          <w:color w:val="auto"/>
        </w:rPr>
      </w:pPr>
    </w:p>
    <w:p>
      <w:pPr>
        <w:ind w:left="1080" w:right="20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conditions include:</w:t>
      </w:r>
    </w:p>
    <w:p>
      <w:pPr>
        <w:spacing w:after="0" w:line="131" w:lineRule="exact"/>
        <w:rPr>
          <w:sz w:val="20"/>
          <w:szCs w:val="20"/>
          <w:color w:val="auto"/>
        </w:rPr>
      </w:pPr>
    </w:p>
    <w:p>
      <w:pPr>
        <w:ind w:left="1080" w:right="100" w:hanging="424"/>
        <w:spacing w:after="0" w:line="273"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7"/>
          <w:szCs w:val="17"/>
          <w:color w:val="auto"/>
        </w:rPr>
      </w:pPr>
    </w:p>
    <w:p>
      <w:pPr>
        <w:ind w:left="1080" w:right="80" w:hanging="424"/>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and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particular terms of any issue of warrants will be described in the prospectus supplement relating to the issue. Those terms may include:</w:t>
      </w:r>
    </w:p>
    <w:p>
      <w:pPr>
        <w:spacing w:after="0" w:line="142" w:lineRule="exact"/>
        <w:rPr>
          <w:sz w:val="20"/>
          <w:szCs w:val="20"/>
          <w:color w:val="auto"/>
        </w:rPr>
      </w:pPr>
    </w:p>
    <w:p>
      <w:pPr>
        <w:ind w:left="1080" w:right="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common stock will be separately transferable;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receive notice as stockholders with respect to any meeting of stockholders for the election of our directors or any other matter;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any rights as our stockholders.</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76" w:lineRule="exact"/>
        <w:rPr>
          <w:sz w:val="20"/>
          <w:szCs w:val="20"/>
          <w:color w:val="auto"/>
        </w:rPr>
      </w:pPr>
    </w:p>
    <w:p>
      <w:pPr>
        <w:ind w:left="1080" w:right="2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specified in any applicable prospectus supplement, we may issue subscription rights consisting of one or more debt securities, shares of preferred stock, shares of common stock or any combination of such securities.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20"/>
          </w:cols>
          <w:pgMar w:left="320" w:top="459" w:right="7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7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6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70"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76" w:lineRule="exact"/>
        <w:rPr>
          <w:sz w:val="20"/>
          <w:szCs w:val="20"/>
          <w:color w:val="auto"/>
        </w:rPr>
      </w:pPr>
    </w:p>
    <w:p>
      <w:pPr>
        <w:ind w:left="1080" w:right="220" w:hanging="424"/>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 we will prepare and deliver certificates for such securities in exchange for beneficial interests in the global securities.</w:t>
      </w:r>
    </w:p>
    <w:p>
      <w:pPr>
        <w:spacing w:after="0" w:line="170"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9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84"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65"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and/or Euroclear or their respective participants of these or any other rules or procedures governing their respective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“at-the-market offerings” (as defined in Rule 415 under the Securities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84"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4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66"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6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Any common stock or preferred stock will be listed on the Nasdaq Global Market, but any other securities may or may not be listed on a national securities exchange.</w:t>
      </w:r>
    </w:p>
    <w:p>
      <w:pPr>
        <w:spacing w:after="0" w:line="170"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To facilitate the offering of securities, and to the extent permitted by and in accordance with Regulation M under the Exchange Act, certain persons participating in the offering may engage in transactions that stabilize, maintain or otherwise affect the price of the securities. This may include over-allotments or short sales of the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9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77"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Troutman Pepper Hamilton Sanders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320" w:top="459" w:right="5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340360</wp:posOffset>
            </wp:positionV>
            <wp:extent cx="2614295" cy="986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988695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345440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 2022</w:t>
      </w:r>
    </w:p>
    <w:p>
      <w:pPr>
        <w:spacing w:after="0" w:line="200" w:lineRule="exact"/>
        <w:rPr>
          <w:sz w:val="20"/>
          <w:szCs w:val="20"/>
          <w:color w:val="auto"/>
        </w:rPr>
      </w:pPr>
    </w:p>
    <w:p>
      <w:pPr>
        <w:spacing w:after="0" w:line="24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400685</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460375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November 10,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178435</wp:posOffset>
            </wp:positionV>
            <wp:extent cx="2614295" cy="986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have entered into a sales agreement with Guggenheim Securities, LLC, or Guggenheim Securities, dated November 10, 2022, or the Sales Agreement, relating to the sale of shares of our common stock, par value $0.001 per share, offered by this prospectus. In accordance with the terms of the Sales Agreement, we may offer and sell shares of our common stock having an aggregate offering price of up to $50.0 million from time to time through Guggenheim Securities, acting as our agent.</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common stock trades on the Nasdaq Global Market under the symbol “LRMR.” On November 9, 2022, the last sale price of our common stock reported on the Nasdaq Global Market was $2.96 per share.</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Sales of our common stock, if any, under this prospectus may be made in sales deemed to be in negotiated transactions or transactions that are deemed “at-the-market offerings” as defined in Rule 415 promulgated under the Securities Act of 1933, as amended, or the Securities Act. Guggenheim Securities is not required to sell any specific amount of our common stock, but will act as our sales agent using commercially reasonable efforts consistent with its normal trading and sales practices, on mutually agreed terms between Guggenheim Securities and us. There is no arrangement for funds to be received in any escrow, trust or similar arrangement.</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compensation to Guggenheim Securities for sales of common stock sold pursuant to the Sales Agreement will be an amount equal to 3.0% of the gross proceeds of any shares of common stock sold thereunder. See “Plan of Distribution” beginning on page 17 for additional information regarding the compensation to be paid to Guggenheim Securities. In connection with the sale of the common stock on our behalf, Guggenheim Securities will be deemed to be an “underwriter” within the meaning of the Securities Act, and the compensation of Guggenheim Securities will be deemed to be underwriting commissions or discounts. We have also agreed to provide indemnification and contribution to Guggenheim Securities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199390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20"/>
        <w:spacing w:after="0" w:line="243" w:lineRule="auto"/>
        <w:rPr>
          <w:sz w:val="20"/>
          <w:szCs w:val="20"/>
          <w:color w:val="auto"/>
        </w:rPr>
      </w:pPr>
      <w:r>
        <w:rPr>
          <w:rFonts w:ascii="Arial" w:cs="Arial" w:eastAsia="Arial" w:hAnsi="Arial"/>
          <w:sz w:val="22"/>
          <w:szCs w:val="22"/>
          <w:b w:val="1"/>
          <w:bCs w:val="1"/>
          <w:color w:val="auto"/>
        </w:rPr>
        <w:t>INVESTING IN OUR SECURITIES INVOLVES RISKS. SEE THE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6 OF THIS PROSPECTUS AND IN THE DOCUMENTS INCORPORATED BY REFERENCE INTO THIS PROSPECTUS.</w:t>
      </w:r>
    </w:p>
    <w:p>
      <w:pPr>
        <w:spacing w:after="0" w:line="186"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Guggenheim Securities</w:t>
      </w:r>
    </w:p>
    <w:p>
      <w:pPr>
        <w:spacing w:after="0" w:line="234" w:lineRule="exact"/>
        <w:rPr>
          <w:sz w:val="20"/>
          <w:szCs w:val="20"/>
          <w:color w:val="auto"/>
        </w:rPr>
      </w:pPr>
    </w:p>
    <w:tbl>
      <w:tblPr>
        <w:tblLayout w:type="fixed"/>
        <w:tblInd w:w="39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w w:val="98"/>
              </w:rPr>
              <w:t>The date of this prospectus is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20"/>
          </w:cols>
          <w:pgMar w:left="320" w:top="459" w:right="45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15"/>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1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INCORPORATION OF CERTAIN INFORMATION BY REFERENCE</w:t>
            </w:r>
          </w:p>
        </w:tc>
        <w:tc>
          <w:tcPr>
            <w:tcW w:w="344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Arial" w:cs="Arial" w:eastAsia="Arial" w:hAnsi="Arial"/>
                <w:sz w:val="18"/>
                <w:szCs w:val="18"/>
                <w:color w:val="0000EE"/>
              </w:rPr>
              <w:t>PROSPECTUS SUMMARY</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3"/>
              </w:rPr>
              <w:t>THE OFFERING</w:t>
            </w:r>
          </w:p>
        </w:tc>
        <w:tc>
          <w:tcPr>
            <w:tcW w:w="800" w:type="dxa"/>
            <w:vAlign w:val="bottom"/>
            <w:tcBorders>
              <w:top w:val="single" w:sz="8" w:color="0000EE"/>
            </w:tcBorders>
            <w:gridSpan w:val="4"/>
          </w:tcPr>
          <w:p>
            <w:pPr>
              <w:spacing w:after="0"/>
              <w:rPr>
                <w:sz w:val="24"/>
                <w:szCs w:val="24"/>
                <w:color w:val="auto"/>
              </w:rPr>
            </w:pPr>
          </w:p>
        </w:tc>
        <w:tc>
          <w:tcPr>
            <w:tcW w:w="654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57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6"/>
              </w:rPr>
              <w:t>CAUTIONARY NOTE REGARDING FORWARD-LOOKING STATEMENTS</w:t>
            </w:r>
          </w:p>
        </w:tc>
        <w:tc>
          <w:tcPr>
            <w:tcW w:w="28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2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USE OF PROCEEDS</w:t>
            </w:r>
          </w:p>
        </w:tc>
        <w:tc>
          <w:tcPr>
            <w:tcW w:w="7040" w:type="dxa"/>
            <w:vAlign w:val="bottom"/>
            <w:gridSpan w:val="8"/>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20" w:type="dxa"/>
            <w:vAlign w:val="bottom"/>
          </w:tcPr>
          <w:p>
            <w:pPr>
              <w:spacing w:after="0"/>
              <w:rPr>
                <w:sz w:val="24"/>
                <w:szCs w:val="24"/>
                <w:color w:val="auto"/>
              </w:rPr>
            </w:pP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DILUTION</w:t>
            </w:r>
          </w:p>
        </w:tc>
        <w:tc>
          <w:tcPr>
            <w:tcW w:w="7760" w:type="dxa"/>
            <w:vAlign w:val="bottom"/>
            <w:gridSpan w:val="1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Arial" w:cs="Arial" w:eastAsia="Arial" w:hAnsi="Arial"/>
                <w:sz w:val="18"/>
                <w:szCs w:val="18"/>
                <w:color w:val="0000EE"/>
              </w:rPr>
              <w:t>DESCRIPTION OF CAPITAL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20" w:type="dxa"/>
            <w:vAlign w:val="bottom"/>
          </w:tcPr>
          <w:p>
            <w:pPr>
              <w:spacing w:after="0"/>
              <w:rPr>
                <w:sz w:val="24"/>
                <w:szCs w:val="24"/>
                <w:color w:val="auto"/>
              </w:rPr>
            </w:pPr>
          </w:p>
        </w:tc>
        <w:tc>
          <w:tcPr>
            <w:tcW w:w="28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PLAN OF DISTRIBUTION</w:t>
            </w:r>
          </w:p>
        </w:tc>
        <w:tc>
          <w:tcPr>
            <w:tcW w:w="576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24"/>
                <w:szCs w:val="24"/>
                <w:color w:val="auto"/>
              </w:rPr>
            </w:pPr>
          </w:p>
        </w:tc>
        <w:tc>
          <w:tcPr>
            <w:tcW w:w="658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ectPr>
          <w:pgSz w:w="11900" w:h="16838" w:orient="portrait"/>
          <w:cols w:equalWidth="0" w:num="1">
            <w:col w:w="11080"/>
          </w:cols>
          <w:pgMar w:left="320" w:top="445"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the SEC, utilizing a “shelf” registration process. Under this shelf registration process, we may from time to time offer and sell shares of our common stock having an aggregate offering price of up to $50,000,000 under this prospectus at prices and on terms to be determined by market conditions at the time of offering.</w:t>
      </w:r>
    </w:p>
    <w:p>
      <w:pPr>
        <w:spacing w:after="0" w:line="14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To the extent that any statement we make in this prospectus is inconsistent with statements made in any documents incorporated by reference herein that was filed with the SEC before the date of this prospectus, the statements made in this prospectus will be deemed to modify or supersede those made in the documents incorporated by reference herein and therein.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 You should read this prospectus and any accompanying prospectus supplement, including the information incorporated by reference herein and therein before deciding to invest in our common stock.</w:t>
      </w:r>
    </w:p>
    <w:p>
      <w:pPr>
        <w:spacing w:after="0" w:line="17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You should rely only on the information that we have included or incorporated by reference in this prospectus. We have not, and Guggenheim Securities has not,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securities other than the registered securities to which they relate, nor does this prospectus constitute an offer to sell or the solicitation of an offer to buy securities in any jurisdiction to any person to whom it is unlawful to make such offer or solicitation in such jurisdiction.</w:t>
      </w:r>
    </w:p>
    <w:p>
      <w:pPr>
        <w:spacing w:after="0" w:line="178"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When we refer to “Larimar,” “we,” “our,” “us” and the “Company” in this prospectus, we mean Larimar Therapeutics, Inc., and its subsidiary unless otherwise specified. When we refer to “you,” we mean the potential holders of the applicable series of securities.</w:t>
      </w:r>
    </w:p>
    <w:p>
      <w:pPr>
        <w:spacing w:after="0" w:line="170" w:lineRule="exact"/>
        <w:rPr>
          <w:sz w:val="20"/>
          <w:szCs w:val="20"/>
          <w:color w:val="auto"/>
        </w:rPr>
      </w:pPr>
    </w:p>
    <w:p>
      <w:pPr>
        <w:jc w:val="both"/>
        <w:ind w:left="120"/>
        <w:spacing w:after="0" w:line="208" w:lineRule="auto"/>
        <w:rPr>
          <w:sz w:val="20"/>
          <w:szCs w:val="20"/>
          <w:color w:val="auto"/>
        </w:rPr>
      </w:pPr>
      <w:r>
        <w:rPr>
          <w:rFonts w:ascii="Arial" w:cs="Arial" w:eastAsia="Arial" w:hAnsi="Arial"/>
          <w:sz w:val="18"/>
          <w:szCs w:val="18"/>
          <w:color w:val="auto"/>
        </w:rPr>
        <w:t>Larimar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forms a part, and you may obtain copies of those documents as described in this prospectus under the heading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This prospectus forms part of a registration statement on Form S-3 filed with the SEC under the Securities Act. This prospectus does not contain all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hereby.</w:t>
      </w:r>
    </w:p>
    <w:p>
      <w:pPr>
        <w:spacing w:after="0" w:line="17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This prospectus is part of a registration statement filed with the SEC. 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8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2021 filed with the SEC on </w:t>
      </w:r>
      <w:hyperlink r:id="rId28">
        <w:r>
          <w:rPr>
            <w:rFonts w:ascii="Arial" w:cs="Arial" w:eastAsia="Arial" w:hAnsi="Arial"/>
            <w:sz w:val="18"/>
            <w:szCs w:val="18"/>
            <w:u w:val="single" w:color="auto"/>
            <w:color w:val="0000EE"/>
          </w:rPr>
          <w:t>March 25, 2022</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2022, June 30, 2022 and September 30, 2022, filed with the SEC on </w:t>
      </w:r>
      <w:hyperlink r:id="rId29">
        <w:r>
          <w:rPr>
            <w:rFonts w:ascii="Arial" w:cs="Arial" w:eastAsia="Arial" w:hAnsi="Arial"/>
            <w:sz w:val="18"/>
            <w:szCs w:val="18"/>
            <w:u w:val="single" w:color="auto"/>
            <w:color w:val="0000EE"/>
          </w:rPr>
          <w:t>May 12,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 xml:space="preserve">August 11,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November 10,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1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from our Definitive Proxy Statement on </w:t>
      </w:r>
      <w:hyperlink r:id="rId32">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on April 12, 2022;</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5"/>
        </w:numPr>
        <w:rPr>
          <w:rFonts w:ascii="Arial" w:cs="Arial" w:eastAsia="Arial" w:hAnsi="Arial"/>
          <w:sz w:val="18"/>
          <w:szCs w:val="18"/>
          <w:color w:val="0000EE"/>
        </w:rPr>
      </w:pPr>
      <w:hyperlink r:id="rId3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28,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25,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11,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12, 2022</w:t>
        </w:r>
        <w:r>
          <w:rPr>
            <w:rFonts w:ascii="Arial" w:cs="Arial" w:eastAsia="Arial" w:hAnsi="Arial"/>
            <w:sz w:val="18"/>
            <w:szCs w:val="18"/>
            <w:color w:val="0000EE"/>
          </w:rPr>
          <w:t xml:space="preserve"> </w:t>
        </w:r>
        <w:r>
          <w:rPr>
            <w:rFonts w:ascii="Arial" w:cs="Arial" w:eastAsia="Arial" w:hAnsi="Arial"/>
            <w:sz w:val="18"/>
            <w:szCs w:val="18"/>
            <w:color w:val="000000"/>
          </w:rPr>
          <w:t>(</w:t>
        </w:r>
      </w:hyperlink>
      <w:hyperlink r:id="rId34">
        <w:r>
          <w:rPr>
            <w:rFonts w:ascii="Arial" w:cs="Arial" w:eastAsia="Arial" w:hAnsi="Arial"/>
            <w:sz w:val="18"/>
            <w:szCs w:val="18"/>
            <w:u w:val="single" w:color="auto"/>
            <w:color w:val="0000EE"/>
          </w:rPr>
          <w:t>both filings</w:t>
        </w:r>
      </w:hyperlink>
      <w:hyperlink r:id="rId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5">
        <w:r>
          <w:rPr>
            <w:rFonts w:ascii="Arial" w:cs="Arial" w:eastAsia="Arial" w:hAnsi="Arial"/>
            <w:sz w:val="18"/>
            <w:szCs w:val="18"/>
            <w:u w:val="single" w:color="auto"/>
            <w:color w:val="0000EE"/>
          </w:rPr>
          <w:t>August 11, 2022</w:t>
        </w:r>
      </w:hyperlink>
      <w:hyperlink r:id="rId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6">
        <w:r>
          <w:rPr>
            <w:rFonts w:ascii="Arial" w:cs="Arial" w:eastAsia="Arial" w:hAnsi="Arial"/>
            <w:sz w:val="18"/>
            <w:szCs w:val="18"/>
            <w:u w:val="single" w:color="auto"/>
            <w:color w:val="0000EE"/>
          </w:rPr>
          <w:t xml:space="preserve">September 14, 2022 </w:t>
        </w:r>
      </w:hyperlink>
      <w:hyperlink r:id="rId33">
        <w:r>
          <w:rPr>
            <w:rFonts w:ascii="Arial" w:cs="Arial" w:eastAsia="Arial" w:hAnsi="Arial"/>
            <w:sz w:val="18"/>
            <w:szCs w:val="18"/>
            <w:color w:val="000000"/>
          </w:rPr>
          <w:t>(</w:t>
        </w:r>
      </w:hyperlink>
      <w:hyperlink r:id="rId37">
        <w:r>
          <w:rPr>
            <w:rFonts w:ascii="Arial" w:cs="Arial" w:eastAsia="Arial" w:hAnsi="Arial"/>
            <w:sz w:val="18"/>
            <w:szCs w:val="18"/>
            <w:u w:val="single" w:color="auto"/>
            <w:color w:val="0000EE"/>
          </w:rPr>
          <w:t>both filings</w:t>
        </w:r>
      </w:hyperlink>
      <w:hyperlink r:id="rId3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 xml:space="preserve">October 20, 2022 </w:t>
        </w:r>
      </w:hyperlink>
      <w:hyperlink r:id="rId3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9">
        <w:r>
          <w:rPr>
            <w:rFonts w:ascii="Arial" w:cs="Arial" w:eastAsia="Arial" w:hAnsi="Arial"/>
            <w:sz w:val="18"/>
            <w:szCs w:val="18"/>
            <w:u w:val="single" w:color="auto"/>
            <w:color w:val="0000EE"/>
          </w:rPr>
          <w:t xml:space="preserve">November 10, 2022 </w:t>
        </w:r>
      </w:hyperlink>
      <w:hyperlink r:id="rId33">
        <w:r>
          <w:rPr>
            <w:rFonts w:ascii="Arial" w:cs="Arial" w:eastAsia="Arial" w:hAnsi="Arial"/>
            <w:sz w:val="18"/>
            <w:szCs w:val="18"/>
            <w:color w:val="000000"/>
          </w:rPr>
          <w:t xml:space="preserve">(in each case </w:t>
        </w:r>
      </w:hyperlink>
      <w:r>
        <w:rPr>
          <w:rFonts w:ascii="Arial" w:cs="Arial" w:eastAsia="Arial" w:hAnsi="Arial"/>
          <w:sz w:val="18"/>
          <w:szCs w:val="18"/>
          <w:color w:val="0000EE"/>
        </w:rPr>
        <w:t xml:space="preserve">other </w:t>
      </w:r>
      <w:r>
        <w:rPr>
          <w:rFonts w:ascii="Arial" w:cs="Arial" w:eastAsia="Arial" w:hAnsi="Arial"/>
          <w:sz w:val="18"/>
          <w:szCs w:val="18"/>
          <w:color w:val="000000"/>
        </w:rPr>
        <w:t>than any portions thereof deemed furnished and not filed); and</w:t>
      </w:r>
    </w:p>
    <w:p>
      <w:pPr>
        <w:spacing w:after="0" w:line="89" w:lineRule="exact"/>
        <w:rPr>
          <w:rFonts w:ascii="Arial" w:cs="Arial" w:eastAsia="Arial" w:hAnsi="Arial"/>
          <w:sz w:val="18"/>
          <w:szCs w:val="18"/>
          <w:color w:val="0000EE"/>
        </w:rPr>
      </w:pPr>
    </w:p>
    <w:p>
      <w:pPr>
        <w:ind w:left="1080" w:right="2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001-36510) filed with the SEC on June 18, 2014, under the Exchange Act, including any amendment or report filed for the purpose of updating such description, including Exhibit 4.2 to 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84" w:lineRule="exact"/>
        <w:rPr>
          <w:rFonts w:ascii="Arial" w:cs="Arial" w:eastAsia="Arial" w:hAnsi="Arial"/>
          <w:sz w:val="18"/>
          <w:szCs w:val="18"/>
          <w:color w:val="auto"/>
        </w:rPr>
      </w:pPr>
    </w:p>
    <w:p>
      <w:pPr>
        <w:ind w:left="120" w:right="540"/>
        <w:spacing w:after="0" w:line="277" w:lineRule="auto"/>
        <w:rPr>
          <w:sz w:val="20"/>
          <w:szCs w:val="20"/>
          <w:color w:val="auto"/>
        </w:rPr>
      </w:pPr>
      <w:r>
        <w:rPr>
          <w:rFonts w:ascii="Arial" w:cs="Arial" w:eastAsia="Arial" w:hAnsi="Arial"/>
          <w:sz w:val="18"/>
          <w:szCs w:val="18"/>
          <w:color w:val="auto"/>
        </w:rPr>
        <w:t>In addition, all documents that we file with the SEC pursuant to Sections 13(a), 13(c), 14 or 15(d) of the Exchange Act after the date of the initial registration statement of which this prospectus is a part and prior to the</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effectiveness of such registration statement and all such documents that we file with the SEC after the date of this prospectus and before the termination of the offering of our securities shall be deemed incorporated by reference into this prospectus and to be a part of this prospectus from the respective dates of filing such documents.</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Any statement contained in a document incorporated by reference in this prospectus shall be deemed to be modified or superseded for purposes of this prospectus to the extent that a statement contained in this prospectus or in any other subsequently filed document that also is or is deemed to be incorporated by reference in this prospectus modifies or supersedes such statement. Any statement so modified or superseded shall not be deemed, except as so modified or superseded, to constitute a part of this prospectus.</w:t>
      </w:r>
    </w:p>
    <w:p>
      <w:pPr>
        <w:spacing w:after="0" w:line="187"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by requesting them in writing or by telephone at:</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511-9056</w:t>
      </w:r>
    </w:p>
    <w:p>
      <w:pPr>
        <w:spacing w:after="0" w:line="9"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Attention: 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spacing w:after="0" w:line="296" w:lineRule="auto"/>
        <w:rPr>
          <w:sz w:val="20"/>
          <w:szCs w:val="20"/>
          <w:color w:val="auto"/>
        </w:rPr>
      </w:pPr>
      <w:r>
        <w:rPr>
          <w:rFonts w:ascii="Arial" w:cs="Arial" w:eastAsia="Arial" w:hAnsi="Arial"/>
          <w:sz w:val="16"/>
          <w:szCs w:val="16"/>
          <w:i w:val="1"/>
          <w:iCs w:val="1"/>
          <w:color w:val="auto"/>
        </w:rPr>
        <w:t>This summary description about us, our business and this offering highlights selected information contained elsewhere in this prospectus or incorporated in this prospectus by reference. This summary does not contain all of the information you should consider before deciding to invest in our common stock. You should carefully read this entire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6 and in the documents incorporated by reference into this prospectus.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or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w:t>
      </w:r>
    </w:p>
    <w:p>
      <w:pPr>
        <w:spacing w:after="0" w:line="188"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color w:val="auto"/>
        </w:rPr>
        <w:t>We have completed two Phase 1 clinical trials in patients with Friedreich’s ataxia. We have received an orphan drug designation, fast track designation and rare pediatric disease designation, from the U.S. Food and Drug Administration, or FDA, for CTI-1601. In addition, we received orphan drug designation for CTI-1601 from the European Commission and a Priority Medicines designation from the European Medicines Agency, or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61"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Our cell penetrating peptide technology platform, which enables a therapeutic molecule to cross a cell membrane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84" w:lineRule="exact"/>
        <w:rPr>
          <w:sz w:val="20"/>
          <w:szCs w:val="20"/>
          <w:color w:val="auto"/>
        </w:rPr>
      </w:pPr>
    </w:p>
    <w:p>
      <w:pPr>
        <w:ind w:left="300" w:right="320"/>
        <w:spacing w:after="0" w:line="263" w:lineRule="auto"/>
        <w:rPr>
          <w:sz w:val="20"/>
          <w:szCs w:val="20"/>
          <w:color w:val="auto"/>
        </w:rPr>
      </w:pPr>
      <w:r>
        <w:rPr>
          <w:rFonts w:ascii="Arial" w:cs="Arial" w:eastAsia="Arial" w:hAnsi="Arial"/>
          <w:sz w:val="18"/>
          <w:szCs w:val="18"/>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Arial" w:cs="Arial" w:eastAsia="Arial" w:hAnsi="Arial"/>
          <w:sz w:val="18"/>
          <w:szCs w:val="18"/>
          <w:i w:val="1"/>
          <w:iCs w:val="1"/>
          <w:color w:val="auto"/>
        </w:rPr>
        <w:t>www.larimartx.com</w:t>
      </w:r>
      <w:r>
        <w:rPr>
          <w:rFonts w:ascii="Arial" w:cs="Arial" w:eastAsia="Arial" w:hAnsi="Arial"/>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or “Larimar” refer to Larimar Therapeutics, Inc. and its subsidiary.</w:t>
      </w:r>
    </w:p>
    <w:p>
      <w:pPr>
        <w:spacing w:after="0" w:line="188"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0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Common stock to be offered by us</w:t>
      </w:r>
      <w:r>
        <w:rPr>
          <w:sz w:val="20"/>
          <w:szCs w:val="20"/>
          <w:color w:val="auto"/>
        </w:rPr>
        <w:tab/>
      </w:r>
      <w:r>
        <w:rPr>
          <w:rFonts w:ascii="Arial" w:cs="Arial" w:eastAsia="Arial" w:hAnsi="Arial"/>
          <w:sz w:val="16"/>
          <w:szCs w:val="16"/>
          <w:color w:val="auto"/>
        </w:rPr>
        <w:t>Shares of our common stock having an aggregate offering price of up to $50,000,000.</w:t>
      </w:r>
    </w:p>
    <w:p>
      <w:pPr>
        <w:spacing w:after="0" w:line="266" w:lineRule="exact"/>
        <w:rPr>
          <w:sz w:val="20"/>
          <w:szCs w:val="20"/>
          <w:color w:val="auto"/>
        </w:rPr>
      </w:pPr>
    </w:p>
    <w:p>
      <w:pPr>
        <w:jc w:val="both"/>
        <w:ind w:left="4340" w:right="20" w:hanging="4034"/>
        <w:spacing w:after="0" w:line="314" w:lineRule="auto"/>
        <w:rPr>
          <w:sz w:val="20"/>
          <w:szCs w:val="20"/>
          <w:color w:val="auto"/>
        </w:rPr>
      </w:pPr>
      <w:r>
        <w:rPr>
          <w:rFonts w:ascii="Arial" w:cs="Arial" w:eastAsia="Arial" w:hAnsi="Arial"/>
          <w:sz w:val="16"/>
          <w:szCs w:val="16"/>
          <w:b w:val="1"/>
          <w:bCs w:val="1"/>
          <w:color w:val="auto"/>
        </w:rPr>
        <w:t xml:space="preserve">Common stock to be outstanding after this offering </w:t>
      </w:r>
      <w:r>
        <w:rPr>
          <w:rFonts w:ascii="Arial" w:cs="Arial" w:eastAsia="Arial" w:hAnsi="Arial"/>
          <w:sz w:val="16"/>
          <w:szCs w:val="16"/>
          <w:color w:val="auto"/>
        </w:rPr>
        <w:t>Up to 60,161,091 shares, assuming a sales price of $2.96 per share, which was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our common stock on the Nasdaq Global Market on November 9, 2022. The actual number of shares issued will vary depending on the sales price under this offering.</w:t>
      </w:r>
    </w:p>
    <w:p>
      <w:pPr>
        <w:sectPr>
          <w:pgSz w:w="11900" w:h="16838" w:orient="portrait"/>
          <w:cols w:equalWidth="0" w:num="1">
            <w:col w:w="10920"/>
          </w:cols>
          <w:pgMar w:left="320" w:top="459" w:right="659" w:bottom="1440" w:gutter="0" w:footer="0" w:header="0"/>
        </w:sectPr>
      </w:pP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“At-the-market offering” that may be made from time to time through our sales agent, Guggenheim Securities. See “Plan of Distribution” on page 17 of this prospectus.</w:t>
      </w:r>
    </w:p>
    <w:p>
      <w:pPr>
        <w:spacing w:after="0" w:line="147"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intend to use the net proceeds from this offering to support the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 CTI-1601 and other pipeline candidates, and for working capital and general corporate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purposes, including research and development expenses. See “Use of Proceeds” on page 11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this prospectus.</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Investing in our securities involves a high degree of risk. See “Risk Factors” beginning on page 6 of this prospectus and other information included in this prospectus and the documents incorporated by reference in this prospectus for a discussion of factors you should carefully consider before deciding to invest in our securities.</w:t>
      </w:r>
    </w:p>
    <w:p>
      <w:pPr>
        <w:spacing w:after="0" w:line="194"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“LRMR”</w:t>
      </w:r>
    </w:p>
    <w:p>
      <w:pPr>
        <w:spacing w:after="0" w:line="200" w:lineRule="exact"/>
        <w:rPr>
          <w:sz w:val="20"/>
          <w:szCs w:val="20"/>
          <w:color w:val="auto"/>
        </w:rPr>
      </w:pPr>
    </w:p>
    <w:p>
      <w:pPr>
        <w:sectPr>
          <w:pgSz w:w="11900" w:h="16838" w:orient="portrait"/>
          <w:cols w:equalWidth="0" w:num="2">
            <w:col w:w="3620" w:space="720"/>
            <w:col w:w="6580"/>
          </w:cols>
          <w:pgMar w:left="320" w:top="459" w:right="659" w:bottom="1440" w:gutter="0" w:footer="0" w:header="0"/>
          <w:type w:val="continuous"/>
        </w:sectPr>
      </w:pPr>
    </w:p>
    <w:p>
      <w:pPr>
        <w:spacing w:after="0" w:line="39"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43,269,200 shares of common stock outstanding as of September 30, 2022, and excludes the following:</w:t>
      </w:r>
    </w:p>
    <w:p>
      <w:pPr>
        <w:spacing w:after="0" w:line="76" w:lineRule="exact"/>
        <w:rPr>
          <w:sz w:val="20"/>
          <w:szCs w:val="20"/>
          <w:color w:val="auto"/>
        </w:rPr>
      </w:pPr>
    </w:p>
    <w:p>
      <w:pPr>
        <w:ind w:left="1240" w:right="720" w:hanging="415"/>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3,136,776 shares of our common stock issuable upon the exercise of stock options outstanding as of September 30, 2022 at a weighted-average exercise price of $12.27 per share;</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991,687 shares of our common stock available for future issuance as of September 30, 2022 under our 2020 Equity Incentive Plan; and</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628,403 shares of our common stock issuable upon the exercise of pre-funded warrants outstanding as of September 30, 2022, with an exercise price of $0.01 per share.</w:t>
      </w:r>
    </w:p>
    <w:p>
      <w:pPr>
        <w:spacing w:after="0" w:line="170"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Unless otherwise indicated, all information in this prospectus assumes no exercise of the outstanding options or pre-funded warrants described above.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Investment in any securities offered pursuant to this prospectus involves risks. Before deciding whether to invest in our common stock, you should carefully consider the risks described below and those discussed under the section captioned “Risk Factors” contained in our most recent Annual Report on Form 10-K and in our most recent Quarterly Reports on Form 10-Q, as well as any amendments thereto, which are incorporated by reference into this prospectus in their entirety, together with other information in this prospectus, the documents incorporated by reference herein, and any free writing prospectus that we may authorize for use in connection with a specific offering. The occurrence of any of these risks might cause you to lose all or part of your investment in the offered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Management will have broad discretion over the use of the proceeds from this offering, and may not use the proceeds effectively.</w:t>
      </w:r>
    </w:p>
    <w:p>
      <w:pPr>
        <w:spacing w:after="0" w:line="133" w:lineRule="exact"/>
        <w:rPr>
          <w:sz w:val="20"/>
          <w:szCs w:val="20"/>
          <w:color w:val="auto"/>
        </w:rPr>
      </w:pPr>
    </w:p>
    <w:p>
      <w:pPr>
        <w:jc w:val="both"/>
        <w:ind w:left="120" w:right="220"/>
        <w:spacing w:after="0" w:line="287" w:lineRule="auto"/>
        <w:rPr>
          <w:sz w:val="20"/>
          <w:szCs w:val="20"/>
          <w:color w:val="auto"/>
        </w:rPr>
      </w:pPr>
      <w:r>
        <w:rPr>
          <w:rFonts w:ascii="Arial" w:cs="Arial" w:eastAsia="Arial" w:hAnsi="Arial"/>
          <w:sz w:val="16"/>
          <w:szCs w:val="16"/>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ultimately improve our financial condition or market value.</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Pending use, we may invest any net proceeds from this offering in a manner that does not produce income or loses value. Please see the section entitled “Use of Proceeds” on page 11 of this prospectus for further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You may experience immediate and substantial dilution in the net tangible book value per share of the common stock you purchase.</w:t>
      </w:r>
    </w:p>
    <w:p>
      <w:pPr>
        <w:spacing w:after="0" w:line="133"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common stock outstanding prior to this offering. Assuming that an aggregate of 16,891,891 shares are sold at a price of $2.96 per share, the last reported sale price of our common stock on the Nasdaq Global Market on November 9, 2022, for aggregate gross proceeds of approximately $50,000,000 in this offering, and after deducting commissions and estimated aggregate offering expenses payable by us, you will suffer immediate and substantial dilution of $0.26 per share, representing the difference between the pro forma as adjusted net tangible book value per share of our common stock as of September 30, 2022 after giving effect to the exercise of all outstanding pre-funded warrants at an exercise price of $0.01 per share and after giving effect to this offering at the assumed offering price. Please see the section entitled “Dilution” on page 12 of this prospectus for a more detailed illustration of the dilution you would incur if you participate in this offering.</w:t>
      </w:r>
    </w:p>
    <w:p>
      <w:pPr>
        <w:spacing w:after="0" w:line="282"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Issuances of shares of common stock or securities convertible into or exercisable for shares of common stock following this offering, as well as the exercise of options and warrants, will dilute your ownership interests and may adversely affect the future market price of our common stock.</w:t>
      </w:r>
    </w:p>
    <w:p>
      <w:pPr>
        <w:spacing w:after="0" w:line="72"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which may cause your ownership interest to be diluted. In addition, as of September 30, 2022, there were options to purchase 3,136,776 shares of our common stock outstanding at a weighted average exercise price of $12.27 and 628,403 shares of our common stock issuable upon the exercise of warrants outstanding with a weighted average exercise price of $0.01 per share. If these securities are exercised, you may incur further dilution. Moreover, to the extent that we issue additional options to purchase, or securities convertible into or exchangeable for, shares of our common stock in the future and those options or other securities are exercised, converted or exchanged, stockholders may experience further dilution.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 substantial number of shares may be sold in the market following this offering, which may depress the market price for our common stock.</w:t>
      </w:r>
    </w:p>
    <w:p>
      <w:pPr>
        <w:spacing w:after="0" w:line="144"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following this offering could cause the market price of our common stock to decline.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As of September 30, 2022, approximately 6,448,865 shares of our common stock are subject to lock-up agreements that restrict the transfer or sale of these shares of common stock. The lock-up agreement will expire on December 12, 2022 and, once the lock-up agreements expire, these shares will be freely tradable in the public market. In addition, we have also registered the shares of common stock that we may issue under our equity incentive plans. As a result, these shares can be freely sold in the public market upon issuance, subject to restrictions under securities 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It is not possible to predict the actual number of shares we will sell under the Sales Agreement, or the gross proceeds resulting from those sales.</w:t>
      </w:r>
    </w:p>
    <w:p>
      <w:pPr>
        <w:spacing w:after="0" w:line="156"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Subject to certain limitations in the Sales Agreement and compliance with applicable laws, we have the discretion to deliver a placement notice to Guggenheim Securities at any time throughout the term of the Sales Agreement. The number of shares that are sold through Guggenheim Securities after delivering a placement notice will fluctuate based on a number of factors, including the market price of our common stock during the term of the Sales Agreement, the limits we set with Guggenheim Securities in any applicable placement notice, and the demand for our common stock during the term of the Sales Agreement. Because the price per share of each share sold will fluctuate during the term of the Sales Agreement, it is not currently possible to predict the number of shares that will be sold or the gross proceeds to be raised in connection with the sales of shares of common stock offered under this prospectus.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market price and trading volume of our stock may be volatile.</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regulatory approvals for product candidates, and delays or failures to obtain such approvals;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and delays in, current, and any future, non-clinical or clinical trials of CTI-1601 or any of our future product candidates, including any delays related to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CTI-1601 or any of our future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relating to our markets, including with respect to other products and potential products in such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our potential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and industry-specific economic conditions potentially affecting our research and development expenditures;</w:t>
      </w:r>
    </w:p>
    <w:p>
      <w:pPr>
        <w:spacing w:after="0" w:line="130"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conditions in the United States and abroad, including any economic downturn as a result of the ongoing COVID-19 pandemic, or macroeconomic factors such as inflation, geopolitical tensions or the outbreak of hostilities or war;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trading volume of our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88"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common stock offered hereby will be sold in “at-the-market offerings,” and investors who buy shares at different times will likely pay different prices.</w:t>
      </w:r>
    </w:p>
    <w:p>
      <w:pPr>
        <w:spacing w:after="0" w:line="5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any restrictions we may place in any applicable placement notice delivered to Guggenheim Securities,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This prospectus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100" w:lineRule="exact"/>
        <w:rPr>
          <w:sz w:val="20"/>
          <w:szCs w:val="20"/>
          <w:color w:val="auto"/>
        </w:rPr>
      </w:pPr>
    </w:p>
    <w:p>
      <w:pPr>
        <w:jc w:val="both"/>
        <w:ind w:left="1080" w:right="18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engage with, and satisfactorily respond to, requests from the U.S. Food and Drug Administration, or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92"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obtaining successful non-clinical or clinical results that reliably and meaningfully demonstrate safety, tolerability and efficacy profiles that are satisfactory to the FDA, European Medicines Agency, or EMA, and other comparable regulatory authorities for marketing approval for CTI-1601 or any other product candidate that we may develop in the future and unexpected costs that may result therefrom;</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patient recruitment (including the impact of other clinical trials of competitive products), delays as a result of clinical</w:t>
      </w:r>
    </w:p>
    <w:p>
      <w:pPr>
        <w:spacing w:after="0" w:line="23" w:lineRule="exact"/>
        <w:rPr>
          <w:rFonts w:ascii="Arial" w:cs="Arial" w:eastAsia="Arial" w:hAnsi="Arial"/>
          <w:sz w:val="18"/>
          <w:szCs w:val="18"/>
          <w:color w:val="auto"/>
        </w:rPr>
      </w:pPr>
    </w:p>
    <w:p>
      <w:pPr>
        <w:ind w:left="1080" w:right="20"/>
        <w:spacing w:after="0" w:line="290" w:lineRule="auto"/>
        <w:rPr>
          <w:rFonts w:ascii="Arial" w:cs="Arial" w:eastAsia="Arial" w:hAnsi="Arial"/>
          <w:sz w:val="18"/>
          <w:szCs w:val="18"/>
          <w:color w:val="auto"/>
        </w:rPr>
      </w:pPr>
      <w:r>
        <w:rPr>
          <w:rFonts w:ascii="Arial" w:cs="Arial" w:eastAsia="Arial" w:hAnsi="Arial"/>
          <w:sz w:val="17"/>
          <w:szCs w:val="17"/>
          <w:color w:val="auto"/>
        </w:rPr>
        <w:t>and non-clinical results and FDA’s request for additional studies, changes in clinical protocols, regulatory restrictions, including additional clinical holds, and milestones for CTI-1601, including those associated with COVID-19 and the efforts to mitigate it;</w:t>
      </w:r>
    </w:p>
    <w:p>
      <w:pPr>
        <w:spacing w:after="0" w:line="66"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regarding future results of operations, financial position, research and development costs, capital requirements and our needs for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debt securities;</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30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competing therapies and products including those that are currently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third-parties;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of third parties upon which we depend, including third-party contract research organizations and third-party suppliers, manufacturers, distributors, and logistics providers;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relationships, and contracts with our key vendors and to identify and contract with alternate or secondary key vendors;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recruit and retain key scientific, technical, commercial, and management personnel and to retain our executive officers;</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health epidemics, unforeseen emergencies and other outbreaks of communicable diseases, including the</w:t>
      </w:r>
    </w:p>
    <w:p>
      <w:pPr>
        <w:spacing w:after="0" w:line="23" w:lineRule="exact"/>
        <w:rPr>
          <w:rFonts w:ascii="Arial" w:cs="Arial" w:eastAsia="Arial" w:hAnsi="Arial"/>
          <w:sz w:val="18"/>
          <w:szCs w:val="18"/>
          <w:color w:val="auto"/>
        </w:rPr>
      </w:pPr>
    </w:p>
    <w:p>
      <w:pPr>
        <w:ind w:left="1080" w:right="220"/>
        <w:spacing w:after="0" w:line="290" w:lineRule="auto"/>
        <w:rPr>
          <w:rFonts w:ascii="Arial" w:cs="Arial" w:eastAsia="Arial" w:hAnsi="Arial"/>
          <w:sz w:val="18"/>
          <w:szCs w:val="18"/>
          <w:color w:val="auto"/>
        </w:rPr>
      </w:pPr>
      <w:r>
        <w:rPr>
          <w:rFonts w:ascii="Arial" w:cs="Arial" w:eastAsia="Arial" w:hAnsi="Arial"/>
          <w:sz w:val="17"/>
          <w:szCs w:val="17"/>
          <w:color w:val="auto"/>
        </w:rPr>
        <w:t>ongoing COVID-19 pandemic and the efforts to mitigate it, and geopolitical turmoil could disrupt our operations, the operations of third parties on which we rely or the operations of regulatory agencies we interact with in the development of CTI-1601; and</w:t>
      </w:r>
    </w:p>
    <w:p>
      <w:pPr>
        <w:spacing w:after="0" w:line="66"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and any related free writing prospectus, and under similar headings in the other documents that are incorporated by reference into this prospectus.</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You should assume that the information appearing in this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$50,000,000 from time to time. Because there is no minimum offering amount required in this offering, the actual total public offering amount, commissions and proceeds to us, if any, are not determinable at this time. There can be no assurance that we will sell any shares under or fully utilize the Sales Agreement with Guggenheim Securities as a source of financing.</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intend to use the net proceeds from the sale of the common stock offered by us hereunder, if any, to support the development of CTI-1601 and other pipeline candidates, and for working capital and general corporate purposes, including research and development expenses. We do not currently have specific plans or commitments with respect to the net proceeds from this offering and, accordingly, we are unable to quantify the allocations of such proceeds among the various potential uses. We will have broad discretion in the way we use the net proceeds of this offering. Pending application of the net proceeds as described above, we intend to temporarily invest the proceeds in short-term, interest-bearing investment grade instruments, certificates of deposit or direct or guaranteed obligations of the U.S. government or U.S. government agencies.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 As of September 30, 2022, our net tangible book value was $115.7 million, or $2.67 per share. Net tangible book value per share represents our total tangible assets (excluding deferred issuance costs) less our total liabilities, divided by the number of shares outstanding.</w:t>
      </w:r>
    </w:p>
    <w:p>
      <w:pPr>
        <w:spacing w:after="0" w:line="1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pro forma net tangible book value would have been $115.7 million, or $2.64 per share as of September 30, 2022, after giving effect to the exercise of pre-funded warrants to purchase 628,403 shares of common stock at $0.01 per share, or the Warrant Exercise.</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After giving effect to the foregoing pro forma changes and assumed sale of shares of our common stock in the aggregate amount of $50,000,000 in this offering at an assumed offering price of $2.96 per share, the last reported sale price of our common stock on the Nasdaq Global Market on November 9, 2022, and after deducting commissions and estimated offering expenses payable by us, our pro forma as adjusted net tangible book value as of September 30, 2022 would have been $164.0 million, or $2.70 per share. This amount would represent an immediate increase in net tangible book value of $0.06 per share to existing stockholders and an immediate dilution in net tangible book value of $0.26 per share to new investors purchasing common stock in this offering. We determine dilution by subtracting the assumed pro forma as adjusted net tangible book value per share after this offering from the assumed price per share paid by an investor in this offering.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7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tangible book value per share as of September 30, 2022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$ 2.67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Increase (Decrease) in net tangible book value per share of common stock attributable to the Warrant</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80" w:type="dxa"/>
            <w:vAlign w:val="bottom"/>
            <w:gridSpan w:val="2"/>
          </w:tcPr>
          <w:p>
            <w:pPr>
              <w:ind w:left="880"/>
              <w:spacing w:after="0"/>
              <w:rPr>
                <w:sz w:val="20"/>
                <w:szCs w:val="20"/>
                <w:color w:val="auto"/>
              </w:rPr>
            </w:pPr>
            <w:r>
              <w:rPr>
                <w:rFonts w:ascii="Arial" w:cs="Arial" w:eastAsia="Arial" w:hAnsi="Arial"/>
                <w:sz w:val="18"/>
                <w:szCs w:val="18"/>
                <w:color w:val="auto"/>
                <w:w w:val="98"/>
              </w:rPr>
              <w:t>Pro forma net tangible book value per share as of September 30, 2022, after giving effect to the</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Warrant Exercise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Increase in net tangible book value per share attributable to new investors purchasing shares in this</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80" w:type="dxa"/>
            <w:vAlign w:val="bottom"/>
            <w:gridSpan w:val="2"/>
          </w:tcPr>
          <w:p>
            <w:pPr>
              <w:ind w:left="880"/>
              <w:spacing w:after="0"/>
              <w:rPr>
                <w:sz w:val="20"/>
                <w:szCs w:val="20"/>
                <w:color w:val="auto"/>
              </w:rPr>
            </w:pPr>
            <w:r>
              <w:rPr>
                <w:rFonts w:ascii="Arial" w:cs="Arial" w:eastAsia="Arial" w:hAnsi="Arial"/>
                <w:sz w:val="18"/>
                <w:szCs w:val="18"/>
                <w:color w:val="auto"/>
                <w:w w:val="93"/>
              </w:rPr>
              <w:t>Pro forma as adjusted net tangible book value per share as of September 30, 2022 after giving effect</w:t>
            </w: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to the Warrant Exercise and this offering</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above assumes, for illustrative purposes, that an aggregate of 16,891,891 shares of our common stock are sold at a price of $2.96 per share,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last reported sale price of our common stock on the Nasdaq Global Market on November 9, 2022, for aggregate gross proceeds of $50,000,000.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sold in this offering, if any, will be sold from time to time at various prices. An increase of $1.00 per share in the price at which the shares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sold from the assumed offering price of $2.96 per share shown in the table above, assuming all of our common stock in the aggregate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$50,000,000 is sold at that price, would increase our pro forma as adjusted net tangible book value per share after the offering to $2.90 per share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result in an increase in the dilution in net tangible book value per share to new investors in this offering of $0.80 per share to $1.06 per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after deducting commissions and estimated offering expenses payable by us. A decrease of $1.00 per share in the price at which the shares are sold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assumed offering price of $2.96 per share shown in the table above, assuming all of our common stock in the aggregate amount of $50,000,000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sold at that price, would decrease our pro forma as adjusted net tangible book value per share after the offering to $2.36 per share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would result in a decrease in the dilution in net tangible book value per share to new investors in this offering of $0.66 per share to $(0.40) per share, after deducting commissions and estimated offering expenses payable by us.</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foregoing table and calculations are based on 43,269,200 shares of our common stock outstanding as of September 30, 2022, and excludes the following:</w:t>
      </w:r>
    </w:p>
    <w:p>
      <w:pPr>
        <w:spacing w:after="0" w:line="76" w:lineRule="exact"/>
        <w:rPr>
          <w:sz w:val="20"/>
          <w:szCs w:val="20"/>
          <w:color w:val="auto"/>
        </w:rPr>
      </w:pPr>
    </w:p>
    <w:p>
      <w:pPr>
        <w:ind w:left="1080" w:right="2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3,136,776 shares of our common stock issuable upon the exercise of stock options outstanding as of September 30, 2022 at a weighted-average exercise price of $12.27 per share;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991,687 shares of our common stock available for future issuance as of September 30, 2022 under our 2020 Equity Incentive Plan.</w:t>
      </w:r>
    </w:p>
    <w:p>
      <w:pPr>
        <w:spacing w:after="0" w:line="23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To the extent that outstanding options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b w:val="1"/>
          <w:bCs w:val="1"/>
          <w:i w:val="1"/>
          <w:iCs w:val="1"/>
          <w:color w:val="auto"/>
        </w:rPr>
        <w:t>Authorized Capital Stock</w:t>
      </w:r>
      <w:r>
        <w:rPr>
          <w:rFonts w:ascii="Arial" w:cs="Arial" w:eastAsia="Arial" w:hAnsi="Arial"/>
          <w:sz w:val="18"/>
          <w:szCs w:val="18"/>
          <w:color w:val="auto"/>
        </w:rPr>
        <w:t>. Our authorized capital stock consists of (i) 115,000,000 shares of common stock, par value $0.001 per share,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43,269,200 shares have been issued and are outstanding as of November 9, 2022,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stockholders.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our common stock do not have any cumulative voting rights.</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Holders of our common stock are entitled to receive ratably any dividends declared by our Board of Directors, or the Board, out of funds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legally available for that purpose, subject to any preferential dividend rights of any outstanding preferred stock.</w:t>
      </w:r>
    </w:p>
    <w:p>
      <w:pPr>
        <w:spacing w:after="0" w:line="170"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b w:val="1"/>
          <w:bCs w:val="1"/>
          <w:i w:val="1"/>
          <w:iCs w:val="1"/>
          <w:color w:val="auto"/>
        </w:rPr>
        <w:t>No Preemptive or Similar Rights</w:t>
      </w:r>
      <w:r>
        <w:rPr>
          <w:rFonts w:ascii="Arial" w:cs="Arial" w:eastAsia="Arial" w:hAnsi="Arial"/>
          <w:sz w:val="17"/>
          <w:szCs w:val="17"/>
          <w:color w:val="auto"/>
        </w:rPr>
        <w:t>. Our common stock has no preemptive rights, conversion rights or other subscription rights or redemption or sinking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r>
        <w:rPr>
          <w:rFonts w:ascii="Arial" w:cs="Arial" w:eastAsia="Arial" w:hAnsi="Arial"/>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Listing</w:t>
      </w:r>
      <w:r>
        <w:rPr>
          <w:rFonts w:ascii="Arial" w:cs="Arial" w:eastAsia="Arial" w:hAnsi="Arial"/>
          <w:sz w:val="16"/>
          <w:szCs w:val="16"/>
          <w:color w:val="auto"/>
        </w:rPr>
        <w:t>. Our common stock is listed on the Nasdaq Global Market under the symbol “LRMR.” On November 9, 2022, the last reported sale price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on the Nasdaq Global Market was $2.96 per share. As of November 9, 2022, we had approximately 24 stockholders of record.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7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b w:val="1"/>
          <w:bCs w:val="1"/>
          <w:i w:val="1"/>
          <w:iCs w:val="1"/>
          <w:color w:val="auto"/>
        </w:rPr>
        <w:t>Board Composition and Filling Vacancies</w:t>
      </w:r>
      <w:r>
        <w:rPr>
          <w:rFonts w:ascii="Arial" w:cs="Arial" w:eastAsia="Arial" w:hAnsi="Arial"/>
          <w:sz w:val="18"/>
          <w:szCs w:val="18"/>
          <w:color w:val="auto"/>
        </w:rPr>
        <w:t>. Our Charter provides for the division of our Board into three classes serving staggered three-year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8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No Written Consent of Stockholders</w:t>
      </w:r>
      <w:r>
        <w:rPr>
          <w:rFonts w:ascii="Arial" w:cs="Arial" w:eastAsia="Arial" w:hAnsi="Arial"/>
          <w:sz w:val="18"/>
          <w:szCs w:val="18"/>
          <w:color w:val="auto"/>
        </w:rPr>
        <w:t>. Our Charter provides that all stockholder actions are required to be taken by a vote of the stockholders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or special meeting, and that stockholders may not take any action by written consent in lieu of a meeting.</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color w:val="auto"/>
        </w:rPr>
        <w:t>. Our Charter and Bylaws provide that only a majority of the members of our Board then in office may call special meetings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b w:val="1"/>
          <w:bCs w:val="1"/>
          <w:i w:val="1"/>
          <w:iCs w:val="1"/>
          <w:color w:val="auto"/>
        </w:rPr>
        <w:t>Advance Notice Requirements</w:t>
      </w:r>
      <w:r>
        <w:rPr>
          <w:rFonts w:ascii="Arial" w:cs="Arial" w:eastAsia="Arial" w:hAnsi="Arial"/>
          <w:sz w:val="16"/>
          <w:szCs w:val="16"/>
          <w:color w:val="auto"/>
        </w:rPr>
        <w:t>. Our Bylaws establish advance notice procedures with regard to stockholder proposals relating to the nomination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b w:val="1"/>
          <w:bCs w:val="1"/>
          <w:i w:val="1"/>
          <w:iCs w:val="1"/>
          <w:color w:val="auto"/>
        </w:rPr>
        <w:t>Amendment to Charter and Bylaws</w:t>
      </w:r>
      <w:r>
        <w:rPr>
          <w:rFonts w:ascii="Arial" w:cs="Arial" w:eastAsia="Arial" w:hAnsi="Arial"/>
          <w:sz w:val="17"/>
          <w:szCs w:val="17"/>
          <w:color w:val="auto"/>
        </w:rPr>
        <w:t>. As required by the DGCL, any amendment of our Charter must first be approved by a majority of our Board, and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3" w:lineRule="exact"/>
        <w:rPr>
          <w:sz w:val="20"/>
          <w:szCs w:val="20"/>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1080" w:right="12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i w:val="1"/>
          <w:iCs w:val="1"/>
          <w:color w:val="auto"/>
        </w:rPr>
        <w:t>Exclusive Jurisdiction of Certain Actions</w:t>
      </w:r>
      <w:r>
        <w:rPr>
          <w:rFonts w:ascii="Arial" w:cs="Arial" w:eastAsia="Arial" w:hAnsi="Arial"/>
          <w:sz w:val="17"/>
          <w:szCs w:val="17"/>
          <w:color w:val="auto"/>
        </w:rPr>
        <w:t>. Our Charter provides that, unless we consent in writing to the selection of an alternative forum, the Court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have entered into the Sales Agreement with Guggenheim Securities, under which we may issue and sell shares of common stock having an aggregate offering price of up to $50,000,000 from time to time through Guggenheim Securities as our sales agent. Sales of shares of common stock, if any, under this prospectus will be by any method that is deemed to be an “at-the-market offering,” as defined in Rule 415 under the Securities Act.</w:t>
      </w:r>
    </w:p>
    <w:p>
      <w:pPr>
        <w:spacing w:after="0" w:line="14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Guggenheim Securities will offer shares of our common stock subject to the terms and conditions of the Sales Agreement on a daily basis or as otherwise agreed upon by us and Guggenheim Securities. Subject to the terms and conditions of the Sales Agreement, Guggenheim Securities will use its commercially reasonable efforts consistent with its normal trading and sales practices to sell on our behalf all the shares of common stock requested to be sold by us. We may instruct Guggenheim Securities not to sell shares of common stock if the sales cannot be effected at or above the price designated by us in any such instruction. Guggenheim Securities or we may suspend the offering of shares of our common stock being made through Guggenheim Securities under the Sales Agreement upon proper notice to the other party. Guggenheim Securities and we each have the right, by giving written notice as specified in the Sales Agreement, to terminate the Sales Agreement in each party’s sole discretion at any time.</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aggregate compensation payable to Guggenheim Securities as sales agent will be an amount equal to 3.0% of the gross sales price of any shares sold through it pursuant to the Sales Agreement. We have also agreed to reimburse Guggenheim Securities up to $50,000 for the out-of-pocket reasonable fees and disbursements of its legal counsel incurred in connection with this offering. We estimate that the total expenses of the offering payable by us, excluding commissions payable to Guggenheim Securities under the Sales Agreement, will be approximately $215,000.</w:t>
      </w:r>
    </w:p>
    <w:p>
      <w:pPr>
        <w:spacing w:after="0" w:line="17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or self-regulatory organization in connection with the sales, will equal our net proceeds for the sale of such shares of common stock.</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Guggenheim Securities will provide written confirmation to us following the close of trading on the Nasdaq Global Market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and the net proceeds to us.</w:t>
      </w:r>
    </w:p>
    <w:p>
      <w:pPr>
        <w:spacing w:after="0" w:line="14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Settlement for sales of shares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 We will report, through Quarterly Reports on Form 10-Q and Annual Reports on Form 10-K, at least quarterly the number of shares of common stock sold through Guggenheim Securities under the Sales Agreement and the net proceeds to us in connection with the sales of shares of common stock during the relevant period.</w:t>
      </w:r>
    </w:p>
    <w:p>
      <w:pPr>
        <w:spacing w:after="0" w:line="18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connection with the sales of shares of common stock on our behalf, Guggenheim Securities will be deemed to be an “underwriter” within the meaning of the Securities Act, and the compensation paid to Guggenheim Securities will be deemed to be underwriting commissions or discounts. We have agreed in the Sales Agreement to provide indemnification and contribution to Guggenheim Securities against certain liabilities, including liabilities under the Securities Act. As sales agent, Guggenheim Securities will not engage in any transactions that stabilize our common stock.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common stock is listed and traded on the Nasdaq Global Market under the symbol “LRMR.” Computershare Trust Company, N.A. serves as the transfer agent and registrar for our common stock.</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Guggenheim Securities and/or its affiliates have provided, and may in the future provide, various investment banking and other financial services for us for which services they have received, and may in the future receive, customary fees.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validity of the issuance of the common stock offered by this prospectus will be passed upon for us by Troutman Pepper Hamilton Sanders LLP.</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matters will be passed upon for Guggenheim Securities, LLC by Mintz, Levin, Cohn, Ferris, Glovsky and Popeo, P.C.</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459" w:right="5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340360</wp:posOffset>
            </wp:positionV>
            <wp:extent cx="2614295" cy="9861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261429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1537970</wp:posOffset>
            </wp:positionV>
            <wp:extent cx="1474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345440</wp:posOffset>
            </wp:positionV>
            <wp:extent cx="1474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3099"/>
        <w:spacing w:after="0"/>
        <w:rPr>
          <w:sz w:val="20"/>
          <w:szCs w:val="20"/>
          <w:color w:val="auto"/>
        </w:rPr>
      </w:pPr>
      <w:r>
        <w:rPr>
          <w:rFonts w:ascii="Arial" w:cs="Arial" w:eastAsia="Arial" w:hAnsi="Arial"/>
          <w:sz w:val="29"/>
          <w:szCs w:val="29"/>
          <w:b w:val="1"/>
          <w:bCs w:val="1"/>
          <w:color w:val="auto"/>
        </w:rPr>
        <w:t>Guggenheim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 other than the SEC registration fee.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7"/>
              </w:rPr>
              <w:t>22,040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The Nasdaq Global Market supplemental listing fee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Fees and expenses of the trustee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Printing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estimated at this time.</w:t>
      </w:r>
    </w:p>
    <w:p>
      <w:pPr>
        <w:spacing w:after="0" w:line="38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are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Our Ninth Amended and Restated Certificate of Incorporation, as amended, or the Charter, provides for the indemnification of directors to the fullest extent permissible under Delaware law. Accordingly, our directors will not be personally liable for monetary damages for breach of their fiduciary duty as directors, except for liabilities:</w:t>
      </w:r>
    </w:p>
    <w:p>
      <w:pPr>
        <w:spacing w:after="0" w:line="8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5480" w:right="2120" w:hanging="4824"/>
        <w:spacing w:after="0" w:line="449" w:lineRule="auto"/>
        <w:tabs>
          <w:tab w:leader="none" w:pos="10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unlawful payments of dividends or unlawful stock repurchases or redemptions, as provided under Section 174 of the DGCL;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amended and restated bylaws, or the Bylaws, provide for the indemnification of officers, directors and third parties acting on our behalf if such persons act in good faith and in a manner reasonably believed to be in and not opposed to our best interest, and, with respect to any criminal action or proceeding, such indemnified party had no reason to believe his or her conduct was unlawful.</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have entered into indemnification agreements with each of our directors and certain of our executive officers. These agreements provide that we will indemnify each of our directors and certain of our executive officers to the fullest extent permitted by law. We intend to enter into indemnification agreements with any new directors and executive officers in the future.</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We believe that the limitation of liability provision in the Charter and the indemnification agreements facilitate our ability to continue to attract and retain qualified individuals to serve as directors and officers. The limitation of liability and indemnification provisions in the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Item 16.</w:t>
            </w:r>
          </w:p>
        </w:tc>
        <w:tc>
          <w:tcPr>
            <w:tcW w:w="300" w:type="dxa"/>
            <w:vAlign w:val="bottom"/>
          </w:tcPr>
          <w:p>
            <w:pPr>
              <w:spacing w:after="0"/>
              <w:rPr>
                <w:sz w:val="20"/>
                <w:szCs w:val="20"/>
                <w:color w:val="auto"/>
              </w:rPr>
            </w:pPr>
          </w:p>
        </w:tc>
        <w:tc>
          <w:tcPr>
            <w:tcW w:w="9900" w:type="dxa"/>
            <w:vAlign w:val="bottom"/>
            <w:gridSpan w:val="11"/>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10200" w:type="dxa"/>
            <w:vAlign w:val="bottom"/>
            <w:gridSpan w:val="12"/>
          </w:tcPr>
          <w:p>
            <w:pPr>
              <w:ind w:left="160"/>
              <w:spacing w:after="0"/>
              <w:rPr>
                <w:sz w:val="20"/>
                <w:szCs w:val="20"/>
                <w:color w:val="auto"/>
              </w:rPr>
            </w:pPr>
            <w:r>
              <w:rPr>
                <w:rFonts w:ascii="Arial" w:cs="Arial" w:eastAsia="Arial" w:hAnsi="Arial"/>
                <w:sz w:val="18"/>
                <w:szCs w:val="18"/>
                <w:i w:val="1"/>
                <w:iCs w:val="1"/>
                <w:color w:val="auto"/>
              </w:rPr>
              <w:t>Exhibits</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620" w:type="dxa"/>
            <w:vAlign w:val="bottom"/>
            <w:gridSpan w:val="10"/>
          </w:tcPr>
          <w:p>
            <w:pPr>
              <w:jc w:val="center"/>
              <w:ind w:right="42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24"/>
                <w:szCs w:val="24"/>
                <w:color w:val="auto"/>
              </w:rPr>
            </w:pPr>
          </w:p>
        </w:tc>
        <w:tc>
          <w:tcPr>
            <w:tcW w:w="990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w w:val="93"/>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9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1360" w:type="dxa"/>
            <w:vAlign w:val="bottom"/>
            <w:tcBorders>
              <w:top w:val="single" w:sz="8" w:color="auto"/>
            </w:tcBorders>
            <w:gridSpan w:val="3"/>
          </w:tcPr>
          <w:p>
            <w:pPr>
              <w:spacing w:after="0"/>
              <w:rPr>
                <w:sz w:val="24"/>
                <w:szCs w:val="24"/>
                <w:color w:val="auto"/>
              </w:rPr>
            </w:pPr>
          </w:p>
        </w:tc>
        <w:tc>
          <w:tcPr>
            <w:tcW w:w="4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0000EE"/>
                <w:w w:val="96"/>
              </w:rPr>
              <w:t>Sales Agreement, dated as of November 10, 2022, by and between Larimar Therapeutics, Inc. and Guggenheim Securities, LLC.</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Ninth Amended and Restated Certificate of Incorporation of Larimar Therapeutics, Inc. (formerly Zafgen, Inc.) (incorporated herein by</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reference to Exhibit 3.1 to the Company’s Current Report on Form 8-K (File No. 001-35610) filed on June 24, 2014).</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Certificate of Amendment of Ninth Amended and Restated Certificate of Incorporation of Larimar Therapeutics, Inc. (formerly known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Zafgen, Inc.) related to the Reverse Stock Split, dated May 28, 2020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Current Report on Form 8-K (File No. 001-35610) filed on June 2, 2020).</w:t>
              </w:r>
            </w:hyperlink>
          </w:p>
        </w:tc>
        <w:tc>
          <w:tcPr>
            <w:tcW w:w="4380" w:type="dxa"/>
            <w:vAlign w:val="bottom"/>
            <w:tcBorders>
              <w:top w:val="single" w:sz="8" w:color="0000EE"/>
            </w:tcBorders>
            <w:gridSpan w:val="6"/>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Certificate of Amendment of Ninth Amended and Restated Certificate of Incorporation of Larimar Therapeutics, Inc. (formerly known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Zafgen, Inc.) related to the Name Change, dated May 28, 2020 (incorporated herein by reference to Exhibit 3.2 to the Company’s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Report on Form 8-K (File No. 001-35610) filed on June 2, 2020).</w:t>
              </w:r>
            </w:hyperlink>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ind w:left="18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00" w:type="dxa"/>
            <w:vAlign w:val="bottom"/>
            <w:tcBorders>
              <w:bottom w:val="single" w:sz="8" w:color="0000EE"/>
            </w:tcBorders>
            <w:gridSpan w:val="8"/>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Amended and Restated Bylaws of Larimar Therapeutics, Inc. (formerly known as Zafgen, Inc.) (incorporated herein by reference to</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Exhibit 3.2 to the Company’s Current Report on Form 8-K (File No. 001-35610) filed on June 24, 2014).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78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7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580" w:type="dxa"/>
            <w:vAlign w:val="bottom"/>
            <w:gridSpan w:val="9"/>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Common Stock certificate of the registrant (incorporated herein by reference to Exhibit 4.1 to the Company’s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Statement on Form S-1 (File No. 333-195391) filed on June 2, 2014).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50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Form of Preferred Stock Certificate.</w:t>
            </w:r>
          </w:p>
        </w:tc>
        <w:tc>
          <w:tcPr>
            <w:tcW w:w="45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0000EE"/>
              </w:rPr>
              <w:t>Form of Indenture.</w:t>
            </w:r>
          </w:p>
        </w:tc>
        <w:tc>
          <w:tcPr>
            <w:tcW w:w="0" w:type="dxa"/>
            <w:vAlign w:val="bottom"/>
          </w:tcPr>
          <w:p>
            <w:pPr>
              <w:spacing w:after="0"/>
              <w:rPr>
                <w:sz w:val="1"/>
                <w:szCs w:val="1"/>
                <w:color w:val="auto"/>
              </w:rPr>
            </w:pPr>
          </w:p>
        </w:tc>
      </w:tr>
      <w:tr>
        <w:trPr>
          <w:trHeight w:val="344"/>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4"/>
                <w:szCs w:val="24"/>
                <w:color w:val="auto"/>
              </w:rPr>
            </w:pPr>
          </w:p>
        </w:tc>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Form of Note.</w:t>
            </w:r>
          </w:p>
        </w:tc>
        <w:tc>
          <w:tcPr>
            <w:tcW w:w="8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83"/>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0000EE"/>
              </w:rPr>
              <w:t>Opinion of Troutman Pepper Hamilton Sanders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23.1</w:t>
            </w:r>
          </w:p>
        </w:tc>
        <w:tc>
          <w:tcPr>
            <w:tcW w:w="520" w:type="dxa"/>
            <w:vAlign w:val="bottom"/>
          </w:tcPr>
          <w:p>
            <w:pPr>
              <w:spacing w:after="0"/>
              <w:rPr>
                <w:sz w:val="24"/>
                <w:szCs w:val="24"/>
                <w:color w:val="auto"/>
              </w:rPr>
            </w:pPr>
          </w:p>
        </w:tc>
        <w:tc>
          <w:tcPr>
            <w:tcW w:w="64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3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23.2</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0000EE"/>
              </w:rPr>
              <w:t>Consent of Troutman Pepper Hamilton Sanders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24.1</w:t>
            </w:r>
          </w:p>
        </w:tc>
        <w:tc>
          <w:tcPr>
            <w:tcW w:w="520" w:type="dxa"/>
            <w:vAlign w:val="bottom"/>
          </w:tcPr>
          <w:p>
            <w:pPr>
              <w:spacing w:after="0"/>
              <w:rPr>
                <w:sz w:val="24"/>
                <w:szCs w:val="24"/>
                <w:color w:val="auto"/>
              </w:rPr>
            </w:pPr>
          </w:p>
        </w:tc>
        <w:tc>
          <w:tcPr>
            <w:tcW w:w="56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2"/>
              </w:rPr>
              <w:t>Powers of Attorney (incorporated by reference to the signature page hereto).</w:t>
            </w:r>
          </w:p>
        </w:tc>
        <w:tc>
          <w:tcPr>
            <w:tcW w:w="39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500" w:type="dxa"/>
            <w:vAlign w:val="bottom"/>
            <w:gridSpan w:val="5"/>
            <w:shd w:val="clear" w:color="auto" w:fill="0000EE"/>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0" w:type="dxa"/>
            <w:vAlign w:val="bottom"/>
          </w:tcPr>
          <w:p>
            <w:pPr>
              <w:jc w:val="right"/>
              <w:spacing w:after="0"/>
              <w:rPr>
                <w:sz w:val="20"/>
                <w:szCs w:val="20"/>
                <w:color w:val="auto"/>
              </w:rPr>
            </w:pPr>
            <w:r>
              <w:rPr>
                <w:rFonts w:ascii="Arial" w:cs="Arial" w:eastAsia="Arial" w:hAnsi="Arial"/>
                <w:sz w:val="18"/>
                <w:szCs w:val="18"/>
                <w:color w:val="auto"/>
                <w:w w:val="88"/>
              </w:rPr>
              <w:t>25.1‡</w:t>
            </w:r>
          </w:p>
        </w:tc>
        <w:tc>
          <w:tcPr>
            <w:tcW w:w="520" w:type="dxa"/>
            <w:vAlign w:val="bottom"/>
          </w:tcPr>
          <w:p>
            <w:pPr>
              <w:spacing w:after="0"/>
              <w:rPr>
                <w:sz w:val="24"/>
                <w:szCs w:val="24"/>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the trustee, as trustee under the indenture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580" w:type="dxa"/>
            <w:vAlign w:val="bottom"/>
            <w:gridSpan w:val="9"/>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20" w:hanging="1104"/>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in accordance with the requirements of Item 601(b)(25) of Regulation S-K.</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800"/>
          </w:cols>
          <w:pgMar w:left="320" w:top="459" w:right="7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380" w:hanging="264"/>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780" w:hanging="224"/>
        <w:spacing w:after="0"/>
        <w:tabs>
          <w:tab w:leader="none" w:pos="7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560" w:hanging="4"/>
        <w:spacing w:after="0" w:line="254" w:lineRule="auto"/>
        <w:tabs>
          <w:tab w:leader="none" w:pos="8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ind w:left="560" w:right="520" w:hanging="4"/>
        <w:spacing w:after="0" w:line="277" w:lineRule="auto"/>
        <w:tabs>
          <w:tab w:leader="none" w:pos="8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120" w:right="60" w:hanging="4"/>
        <w:spacing w:after="0" w:line="263" w:lineRule="auto"/>
        <w:tabs>
          <w:tab w:leader="none" w:pos="3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20" w:hanging="4"/>
        <w:spacing w:after="0" w:line="277" w:lineRule="auto"/>
        <w:tabs>
          <w:tab w:leader="none" w:pos="3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380" w:hanging="264"/>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560" w:hanging="4"/>
        <w:spacing w:after="0" w:line="277" w:lineRule="auto"/>
        <w:tabs>
          <w:tab w:leader="none" w:pos="77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560" w:right="20" w:hanging="4"/>
        <w:spacing w:after="0" w:line="287" w:lineRule="auto"/>
        <w:tabs>
          <w:tab w:leader="none" w:pos="825"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hanging="4"/>
        <w:spacing w:after="0" w:line="257" w:lineRule="auto"/>
        <w:tabs>
          <w:tab w:leader="none" w:pos="3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780" w:hanging="224"/>
        <w:spacing w:after="0"/>
        <w:tabs>
          <w:tab w:leader="none" w:pos="78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620" w:firstLine="436"/>
        <w:spacing w:after="0" w:line="277" w:lineRule="auto"/>
        <w:tabs>
          <w:tab w:leader="none" w:pos="8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firstLine="436"/>
        <w:spacing w:after="0" w:line="277" w:lineRule="auto"/>
        <w:tabs>
          <w:tab w:leader="none" w:pos="8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80" w:hanging="4"/>
        <w:spacing w:after="0" w:line="257" w:lineRule="auto"/>
        <w:tabs>
          <w:tab w:leader="none" w:pos="3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sz w:val="20"/>
          <w:szCs w:val="20"/>
          <w:color w:val="auto"/>
        </w:rPr>
      </w:pPr>
    </w:p>
    <w:p>
      <w:pPr>
        <w:ind w:left="120" w:right="200" w:hanging="4"/>
        <w:spacing w:after="0" w:line="271" w:lineRule="auto"/>
        <w:tabs>
          <w:tab w:leader="none" w:pos="37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120" w:right="120" w:hanging="4"/>
        <w:spacing w:after="0" w:line="260" w:lineRule="auto"/>
        <w:tabs>
          <w:tab w:leader="none" w:pos="3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Section 310 of the Trust Indenture Act (the “Act”) in accordance with the rules and regulations prescribed by the SEC under section 305(b)(2) of the Act.</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Unincorporated Community of Bala Cynwyd, Commonwealth of Pennsylvania, on November 10, 2022.</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980"/>
          </w:cols>
          <w:pgMar w:left="320" w:top="459" w:right="5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the undersigned officers and directors of Larimar Therapeutics, Inc., hereby severally constitute and appoint Carole Ben-Maimon, M.D. and Michael Celano,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p>
    <w:p>
      <w:pPr>
        <w:spacing w:after="0" w:line="16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November 10,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60" w:type="dxa"/>
            <w:vAlign w:val="bottom"/>
          </w:tcPr>
          <w:p>
            <w:pPr>
              <w:spacing w:after="0"/>
              <w:rPr>
                <w:sz w:val="14"/>
                <w:szCs w:val="14"/>
                <w:color w:val="auto"/>
              </w:rPr>
            </w:pPr>
          </w:p>
        </w:tc>
      </w:tr>
      <w:tr>
        <w:trPr>
          <w:trHeight w:val="426"/>
        </w:trPr>
        <w:tc>
          <w:tcPr>
            <w:tcW w:w="5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Carole Ben-Maimon, M.D.</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4"/>
              </w:rPr>
              <w:t>Carole Ben-Maimon, M.D.</w:t>
            </w:r>
          </w:p>
        </w:tc>
        <w:tc>
          <w:tcPr>
            <w:tcW w:w="5060" w:type="dxa"/>
            <w:vAlign w:val="bottom"/>
            <w:gridSpan w:val="3"/>
          </w:tcPr>
          <w:p>
            <w:pPr>
              <w:jc w:val="center"/>
              <w:ind w:left="1550"/>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Michael Celano</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50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Michael Celano</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3"/>
              </w:rPr>
              <w:t>(Principal Financial and Accounting Officer)</w:t>
            </w:r>
          </w:p>
        </w:tc>
      </w:tr>
      <w:tr>
        <w:trPr>
          <w:trHeight w:val="431"/>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Joseph Truitt</w:t>
            </w:r>
          </w:p>
        </w:tc>
        <w:tc>
          <w:tcPr>
            <w:tcW w:w="5060" w:type="dxa"/>
            <w:vAlign w:val="bottom"/>
            <w:gridSpan w:val="3"/>
          </w:tcPr>
          <w:p>
            <w:pPr>
              <w:jc w:val="center"/>
              <w:ind w:left="1550"/>
              <w:spacing w:after="0"/>
              <w:rPr>
                <w:sz w:val="20"/>
                <w:szCs w:val="20"/>
                <w:color w:val="auto"/>
              </w:rPr>
            </w:pPr>
            <w:r>
              <w:rPr>
                <w:rFonts w:ascii="Arial" w:cs="Arial" w:eastAsia="Arial" w:hAnsi="Arial"/>
                <w:sz w:val="18"/>
                <w:szCs w:val="18"/>
                <w:color w:val="auto"/>
                <w:w w:val="91"/>
              </w:rPr>
              <w:t>Chairman, Board of Directors</w:t>
            </w:r>
          </w:p>
        </w:tc>
      </w:tr>
      <w:tr>
        <w:trPr>
          <w:trHeight w:val="224"/>
        </w:trPr>
        <w:tc>
          <w:tcPr>
            <w:tcW w:w="50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Joseph Truitt</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Peter Barrett</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Peter Barrett</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Frank E. Thomas</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Frank E. Thomas</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Jonathan Leff</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Jonathan Leff</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1"/>
        </w:trPr>
        <w:tc>
          <w:tcPr>
            <w:tcW w:w="5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Thomas E. Hamilton</w:t>
            </w:r>
          </w:p>
        </w:tc>
        <w:tc>
          <w:tcPr>
            <w:tcW w:w="5060" w:type="dxa"/>
            <w:vAlign w:val="bottom"/>
            <w:gridSpan w:val="3"/>
          </w:tcPr>
          <w:p>
            <w:pPr>
              <w:jc w:val="center"/>
              <w:ind w:left="1530"/>
              <w:spacing w:after="0"/>
              <w:rPr>
                <w:sz w:val="20"/>
                <w:szCs w:val="20"/>
                <w:color w:val="auto"/>
              </w:rPr>
            </w:pPr>
            <w:r>
              <w:rPr>
                <w:rFonts w:ascii="Arial" w:cs="Arial" w:eastAsia="Arial" w:hAnsi="Arial"/>
                <w:sz w:val="18"/>
                <w:szCs w:val="18"/>
                <w:color w:val="auto"/>
                <w:w w:val="95"/>
              </w:rPr>
              <w:t>Director</w:t>
            </w:r>
          </w:p>
        </w:tc>
      </w:tr>
      <w:tr>
        <w:trPr>
          <w:trHeight w:val="224"/>
        </w:trPr>
        <w:tc>
          <w:tcPr>
            <w:tcW w:w="50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Thomas E. Hamilton</w:t>
            </w: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ectPr>
          <w:pgSz w:w="11900" w:h="16838" w:orient="portrait"/>
          <w:cols w:equalWidth="0" w:num="1">
            <w:col w:w="11120"/>
          </w:cols>
          <w:pgMar w:left="320" w:top="459" w:right="4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AGREEMENT</w:t>
      </w:r>
    </w:p>
    <w:p>
      <w:pPr>
        <w:spacing w:after="0" w:line="229"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November 10,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As further set forth in this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xml:space="preserve">), Larimar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proposes to issue and sell from time to time through Guggenheim Securities, LLC (the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xml:space="preserve">), as sales agent, shares of the Company’s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having an aggregate gross offering price of up to $50,000,000 (such shares of Common Stock to be sold pursuant to this Agreement,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on terms set forth herein. Notwithstanding anything to the contrary contained herein, the parties hereto agree that compliance with the limitation set forth in Section 2 of this Agreement on the number of shares of Shares issued and sold under this Agreement shall be the sole responsibility of the Company, and the Agent shall have no obligation in connection with such compliance.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confirms its agreement with the Agent with respect to the sale of the Shares.</w:t>
      </w:r>
    </w:p>
    <w:p>
      <w:pPr>
        <w:spacing w:after="0" w:line="225" w:lineRule="exact"/>
        <w:rPr>
          <w:sz w:val="20"/>
          <w:szCs w:val="20"/>
          <w:color w:val="auto"/>
        </w:rPr>
      </w:pPr>
    </w:p>
    <w:p>
      <w:pPr>
        <w:ind w:left="620" w:hanging="184"/>
        <w:spacing w:after="0"/>
        <w:tabs>
          <w:tab w:leader="none" w:pos="620" w:val="left"/>
        </w:tabs>
        <w:numPr>
          <w:ilvl w:val="0"/>
          <w:numId w:val="4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Representations and Warranties of the Company.</w:t>
      </w:r>
    </w:p>
    <w:p>
      <w:pPr>
        <w:spacing w:after="0" w:line="225" w:lineRule="exact"/>
        <w:rPr>
          <w:rFonts w:ascii="Arial" w:cs="Arial" w:eastAsia="Arial" w:hAnsi="Arial"/>
          <w:sz w:val="18"/>
          <w:szCs w:val="18"/>
          <w:i w:val="1"/>
          <w:iCs w:val="1"/>
          <w:color w:val="auto"/>
        </w:rPr>
      </w:pPr>
    </w:p>
    <w:p>
      <w:pPr>
        <w:ind w:right="180" w:firstLine="987"/>
        <w:spacing w:after="0" w:line="259" w:lineRule="auto"/>
        <w:tabs>
          <w:tab w:leader="none" w:pos="12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Agent that, unless such representation or warranty specifies otherwise, as of the date of this Agreement, each Representation Date (as defined in Section 3(o) below), each date on which a Placement Notice (as defined in Section 2(a)(i) below) is given (each, a “</w:t>
      </w:r>
      <w:r>
        <w:rPr>
          <w:rFonts w:ascii="Arial" w:cs="Arial" w:eastAsia="Arial" w:hAnsi="Arial"/>
          <w:sz w:val="18"/>
          <w:szCs w:val="18"/>
          <w:b w:val="1"/>
          <w:bCs w:val="1"/>
          <w:i w:val="1"/>
          <w:iCs w:val="1"/>
          <w:color w:val="auto"/>
        </w:rPr>
        <w:t>Notice Date</w:t>
      </w:r>
      <w:r>
        <w:rPr>
          <w:rFonts w:ascii="Arial" w:cs="Arial" w:eastAsia="Arial" w:hAnsi="Arial"/>
          <w:sz w:val="18"/>
          <w:szCs w:val="18"/>
          <w:color w:val="auto"/>
        </w:rPr>
        <w:t>”), each date on which Shares are sold hereunder (each, an “</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and each Settlement Date (as defined in Section 2(a)(vii) below) as follows:</w:t>
      </w:r>
    </w:p>
    <w:p>
      <w:pPr>
        <w:spacing w:after="0" w:line="186" w:lineRule="exact"/>
        <w:rPr>
          <w:rFonts w:ascii="Arial" w:cs="Arial" w:eastAsia="Arial" w:hAnsi="Arial"/>
          <w:sz w:val="18"/>
          <w:szCs w:val="18"/>
          <w:color w:val="auto"/>
        </w:rPr>
      </w:pPr>
    </w:p>
    <w:p>
      <w:pPr>
        <w:ind w:right="60" w:firstLine="1428"/>
        <w:spacing w:after="0" w:line="289" w:lineRule="auto"/>
        <w:tabs>
          <w:tab w:leader="none" w:pos="1647"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t>Registration Statement and Prospectus</w:t>
      </w:r>
      <w:r>
        <w:rPr>
          <w:rFonts w:ascii="Arial" w:cs="Arial" w:eastAsia="Arial" w:hAnsi="Arial"/>
          <w:sz w:val="16"/>
          <w:szCs w:val="16"/>
          <w:color w:val="auto"/>
        </w:rPr>
        <w:t>. The Company will file, in accordance with the provisions of the Securities Act of 1933,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amended, and the rules and regulations thereunder (collectively,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xml:space="preserve">),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S-3, including a base prospectus, relating to certain securities, including the Common Stock,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The Company has prepared a prospectus included as part of such registration statement specifically relating to the Shares (the </w:t>
      </w:r>
      <w:r>
        <w:rPr>
          <w:rFonts w:ascii="Arial" w:cs="Arial" w:eastAsia="Arial" w:hAnsi="Arial"/>
          <w:sz w:val="16"/>
          <w:szCs w:val="16"/>
          <w:b w:val="1"/>
          <w:bCs w:val="1"/>
          <w:i w:val="1"/>
          <w:iCs w:val="1"/>
          <w:color w:val="auto"/>
        </w:rPr>
        <w:t>“Sales Prospectus”</w:t>
      </w:r>
      <w:r>
        <w:rPr>
          <w:rFonts w:ascii="Arial" w:cs="Arial" w:eastAsia="Arial" w:hAnsi="Arial"/>
          <w:sz w:val="16"/>
          <w:szCs w:val="16"/>
          <w:color w:val="auto"/>
        </w:rPr>
        <w:t>). The Company has furnished to the Agent, for use by the Agent, copies of the Sales Prospectus included as part of such registration statement, as supplemented by any prospectus supplement, relating to the Shares. Except where the context otherwise requires, such registration statement, as amended when it becomes effective, including all documents filed as part thereof or incorporated by reference therein, and including any</w:t>
      </w:r>
    </w:p>
    <w:p>
      <w:pPr>
        <w:sectPr>
          <w:pgSz w:w="11900" w:h="16838" w:orient="portrait"/>
          <w:cols w:equalWidth="0" w:num="1">
            <w:col w:w="11020"/>
          </w:cols>
          <w:pgMar w:left="440" w:top="121" w:right="439" w:bottom="1440" w:gutter="0" w:footer="0" w:header="0"/>
        </w:sectPr>
      </w:pPr>
    </w:p>
    <w:bookmarkStart w:id="66" w:name="page67"/>
    <w:bookmarkEnd w:id="66"/>
    <w:p>
      <w:pPr>
        <w:ind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contained in a Prospectus (as defined below) subsequently filed with the Commission pursuant to Rule 424(b) under the Securities Act or deemed to be a part of such registration statement pursuant to Rule 430B or 462(b) under the Securities Act, is herein called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Statement.” </w:t>
      </w:r>
      <w:r>
        <w:rPr>
          <w:rFonts w:ascii="Arial" w:cs="Arial" w:eastAsia="Arial" w:hAnsi="Arial"/>
          <w:sz w:val="17"/>
          <w:szCs w:val="17"/>
          <w:color w:val="auto"/>
        </w:rPr>
        <w:t>The Sales Prospectus, including all documents incorporated therein by reference, included in the Registration Statement, as it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supplemented by any prospectus supplement, in the form in which the Sales Prospectus, as supplemented by any prospectus supplement, if applicable, has most recently been filed by the Company with the Commission pursuant to Rule 424(b) under the Securities Act, together with any “</w:t>
      </w:r>
      <w:r>
        <w:rPr>
          <w:rFonts w:ascii="Arial" w:cs="Arial" w:eastAsia="Arial" w:hAnsi="Arial"/>
          <w:sz w:val="17"/>
          <w:szCs w:val="17"/>
          <w:b w:val="1"/>
          <w:bCs w:val="1"/>
          <w:i w:val="1"/>
          <w:iCs w:val="1"/>
          <w:color w:val="auto"/>
        </w:rPr>
        <w:t>issuer free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writing prospectus</w:t>
      </w:r>
      <w:r>
        <w:rPr>
          <w:rFonts w:ascii="Arial" w:cs="Arial" w:eastAsia="Arial" w:hAnsi="Arial"/>
          <w:sz w:val="17"/>
          <w:szCs w:val="17"/>
          <w:color w:val="auto"/>
        </w:rPr>
        <w:t>,” as defined in Rule 433 under the Securities Act (</w:t>
      </w:r>
      <w:r>
        <w:rPr>
          <w:rFonts w:ascii="Arial" w:cs="Arial" w:eastAsia="Arial" w:hAnsi="Arial"/>
          <w:sz w:val="17"/>
          <w:szCs w:val="17"/>
          <w:b w:val="1"/>
          <w:bCs w:val="1"/>
          <w:i w:val="1"/>
          <w:iCs w:val="1"/>
          <w:color w:val="auto"/>
        </w:rPr>
        <w:t>“Rule 433”</w:t>
      </w:r>
      <w:r>
        <w:rPr>
          <w:rFonts w:ascii="Arial" w:cs="Arial" w:eastAsia="Arial" w:hAnsi="Arial"/>
          <w:sz w:val="17"/>
          <w:szCs w:val="17"/>
          <w:color w:val="auto"/>
        </w:rPr>
        <w:t>), relating to the Shares, if any, that (i) is required to be filed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Arial" w:cs="Arial" w:eastAsia="Arial" w:hAnsi="Arial"/>
          <w:sz w:val="17"/>
          <w:szCs w:val="17"/>
          <w:b w:val="1"/>
          <w:bCs w:val="1"/>
          <w:i w:val="1"/>
          <w:iCs w:val="1"/>
          <w:color w:val="auto"/>
        </w:rPr>
        <w:t>EDGAR”</w:t>
      </w:r>
      <w:r>
        <w:rPr>
          <w:rFonts w:ascii="Arial" w:cs="Arial" w:eastAsia="Arial" w:hAnsi="Arial"/>
          <w:sz w:val="17"/>
          <w:szCs w:val="17"/>
          <w:color w:val="auto"/>
        </w:rPr>
        <w:t>).</w:t>
      </w:r>
    </w:p>
    <w:p>
      <w:pPr>
        <w:spacing w:after="0" w:line="184" w:lineRule="exact"/>
        <w:rPr>
          <w:sz w:val="20"/>
          <w:szCs w:val="20"/>
          <w:color w:val="auto"/>
        </w:rPr>
      </w:pPr>
    </w:p>
    <w:p>
      <w:pPr>
        <w:ind w:right="20" w:firstLine="1428"/>
        <w:spacing w:after="0" w:line="285" w:lineRule="auto"/>
        <w:tabs>
          <w:tab w:leader="none" w:pos="1697"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Continuing Effectiveness of Registration Statement</w:t>
      </w:r>
      <w:r>
        <w:rPr>
          <w:rFonts w:ascii="Arial" w:cs="Arial" w:eastAsia="Arial" w:hAnsi="Arial"/>
          <w:sz w:val="16"/>
          <w:szCs w:val="16"/>
          <w:color w:val="auto"/>
        </w:rPr>
        <w:t>. The Registration Statement and any Rule 462(b) Registration Statement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declared effective by the Commission under the Securities Act. The Company will have complied, to the Commission’s satisfaction, with all requests of the Commission for additional or supplemental information. No stop order suspending the effectiveness of the Registration Statement or any Rule 462(b) Registration Statement shall be in effect and no proceedings for such purpose shall have been instituted, be pending or, to the knowledge of the Company, be contemplated or threatened by the Commission. The Company meets the requirements for use of Form S-3 under the Securities Act.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sale of the Shares hereunder meets the requirements of General Instruction I.B.1. or I.B.6 of Form S-3.</w:t>
      </w:r>
    </w:p>
    <w:p>
      <w:pPr>
        <w:spacing w:after="0" w:line="210" w:lineRule="exact"/>
        <w:rPr>
          <w:rFonts w:ascii="Arial" w:cs="Arial" w:eastAsia="Arial" w:hAnsi="Arial"/>
          <w:sz w:val="16"/>
          <w:szCs w:val="16"/>
          <w:color w:val="auto"/>
        </w:rPr>
      </w:pPr>
    </w:p>
    <w:p>
      <w:pPr>
        <w:ind w:firstLine="1428"/>
        <w:spacing w:after="0" w:line="270" w:lineRule="auto"/>
        <w:tabs>
          <w:tab w:leader="none" w:pos="1747"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w:t>
      </w:r>
      <w:r>
        <w:rPr>
          <w:rFonts w:ascii="Arial" w:cs="Arial" w:eastAsia="Arial" w:hAnsi="Arial"/>
          <w:sz w:val="17"/>
          <w:szCs w:val="17"/>
          <w:color w:val="auto"/>
        </w:rPr>
        <w:t>. The Prospectus when filed, and as amended or supplemented, if applicable,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comply in all material respects with the Securities Act. Each of the Registration Statement, any Rule 462(b) Registration Statement, the Prospectus and any post-effective amendments or supplements thereto, at the time it becomes effective or its date, as applicable, and as of each Settlement Date (as defined in Section 2(a)(vii) below), complied in all material respects with the Securities Act, and as of each effective date and each Settlement Date, will not contain any untrue statement of a material fact or omit to state a material fact required to be stated therein or necessary to make the statements therein not misleading. The Prospectus, as amended or supplemented, as of its date, and, as of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7" w:name="page68"/>
    <w:bookmarkEnd w:id="6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187" w:lineRule="exact"/>
        <w:rPr>
          <w:sz w:val="20"/>
          <w:szCs w:val="20"/>
          <w:color w:val="auto"/>
        </w:rPr>
      </w:pPr>
    </w:p>
    <w:p>
      <w:pPr>
        <w:ind w:right="80" w:firstLine="1428"/>
        <w:spacing w:after="0" w:line="279" w:lineRule="auto"/>
        <w:tabs>
          <w:tab w:leader="none" w:pos="1737"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Eligible Issuer</w:t>
      </w:r>
      <w:r>
        <w:rPr>
          <w:rFonts w:ascii="Arial" w:cs="Arial" w:eastAsia="Arial" w:hAnsi="Arial"/>
          <w:sz w:val="17"/>
          <w:szCs w:val="17"/>
          <w:color w:val="auto"/>
        </w:rPr>
        <w:t>. The Company is not an “ineligible issuer” (as defined in Rule 405 under the Securities Act) as of the eligibility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171" w:lineRule="exact"/>
        <w:rPr>
          <w:rFonts w:ascii="Arial" w:cs="Arial" w:eastAsia="Arial" w:hAnsi="Arial"/>
          <w:sz w:val="17"/>
          <w:szCs w:val="17"/>
          <w:color w:val="auto"/>
        </w:rPr>
      </w:pPr>
    </w:p>
    <w:p>
      <w:pPr>
        <w:ind w:left="1680" w:hanging="252"/>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428"/>
        <w:spacing w:after="0" w:line="268" w:lineRule="auto"/>
        <w:tabs>
          <w:tab w:leader="none" w:pos="1737"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The historical financial statements (including the related notes and supporting schedules) to be included or</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by reference, in the Registration Statement, and the Prospectus comply as to form in all material respects with the requirements of Regulation S-X under the Securities Act (</w:t>
      </w:r>
      <w:r>
        <w:rPr>
          <w:rFonts w:ascii="Arial" w:cs="Arial" w:eastAsia="Arial" w:hAnsi="Arial"/>
          <w:sz w:val="17"/>
          <w:szCs w:val="17"/>
          <w:b w:val="1"/>
          <w:bCs w:val="1"/>
          <w:i w:val="1"/>
          <w:iCs w:val="1"/>
          <w:color w:val="auto"/>
        </w:rPr>
        <w:t>“Regulation S-X”</w:t>
      </w:r>
      <w:r>
        <w:rPr>
          <w:rFonts w:ascii="Arial" w:cs="Arial" w:eastAsia="Arial" w:hAnsi="Arial"/>
          <w:sz w:val="17"/>
          <w:szCs w:val="17"/>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and Prospectus regarding “non-GAAP financial measures” (as such term is defined by the rules and regulations of the Commission) comply with Regulation G of the Exchange Act and Item 10 of Regulation S-K of the Act, to the extent applicable. There are no financial statements (historical or pro forma) that are required to be included in the Registration Statement or the Prospectus that are not so included as required. The interactive data in eXtensible Business Reporting Language (</w:t>
      </w:r>
      <w:r>
        <w:rPr>
          <w:rFonts w:ascii="Arial" w:cs="Arial" w:eastAsia="Arial" w:hAnsi="Arial"/>
          <w:sz w:val="17"/>
          <w:szCs w:val="17"/>
          <w:b w:val="1"/>
          <w:bCs w:val="1"/>
          <w:i w:val="1"/>
          <w:iCs w:val="1"/>
          <w:color w:val="auto"/>
        </w:rPr>
        <w:t>“XBRL”</w:t>
      </w:r>
      <w:r>
        <w:rPr>
          <w:rFonts w:ascii="Arial" w:cs="Arial" w:eastAsia="Arial" w:hAnsi="Arial"/>
          <w:sz w:val="17"/>
          <w:szCs w:val="17"/>
          <w:color w:val="auto"/>
        </w:rPr>
        <w:t>)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186" w:lineRule="exact"/>
        <w:rPr>
          <w:rFonts w:ascii="Arial" w:cs="Arial" w:eastAsia="Arial" w:hAnsi="Arial"/>
          <w:sz w:val="17"/>
          <w:szCs w:val="17"/>
          <w:color w:val="auto"/>
        </w:rPr>
      </w:pPr>
    </w:p>
    <w:p>
      <w:pPr>
        <w:ind w:right="40" w:firstLine="1428"/>
        <w:spacing w:after="0" w:line="293" w:lineRule="auto"/>
        <w:tabs>
          <w:tab w:leader="none" w:pos="1787"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No Off-Balance Sheet Transactions</w:t>
      </w:r>
      <w:r>
        <w:rPr>
          <w:rFonts w:ascii="Arial" w:cs="Arial" w:eastAsia="Arial" w:hAnsi="Arial"/>
          <w:sz w:val="16"/>
          <w:szCs w:val="16"/>
          <w:color w:val="auto"/>
        </w:rPr>
        <w:t>. There are no transactions, arrangements and other relationships between and/or among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and/or, to the knowledge of the Company, any of its affiliates and any unconsolidated entity, including, but not limited to, any structural finance, special purpose or limited purpose entity (each, an “</w:t>
      </w:r>
      <w:r>
        <w:rPr>
          <w:rFonts w:ascii="Arial" w:cs="Arial" w:eastAsia="Arial" w:hAnsi="Arial"/>
          <w:sz w:val="16"/>
          <w:szCs w:val="16"/>
          <w:b w:val="1"/>
          <w:bCs w:val="1"/>
          <w:i w:val="1"/>
          <w:iCs w:val="1"/>
          <w:color w:val="auto"/>
        </w:rPr>
        <w:t>Off-Balance Sheet Transaction”</w:t>
      </w:r>
      <w:r>
        <w:rPr>
          <w:rFonts w:ascii="Arial" w:cs="Arial" w:eastAsia="Arial" w:hAnsi="Arial"/>
          <w:sz w:val="16"/>
          <w:szCs w:val="16"/>
          <w:color w:val="auto"/>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8" w:name="page69"/>
    <w:bookmarkEnd w:id="68"/>
    <w:p>
      <w:pPr>
        <w:jc w:val="both"/>
        <w:ind w:right="140" w:firstLine="1428"/>
        <w:spacing w:after="0" w:line="263" w:lineRule="auto"/>
        <w:tabs>
          <w:tab w:leader="none" w:pos="1837"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Auditor Independence. </w:t>
      </w:r>
      <w:r>
        <w:rPr>
          <w:rFonts w:ascii="Arial" w:cs="Arial" w:eastAsia="Arial" w:hAnsi="Arial"/>
          <w:sz w:val="18"/>
          <w:szCs w:val="18"/>
          <w:color w:val="auto"/>
        </w:rPr>
        <w:t>PricewaterhouseCoopers LLP, who have certified certain financial statements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subsidiary (the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whose report appears in the Registration Statement and the Prospectus, are independent public accountants as required by the Securities Act and the Public Accounting Oversight Board.</w:t>
      </w:r>
    </w:p>
    <w:p>
      <w:pPr>
        <w:spacing w:after="0" w:line="183" w:lineRule="exact"/>
        <w:rPr>
          <w:rFonts w:ascii="Arial" w:cs="Arial" w:eastAsia="Arial" w:hAnsi="Arial"/>
          <w:sz w:val="18"/>
          <w:szCs w:val="18"/>
          <w:color w:val="auto"/>
        </w:rPr>
      </w:pPr>
    </w:p>
    <w:p>
      <w:pPr>
        <w:ind w:right="80" w:firstLine="1428"/>
        <w:spacing w:after="0" w:line="286" w:lineRule="auto"/>
        <w:tabs>
          <w:tab w:leader="none" w:pos="1737"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No Material Adverse Effect</w:t>
      </w:r>
      <w:r>
        <w:rPr>
          <w:rFonts w:ascii="Arial" w:cs="Arial" w:eastAsia="Arial" w:hAnsi="Arial"/>
          <w:sz w:val="16"/>
          <w:szCs w:val="16"/>
          <w:color w:val="auto"/>
        </w:rPr>
        <w:t>. The Company and its Subsidiary (as listed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4</w:t>
      </w:r>
      <w:r>
        <w:rPr>
          <w:rFonts w:ascii="Arial" w:cs="Arial" w:eastAsia="Arial" w:hAnsi="Arial"/>
          <w:sz w:val="16"/>
          <w:szCs w:val="16"/>
          <w:i w:val="1"/>
          <w:iCs w:val="1"/>
          <w:color w:val="auto"/>
        </w:rPr>
        <w:t xml:space="preserve"> </w:t>
      </w:r>
      <w:r>
        <w:rPr>
          <w:rFonts w:ascii="Arial" w:cs="Arial" w:eastAsia="Arial" w:hAnsi="Arial"/>
          <w:sz w:val="16"/>
          <w:szCs w:val="16"/>
          <w:color w:val="auto"/>
        </w:rPr>
        <w:t>hereto) have been duly organized,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validly existing as a corporation and in good standing under the laws of their respective jurisdictions of organization. The Company and its Subsidiary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reasonably be expected to have a Material Adverse Effect.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Subsidiary taken as a whole, or (ii) the ability of the Company to perform its obligations under this Agreement, including this issuance and sale of the Shares, or to consummate the transactions contemplated by this Agreement. The Company does not own or control, directly or indirectly, any corporation, association or other entity other than the subsidiary listed in Exhibit 21.1 to the Company’s Annual Report on Form 10-K for the fiscal year ended December 31, 2021 except for subsidiaries that in the aggregate would not constitute a “significant subsidiary” (as defined in Rule 405 under the Securities Act). The Subsidiary is not a </w:t>
      </w:r>
      <w:r>
        <w:rPr>
          <w:rFonts w:ascii="Arial" w:cs="Arial" w:eastAsia="Arial" w:hAnsi="Arial"/>
          <w:sz w:val="16"/>
          <w:szCs w:val="16"/>
          <w:b w:val="1"/>
          <w:bCs w:val="1"/>
          <w:i w:val="1"/>
          <w:iCs w:val="1"/>
          <w:color w:val="auto"/>
        </w:rPr>
        <w:t>“significant subsidiary”</w:t>
      </w:r>
      <w:r>
        <w:rPr>
          <w:rFonts w:ascii="Arial" w:cs="Arial" w:eastAsia="Arial" w:hAnsi="Arial"/>
          <w:sz w:val="16"/>
          <w:szCs w:val="16"/>
          <w:color w:val="auto"/>
        </w:rPr>
        <w:t xml:space="preserve"> (as defined in Rule 405 under the Securities Act).</w:t>
      </w:r>
    </w:p>
    <w:p>
      <w:pPr>
        <w:spacing w:after="0" w:line="170" w:lineRule="exact"/>
        <w:rPr>
          <w:rFonts w:ascii="Arial" w:cs="Arial" w:eastAsia="Arial" w:hAnsi="Arial"/>
          <w:sz w:val="16"/>
          <w:szCs w:val="16"/>
          <w:color w:val="auto"/>
        </w:rPr>
      </w:pPr>
    </w:p>
    <w:p>
      <w:pPr>
        <w:ind w:firstLine="1428"/>
        <w:spacing w:after="0" w:line="270" w:lineRule="auto"/>
        <w:tabs>
          <w:tab w:leader="none" w:pos="1687"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Company has an authorized capitalization as set forth in each of the Registration Statement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and all of the issued shares of the Company have been duly authorized and validly issued, are fully paid and non-assessable, conform in all material respects to the description thereof contained in the Registration Statement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and the Prospectus. All of the issued shares of capital stock or other ownership interest of the Company’s subsidiary have been duly authorized and validly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69" w:name="page70"/>
    <w:bookmarkEnd w:id="69"/>
    <w:p>
      <w:pPr>
        <w:ind w:left="4" w:right="20" w:firstLine="1428"/>
        <w:spacing w:after="0" w:line="257" w:lineRule="auto"/>
        <w:tabs>
          <w:tab w:leader="none" w:pos="1741"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Authorization, Valid Issuance and Non-Assessiblity of Shares</w:t>
      </w:r>
      <w:r>
        <w:rPr>
          <w:rFonts w:ascii="Arial" w:cs="Arial" w:eastAsia="Arial" w:hAnsi="Arial"/>
          <w:sz w:val="18"/>
          <w:szCs w:val="18"/>
          <w:color w:val="auto"/>
        </w:rPr>
        <w:t>. The Shares to be issued and sold by the Company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 issued in compliance with federal and state securities laws and will be free of statutory and contractual preemptive rights, rights of first refusal and similar rights.</w:t>
      </w:r>
    </w:p>
    <w:p>
      <w:pPr>
        <w:spacing w:after="0" w:line="187" w:lineRule="exact"/>
        <w:rPr>
          <w:rFonts w:ascii="Arial" w:cs="Arial" w:eastAsia="Arial" w:hAnsi="Arial"/>
          <w:sz w:val="18"/>
          <w:szCs w:val="18"/>
          <w:color w:val="auto"/>
        </w:rPr>
      </w:pPr>
    </w:p>
    <w:p>
      <w:pPr>
        <w:ind w:left="4" w:right="260" w:firstLine="1428"/>
        <w:spacing w:after="0" w:line="342" w:lineRule="auto"/>
        <w:tabs>
          <w:tab w:leader="none" w:pos="1791"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Authority to Enter into this Agreement</w:t>
      </w:r>
      <w:r>
        <w:rPr>
          <w:rFonts w:ascii="Arial" w:cs="Arial" w:eastAsia="Arial" w:hAnsi="Arial"/>
          <w:sz w:val="16"/>
          <w:szCs w:val="16"/>
          <w:color w:val="auto"/>
        </w:rPr>
        <w:t>. The Company has all requisite corporate power and authority to execute, deliver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its obligations under this Agreement. This Agreement has been duly and validly authorized, executed and delivered by the Company.</w:t>
      </w:r>
    </w:p>
    <w:p>
      <w:pPr>
        <w:spacing w:after="0" w:line="123" w:lineRule="exact"/>
        <w:rPr>
          <w:rFonts w:ascii="Arial" w:cs="Arial" w:eastAsia="Arial" w:hAnsi="Arial"/>
          <w:sz w:val="16"/>
          <w:szCs w:val="16"/>
          <w:color w:val="auto"/>
        </w:rPr>
      </w:pPr>
    </w:p>
    <w:p>
      <w:pPr>
        <w:ind w:left="4" w:right="60" w:firstLine="1428"/>
        <w:spacing w:after="0" w:line="284" w:lineRule="auto"/>
        <w:tabs>
          <w:tab w:leader="none" w:pos="1841" w:val="left"/>
        </w:tabs>
        <w:numPr>
          <w:ilvl w:val="1"/>
          <w:numId w:val="52"/>
        </w:numPr>
        <w:rPr>
          <w:rFonts w:ascii="Arial" w:cs="Arial" w:eastAsia="Arial" w:hAnsi="Arial"/>
          <w:sz w:val="16"/>
          <w:szCs w:val="16"/>
          <w:color w:val="auto"/>
        </w:rPr>
      </w:pPr>
      <w:r>
        <w:rPr>
          <w:rFonts w:ascii="Arial" w:cs="Arial" w:eastAsia="Arial" w:hAnsi="Arial"/>
          <w:sz w:val="16"/>
          <w:szCs w:val="16"/>
          <w:i w:val="1"/>
          <w:iCs w:val="1"/>
          <w:color w:val="auto"/>
        </w:rPr>
        <w:t>Non-Contravention</w:t>
      </w:r>
      <w:r>
        <w:rPr>
          <w:rFonts w:ascii="Arial" w:cs="Arial" w:eastAsia="Arial" w:hAnsi="Arial"/>
          <w:sz w:val="16"/>
          <w:szCs w:val="16"/>
          <w:color w:val="auto"/>
        </w:rPr>
        <w:t>. The issue and sale of the Shares, the execution, delivery and performance of this Agreement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consummation of the transactions contemplated hereby and the application of the proceeds from the sale of the Shares as described under “Use of Proceeds” in the Registration Statement and the Prospectus will not (i) conflict with or result in a breach or violation of any of the terms or provisions of, impose any lien, charge or encumbrance upon any property or assets of the Company and its subsidiary, or constitute a default under, any indenture, mortgage, deed of trust, loan agreement, license, lease or other agreement or instrument to which the Company or its subsidiary is a party or by which the Company or its subsidiary is bound or to which any of the property or assets of the Company or its subsidiary is subject; (ii) result in any violation of the provisions of the certificate of incorporation or by-laws (or similar organizational documents) of the Company or its subsidiary; or</w:t>
      </w:r>
    </w:p>
    <w:p>
      <w:pPr>
        <w:spacing w:after="0" w:line="2" w:lineRule="exact"/>
        <w:rPr>
          <w:rFonts w:ascii="Arial" w:cs="Arial" w:eastAsia="Arial" w:hAnsi="Arial"/>
          <w:sz w:val="16"/>
          <w:szCs w:val="16"/>
          <w:color w:val="auto"/>
        </w:rPr>
      </w:pPr>
    </w:p>
    <w:p>
      <w:pPr>
        <w:jc w:val="both"/>
        <w:ind w:left="4" w:right="20" w:hanging="4"/>
        <w:spacing w:after="0" w:line="253" w:lineRule="auto"/>
        <w:tabs>
          <w:tab w:leader="none" w:pos="319"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 in any violation of any statute or any judgment, order, decree, rule or regulation of any court or governmental agency or body having jurisdiction over the Company or its subsidiary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92" w:lineRule="exact"/>
        <w:rPr>
          <w:rFonts w:ascii="Arial" w:cs="Arial" w:eastAsia="Arial" w:hAnsi="Arial"/>
          <w:sz w:val="18"/>
          <w:szCs w:val="18"/>
          <w:color w:val="auto"/>
        </w:rPr>
      </w:pPr>
    </w:p>
    <w:p>
      <w:pPr>
        <w:ind w:left="4" w:right="20" w:firstLine="1428"/>
        <w:spacing w:after="0" w:line="271" w:lineRule="auto"/>
        <w:tabs>
          <w:tab w:leader="none" w:pos="1831"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No Consent or Approval Required</w:t>
      </w:r>
      <w:r>
        <w:rPr>
          <w:rFonts w:ascii="Arial" w:cs="Arial" w:eastAsia="Arial" w:hAnsi="Arial"/>
          <w:sz w:val="17"/>
          <w:szCs w:val="17"/>
          <w:color w:val="auto"/>
        </w:rPr>
        <w:t>. No consent, approval, authorization or order of, or filing, registration or qualification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court or governmental agency or body having jurisdiction over the Company or its subsidiary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xml:space="preserve">) in connection with the sale of the Shares by the Agent; and (iii) the inclusion of the Shares on the Nasdaq Global Market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firstLine="1428"/>
        <w:spacing w:after="0" w:line="257" w:lineRule="auto"/>
        <w:tabs>
          <w:tab w:leader="none" w:pos="1781"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 The Company and its subsidiary maintain a system of “internal controls over financial reporting”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13a-15(f) of the Exchange Act) designed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70" w:name="page71"/>
    <w:bookmarkEnd w:id="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recorded as necessary to permit preparation of the Company’s financial statements in conformity with generally accepted accounting principles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or the Prospectus, as of the date of the most recent balance sheet of the Company and its consolidated subsidiary audited by PricewaterhouseCoopers LLP, there were no “material weaknesses” (as defined by the Public Company Accounting Oversight Board) in the Company’s internal controls over financial reporting, or any fraud, whether or not material, that involves management or other employees of the Company and its subsidiary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Arial" w:cs="Arial" w:eastAsia="Arial" w:hAnsi="Arial"/>
          <w:sz w:val="17"/>
          <w:szCs w:val="17"/>
          <w:b w:val="1"/>
          <w:bCs w:val="1"/>
          <w:i w:val="1"/>
          <w:iCs w:val="1"/>
          <w:color w:val="auto"/>
        </w:rPr>
        <w:t>Exchange Rules</w:t>
      </w:r>
      <w:r>
        <w:rPr>
          <w:rFonts w:ascii="Arial" w:cs="Arial" w:eastAsia="Arial" w:hAnsi="Arial"/>
          <w:sz w:val="17"/>
          <w:szCs w:val="17"/>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82" w:lineRule="exact"/>
        <w:rPr>
          <w:sz w:val="20"/>
          <w:szCs w:val="20"/>
          <w:color w:val="auto"/>
        </w:rPr>
      </w:pPr>
    </w:p>
    <w:p>
      <w:pPr>
        <w:ind w:right="200" w:firstLine="1428"/>
        <w:spacing w:after="0" w:line="272" w:lineRule="auto"/>
        <w:tabs>
          <w:tab w:leader="none" w:pos="1827"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Except as disclosed in the Registration Statement or the Prospectus, the Company and its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as required by Rule 13a-15 of the Exchange Act.</w:t>
      </w:r>
    </w:p>
    <w:p>
      <w:pPr>
        <w:spacing w:after="0" w:line="177" w:lineRule="exact"/>
        <w:rPr>
          <w:rFonts w:ascii="Arial" w:cs="Arial" w:eastAsia="Arial" w:hAnsi="Arial"/>
          <w:sz w:val="17"/>
          <w:szCs w:val="17"/>
          <w:color w:val="auto"/>
        </w:rPr>
      </w:pPr>
    </w:p>
    <w:p>
      <w:pPr>
        <w:ind w:right="200" w:firstLine="1428"/>
        <w:spacing w:after="0" w:line="255" w:lineRule="auto"/>
        <w:tabs>
          <w:tab w:leader="none" w:pos="187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Critical Accounting Policies</w:t>
      </w:r>
      <w:r>
        <w:rPr>
          <w:rFonts w:ascii="Arial" w:cs="Arial" w:eastAsia="Arial" w:hAnsi="Arial"/>
          <w:sz w:val="18"/>
          <w:szCs w:val="18"/>
          <w:color w:val="auto"/>
        </w:rPr>
        <w:t>. The section entitled “Critical Accounting Policies and Significant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 the Registration Statement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Arial" w:cs="Arial" w:eastAsia="Arial" w:hAnsi="Arial"/>
          <w:sz w:val="18"/>
          <w:szCs w:val="18"/>
          <w:b w:val="1"/>
          <w:bCs w:val="1"/>
          <w:i w:val="1"/>
          <w:iCs w:val="1"/>
          <w:color w:val="auto"/>
        </w:rPr>
        <w:t>Critical Accounting Policies</w:t>
      </w:r>
      <w:r>
        <w:rPr>
          <w:rFonts w:ascii="Arial" w:cs="Arial" w:eastAsia="Arial" w:hAnsi="Arial"/>
          <w:sz w:val="18"/>
          <w:szCs w:val="18"/>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71" w:name="page72"/>
    <w:bookmarkEnd w:id="71"/>
    <w:p>
      <w:pPr>
        <w:ind w:right="180" w:firstLine="1428"/>
        <w:spacing w:after="0" w:line="259" w:lineRule="auto"/>
        <w:tabs>
          <w:tab w:leader="none" w:pos="1927"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Compliance</w:t>
      </w:r>
      <w:r>
        <w:rPr>
          <w:rFonts w:ascii="Arial" w:cs="Arial" w:eastAsia="Arial" w:hAnsi="Arial"/>
          <w:sz w:val="18"/>
          <w:szCs w:val="18"/>
          <w:color w:val="auto"/>
        </w:rPr>
        <w:t>. There is and has been no failure on the part of the Company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186" w:lineRule="exact"/>
        <w:rPr>
          <w:rFonts w:ascii="Arial" w:cs="Arial" w:eastAsia="Arial" w:hAnsi="Arial"/>
          <w:sz w:val="18"/>
          <w:szCs w:val="18"/>
          <w:color w:val="auto"/>
        </w:rPr>
      </w:pPr>
    </w:p>
    <w:p>
      <w:pPr>
        <w:ind w:firstLine="1428"/>
        <w:spacing w:after="0" w:line="269" w:lineRule="auto"/>
        <w:tabs>
          <w:tab w:leader="none" w:pos="1827"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Exceptions</w:t>
      </w:r>
      <w:r>
        <w:rPr>
          <w:rFonts w:ascii="Arial" w:cs="Arial" w:eastAsia="Arial" w:hAnsi="Arial"/>
          <w:sz w:val="17"/>
          <w:szCs w:val="17"/>
          <w:color w:val="auto"/>
        </w:rPr>
        <w:t>. Except as would not, in the aggregate, reasonably be expected to have a Material Adverse Effect, since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latest audited financial statements included in the Registration Statement and the Prospectus, and, except as disclosed in the Registration Statement and the Prospectus, neither the Company nor its subsidiary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and the Prospectus (the </w:t>
      </w:r>
      <w:r>
        <w:rPr>
          <w:rFonts w:ascii="Arial" w:cs="Arial" w:eastAsia="Arial" w:hAnsi="Arial"/>
          <w:sz w:val="17"/>
          <w:szCs w:val="17"/>
          <w:b w:val="1"/>
          <w:bCs w:val="1"/>
          <w:i w:val="1"/>
          <w:iCs w:val="1"/>
          <w:color w:val="auto"/>
        </w:rPr>
        <w:t>“Specified Equity Plans”</w:t>
      </w:r>
      <w:r>
        <w:rPr>
          <w:rFonts w:ascii="Arial" w:cs="Arial" w:eastAsia="Arial" w:hAnsi="Arial"/>
          <w:sz w:val="17"/>
          <w:szCs w:val="17"/>
          <w:color w:val="auto"/>
        </w:rPr>
        <w:t>)),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since such date, except as disclosed in the Registration Statement and the Prospectus, there has not been any change in the share capital, long-term debt, net current assets or short-term debt of the Company or its subsidiary or any adverse change, or any development involving a prospective adverse change, in or affecting the condition (financial or otherwise), results of operations, shareholders’ equity, properties, management, business or prospects of the Company and its subsidiary taken as a whole.</w:t>
      </w:r>
    </w:p>
    <w:p>
      <w:pPr>
        <w:spacing w:after="0" w:line="178" w:lineRule="exact"/>
        <w:rPr>
          <w:rFonts w:ascii="Arial" w:cs="Arial" w:eastAsia="Arial" w:hAnsi="Arial"/>
          <w:sz w:val="17"/>
          <w:szCs w:val="17"/>
          <w:color w:val="auto"/>
        </w:rPr>
      </w:pPr>
    </w:p>
    <w:p>
      <w:pPr>
        <w:ind w:right="220" w:firstLine="1428"/>
        <w:spacing w:after="0" w:line="293" w:lineRule="auto"/>
        <w:tabs>
          <w:tab w:leader="none" w:pos="1777"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Valid Title</w:t>
      </w:r>
      <w:r>
        <w:rPr>
          <w:rFonts w:ascii="Arial" w:cs="Arial" w:eastAsia="Arial" w:hAnsi="Arial"/>
          <w:sz w:val="16"/>
          <w:szCs w:val="16"/>
          <w:color w:val="auto"/>
        </w:rPr>
        <w:t>. The Company and its subsidiary have good and marketable title in fee simple to all real property and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subsidiary. All assets held under lease by the Company and its subsidiary, that are material to the business of the Company, are held by them under valid, subsisting and enforceable leases, with such exceptions as do not materially interfere with the use made and proposed to be made of such assets by the Company and its subsidiary.</w:t>
      </w:r>
    </w:p>
    <w:p>
      <w:pPr>
        <w:spacing w:after="0" w:line="164" w:lineRule="exact"/>
        <w:rPr>
          <w:rFonts w:ascii="Arial" w:cs="Arial" w:eastAsia="Arial" w:hAnsi="Arial"/>
          <w:sz w:val="16"/>
          <w:szCs w:val="16"/>
          <w:color w:val="auto"/>
        </w:rPr>
      </w:pPr>
    </w:p>
    <w:p>
      <w:pPr>
        <w:ind w:right="60" w:firstLine="1428"/>
        <w:spacing w:after="0" w:line="254" w:lineRule="auto"/>
        <w:tabs>
          <w:tab w:leader="none" w:pos="1827"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The Company and its subsidiary owns, possesses, or can acquire on reasonable terms, all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necessary for the conduct of the Company’s and its subsidiary’s business as now conducted or as proposed to be conducted, as described in the Registration Statement and the Prospectus. Furthermore, (A) to the knowledge of the Company, there is no infringement, misappropriation or violation by third parties of any such Intellectual Property; (B) there is no pending or, to the knowledge of the Company, threatened, action, suit, proceeding or claim by others challenging the Company’s or its subsidiary’s rights in or to any such Intellectual Property, and the Company is unaware of any facts which would form a reasonable basis for any such claim; (C) the Intellectual Property owned by the Company and its subsidiary, and to the knowledge of the Company,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2" w:name="page73"/>
    <w:bookmarkEnd w:id="7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licensed to the Company and its subsidiary, in each case that is necessary for the conduct of the Company’s and its subsidiary’s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subsidiary infringes, misappropriates or otherwise violates any Intellectual Property or other proprietary rights of others, and neither the Company nor its subsidiary has received any written notice of such claim and the Company is unaware of any other fact which would form a reasonable basis for any such claim; (E) to the Company’s knowledge, no employee of the Company or its subsidiary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its subsidiary or actions undertaken by the employee while employed with the Company or its subsidiary; (F) with respect to the Intellectual Property that is necessary for the conduct of the Company’s and its subsidiary’s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subsidiary’s business as now conducted or as proposed to be conducted are valid and enforceable and the Company is unaware of any facts that would preclude the issuance of a valid and enforceable patent on any pending patent application included in such Intellectual Property; (H) with respect to the Intellectual Property that is necessary for the conduct of the Company’s and its subsidiary’s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its subsidiary’s business as now conducted or proposed to be conducted and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 the rights of any entity.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shall mean all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73" w:name="page74"/>
    <w:bookmarkEnd w:id="73"/>
    <w:p>
      <w:pPr>
        <w:ind w:firstLine="1428"/>
        <w:spacing w:after="0" w:line="271" w:lineRule="auto"/>
        <w:tabs>
          <w:tab w:leader="none" w:pos="1877"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Health Care Authorizations</w:t>
      </w:r>
      <w:r>
        <w:rPr>
          <w:rFonts w:ascii="Arial" w:cs="Arial" w:eastAsia="Arial" w:hAnsi="Arial"/>
          <w:sz w:val="17"/>
          <w:szCs w:val="17"/>
          <w:color w:val="auto"/>
        </w:rPr>
        <w:t>. The Company has submitted and possesses, or qualifies for applicable exemptions to, such valid</w:t>
      </w:r>
      <w:r>
        <w:rPr>
          <w:rFonts w:ascii="Arial" w:cs="Arial" w:eastAsia="Arial" w:hAnsi="Arial"/>
          <w:sz w:val="17"/>
          <w:szCs w:val="17"/>
          <w:i w:val="1"/>
          <w:iCs w:val="1"/>
          <w:color w:val="auto"/>
        </w:rPr>
        <w:t xml:space="preserve"> </w:t>
      </w:r>
      <w:r>
        <w:rPr>
          <w:rFonts w:ascii="Arial" w:cs="Arial" w:eastAsia="Arial" w:hAnsi="Arial"/>
          <w:sz w:val="17"/>
          <w:szCs w:val="17"/>
          <w:color w:val="auto"/>
        </w:rPr>
        <w:t>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Arial" w:cs="Arial" w:eastAsia="Arial" w:hAnsi="Arial"/>
          <w:sz w:val="17"/>
          <w:szCs w:val="17"/>
          <w:b w:val="1"/>
          <w:bCs w:val="1"/>
          <w:i w:val="1"/>
          <w:iCs w:val="1"/>
          <w:color w:val="auto"/>
        </w:rPr>
        <w:t>Permits</w:t>
      </w:r>
      <w:r>
        <w:rPr>
          <w:rFonts w:ascii="Arial" w:cs="Arial" w:eastAsia="Arial" w:hAnsi="Arial"/>
          <w:sz w:val="17"/>
          <w:szCs w:val="17"/>
          <w:color w:val="auto"/>
        </w:rPr>
        <w:t>”), including, without limitation, all such Permits required by the U.S. Food and Drug Administration (the “</w:t>
      </w:r>
      <w:r>
        <w:rPr>
          <w:rFonts w:ascii="Arial" w:cs="Arial" w:eastAsia="Arial" w:hAnsi="Arial"/>
          <w:sz w:val="17"/>
          <w:szCs w:val="17"/>
          <w:b w:val="1"/>
          <w:bCs w:val="1"/>
          <w:i w:val="1"/>
          <w:iCs w:val="1"/>
          <w:color w:val="auto"/>
        </w:rPr>
        <w:t>FDA</w:t>
      </w:r>
      <w:r>
        <w:rPr>
          <w:rFonts w:ascii="Arial" w:cs="Arial" w:eastAsia="Arial" w:hAnsi="Arial"/>
          <w:sz w:val="17"/>
          <w:szCs w:val="17"/>
          <w:color w:val="auto"/>
        </w:rPr>
        <w:t>”), the U.S. Department of Health and Human Services (“</w:t>
      </w:r>
      <w:r>
        <w:rPr>
          <w:rFonts w:ascii="Arial" w:cs="Arial" w:eastAsia="Arial" w:hAnsi="Arial"/>
          <w:sz w:val="17"/>
          <w:szCs w:val="17"/>
          <w:b w:val="1"/>
          <w:bCs w:val="1"/>
          <w:i w:val="1"/>
          <w:iCs w:val="1"/>
          <w:color w:val="auto"/>
        </w:rPr>
        <w:t>HHS</w:t>
      </w:r>
      <w:r>
        <w:rPr>
          <w:rFonts w:ascii="Arial" w:cs="Arial" w:eastAsia="Arial" w:hAnsi="Arial"/>
          <w:sz w:val="17"/>
          <w:szCs w:val="17"/>
          <w:color w:val="auto"/>
        </w:rPr>
        <w:t>”), the U.S. Centers for Medicare &amp; Medicaid Services (“</w:t>
      </w:r>
      <w:r>
        <w:rPr>
          <w:rFonts w:ascii="Arial" w:cs="Arial" w:eastAsia="Arial" w:hAnsi="Arial"/>
          <w:sz w:val="17"/>
          <w:szCs w:val="17"/>
          <w:b w:val="1"/>
          <w:bCs w:val="1"/>
          <w:i w:val="1"/>
          <w:iCs w:val="1"/>
          <w:color w:val="auto"/>
        </w:rPr>
        <w:t>CMS</w:t>
      </w:r>
      <w:r>
        <w:rPr>
          <w:rFonts w:ascii="Arial" w:cs="Arial" w:eastAsia="Arial" w:hAnsi="Arial"/>
          <w:sz w:val="17"/>
          <w:szCs w:val="17"/>
          <w:color w:val="auto"/>
        </w:rPr>
        <w:t>”), the European Medicines Agency (“</w:t>
      </w:r>
      <w:r>
        <w:rPr>
          <w:rFonts w:ascii="Arial" w:cs="Arial" w:eastAsia="Arial" w:hAnsi="Arial"/>
          <w:sz w:val="17"/>
          <w:szCs w:val="17"/>
          <w:b w:val="1"/>
          <w:bCs w:val="1"/>
          <w:i w:val="1"/>
          <w:iCs w:val="1"/>
          <w:color w:val="auto"/>
        </w:rPr>
        <w:t>EMA</w:t>
      </w:r>
      <w:r>
        <w:rPr>
          <w:rFonts w:ascii="Arial" w:cs="Arial" w:eastAsia="Arial" w:hAnsi="Arial"/>
          <w:sz w:val="17"/>
          <w:szCs w:val="17"/>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w:t>
      </w:r>
    </w:p>
    <w:p>
      <w:pPr>
        <w:spacing w:after="0" w:line="178" w:lineRule="exact"/>
        <w:rPr>
          <w:rFonts w:ascii="Arial" w:cs="Arial" w:eastAsia="Arial" w:hAnsi="Arial"/>
          <w:sz w:val="17"/>
          <w:szCs w:val="17"/>
          <w:color w:val="auto"/>
        </w:rPr>
      </w:pPr>
    </w:p>
    <w:p>
      <w:pPr>
        <w:ind w:right="140" w:firstLine="1428"/>
        <w:spacing w:after="0" w:line="286" w:lineRule="auto"/>
        <w:tabs>
          <w:tab w:leader="none" w:pos="1927"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Compliance with Health Care Laws</w:t>
      </w:r>
      <w:r>
        <w:rPr>
          <w:rFonts w:ascii="Arial" w:cs="Arial" w:eastAsia="Arial" w:hAnsi="Arial"/>
          <w:sz w:val="16"/>
          <w:szCs w:val="16"/>
          <w:color w:val="auto"/>
        </w:rPr>
        <w:t>. The Company and, to the Company’s knowledge, its directors, employees and agents</w:t>
      </w:r>
      <w:r>
        <w:rPr>
          <w:rFonts w:ascii="Arial" w:cs="Arial" w:eastAsia="Arial" w:hAnsi="Arial"/>
          <w:sz w:val="16"/>
          <w:szCs w:val="16"/>
          <w:i w:val="1"/>
          <w:iCs w:val="1"/>
          <w:color w:val="auto"/>
        </w:rPr>
        <w:t xml:space="preserve"> </w:t>
      </w:r>
      <w:r>
        <w:rPr>
          <w:rFonts w:ascii="Arial" w:cs="Arial" w:eastAsia="Arial" w:hAnsi="Arial"/>
          <w:sz w:val="16"/>
          <w:szCs w:val="16"/>
          <w:color w:val="auto"/>
        </w:rPr>
        <w:t>(while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Section 1320a-7b(a)), the Stark law (42 U.S.C. Section 1395nn), the Health Insurance Portability and Accountability Act of 1996 (42 U.S.C.</w:t>
      </w:r>
    </w:p>
    <w:p>
      <w:pPr>
        <w:spacing w:after="0" w:line="20" w:lineRule="exact"/>
        <w:rPr>
          <w:rFonts w:ascii="Arial" w:cs="Arial" w:eastAsia="Arial" w:hAnsi="Arial"/>
          <w:sz w:val="16"/>
          <w:szCs w:val="16"/>
          <w:color w:val="auto"/>
        </w:rPr>
      </w:pPr>
    </w:p>
    <w:p>
      <w:pPr>
        <w:ind w:right="40"/>
        <w:spacing w:after="0" w:line="266" w:lineRule="auto"/>
        <w:rPr>
          <w:rFonts w:ascii="Arial" w:cs="Arial" w:eastAsia="Arial" w:hAnsi="Arial"/>
          <w:sz w:val="16"/>
          <w:szCs w:val="16"/>
          <w:color w:val="auto"/>
        </w:rPr>
      </w:pPr>
      <w:r>
        <w:rPr>
          <w:rFonts w:ascii="Arial" w:cs="Arial" w:eastAsia="Arial" w:hAnsi="Arial"/>
          <w:sz w:val="17"/>
          <w:szCs w:val="17"/>
          <w:color w:val="auto"/>
        </w:rPr>
        <w:t>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Arial" w:cs="Arial" w:eastAsia="Arial" w:hAnsi="Arial"/>
          <w:sz w:val="17"/>
          <w:szCs w:val="17"/>
          <w:b w:val="1"/>
          <w:bCs w:val="1"/>
          <w:i w:val="1"/>
          <w:iCs w:val="1"/>
          <w:color w:val="auto"/>
        </w:rPr>
        <w:t>Health Care Laws</w:t>
      </w:r>
      <w:r>
        <w:rPr>
          <w:rFonts w:ascii="Arial" w:cs="Arial" w:eastAsia="Arial" w:hAnsi="Arial"/>
          <w:sz w:val="17"/>
          <w:szCs w:val="17"/>
          <w:color w:val="auto"/>
        </w:rPr>
        <w:t>”).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Health Canada, the U.S. Federal Trade Commission, the U.S. Drug Enforcement Administration (“</w:t>
      </w:r>
      <w:r>
        <w:rPr>
          <w:rFonts w:ascii="Arial" w:cs="Arial" w:eastAsia="Arial" w:hAnsi="Arial"/>
          <w:sz w:val="17"/>
          <w:szCs w:val="17"/>
          <w:b w:val="1"/>
          <w:bCs w:val="1"/>
          <w:i w:val="1"/>
          <w:iCs w:val="1"/>
          <w:color w:val="auto"/>
        </w:rPr>
        <w:t>DEA</w:t>
      </w:r>
      <w:r>
        <w:rPr>
          <w:rFonts w:ascii="Arial" w:cs="Arial" w:eastAsia="Arial" w:hAnsi="Arial"/>
          <w:sz w:val="17"/>
          <w:szCs w:val="17"/>
          <w:color w:val="auto"/>
        </w:rPr>
        <w:t>”), CMS, HHS’s Office of 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The statements with respect to Health Care Laws and the Company’s compliance therewith included in the Registration Statement and in the Prospectus fairly summarize the matters therein described.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74" w:name="page75"/>
    <w:bookmarkEnd w:id="74"/>
    <w:p>
      <w:pPr>
        <w:ind w:firstLine="1428"/>
        <w:spacing w:after="0" w:line="285" w:lineRule="auto"/>
        <w:tabs>
          <w:tab w:leader="none" w:pos="1917"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Clinical Trials</w:t>
      </w:r>
      <w:r>
        <w:rPr>
          <w:rFonts w:ascii="Arial" w:cs="Arial" w:eastAsia="Arial" w:hAnsi="Arial"/>
          <w:sz w:val="16"/>
          <w:szCs w:val="16"/>
          <w:color w:val="auto"/>
        </w:rPr>
        <w:t>. The studies, tests and preclinical and clinical trials conducted by or on behalf of, or sponsored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in which the Company has participated, that are described in the Registration Statement or the Prospectus, or the results of which are referred to in the Registration Statement or the Prospectus, were and, if still pending, are being conducted in all material respects in accordance with protocols, procedures and controls pursuant to, where applicable, accepted professional and scientific standards for products or product candidates comparable to those being developed by the Company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or the Prospectus do not contain any misstatement of a material fact or omit a material fact necessary to make such statements not misleading; the Company has no knowledge of any studies, tests or trials not described in the Registration Statement or the Prospectus the results of which reasonably call into question in any material respect the results of the studies, tests and trials described in the Registration Statement or Prospectus;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176" w:lineRule="exact"/>
        <w:rPr>
          <w:rFonts w:ascii="Arial" w:cs="Arial" w:eastAsia="Arial" w:hAnsi="Arial"/>
          <w:sz w:val="16"/>
          <w:szCs w:val="16"/>
          <w:color w:val="auto"/>
        </w:rPr>
      </w:pPr>
    </w:p>
    <w:p>
      <w:pPr>
        <w:jc w:val="both"/>
        <w:ind w:right="80" w:firstLine="1428"/>
        <w:spacing w:after="0" w:line="263" w:lineRule="auto"/>
        <w:tabs>
          <w:tab w:leader="none" w:pos="186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Absence of Settlement Agreements or Undertakings</w:t>
      </w:r>
      <w:r>
        <w:rPr>
          <w:rFonts w:ascii="Arial" w:cs="Arial" w:eastAsia="Arial" w:hAnsi="Arial"/>
          <w:sz w:val="18"/>
          <w:szCs w:val="18"/>
          <w:color w:val="auto"/>
        </w:rPr>
        <w:t>. Except as disclosed in the Registration Statement and the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not a party to any corporate integrity agreements, monitoring agreements, consent decrees, settlement orders, or similar agreements with or imposed by any governmental authority.</w:t>
      </w:r>
    </w:p>
    <w:p>
      <w:pPr>
        <w:spacing w:after="0" w:line="183" w:lineRule="exact"/>
        <w:rPr>
          <w:rFonts w:ascii="Arial" w:cs="Arial" w:eastAsia="Arial" w:hAnsi="Arial"/>
          <w:sz w:val="18"/>
          <w:szCs w:val="18"/>
          <w:color w:val="auto"/>
        </w:rPr>
      </w:pPr>
    </w:p>
    <w:p>
      <w:pPr>
        <w:jc w:val="both"/>
        <w:ind w:right="40" w:firstLine="1428"/>
        <w:spacing w:after="0" w:line="301" w:lineRule="auto"/>
        <w:tabs>
          <w:tab w:leader="none" w:pos="1917"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Absence of Legal or Governmental Proceedings</w:t>
      </w:r>
      <w:r>
        <w:rPr>
          <w:rFonts w:ascii="Arial" w:cs="Arial" w:eastAsia="Arial" w:hAnsi="Arial"/>
          <w:sz w:val="16"/>
          <w:szCs w:val="16"/>
          <w:color w:val="auto"/>
        </w:rPr>
        <w:t>. Except as disclosed in the Registration Statement and the Prospectus, there</w:t>
      </w:r>
      <w:r>
        <w:rPr>
          <w:rFonts w:ascii="Arial" w:cs="Arial" w:eastAsia="Arial" w:hAnsi="Arial"/>
          <w:sz w:val="16"/>
          <w:szCs w:val="16"/>
          <w:i w:val="1"/>
          <w:iCs w:val="1"/>
          <w:color w:val="auto"/>
        </w:rPr>
        <w:t xml:space="preserve"> </w:t>
      </w:r>
      <w:r>
        <w:rPr>
          <w:rFonts w:ascii="Arial" w:cs="Arial" w:eastAsia="Arial" w:hAnsi="Arial"/>
          <w:sz w:val="16"/>
          <w:szCs w:val="16"/>
          <w:color w:val="auto"/>
        </w:rPr>
        <w:t>are no legal or governmental proceedings pending to which the Company or its subsidiary is a party or of which any property or assets of the Company or its subsidiary is the subject that, if determined adversely to the Company, would, in the aggregate, reasonably be expected to have a Material Adverse Effect; and to the Company’s knowledge, no such proceedings are threatened in writing by governmental authorities or others.</w:t>
      </w:r>
    </w:p>
    <w:p>
      <w:pPr>
        <w:spacing w:after="0" w:line="157" w:lineRule="exact"/>
        <w:rPr>
          <w:rFonts w:ascii="Arial" w:cs="Arial" w:eastAsia="Arial" w:hAnsi="Arial"/>
          <w:sz w:val="16"/>
          <w:szCs w:val="16"/>
          <w:color w:val="auto"/>
        </w:rPr>
      </w:pPr>
    </w:p>
    <w:p>
      <w:pPr>
        <w:ind w:right="40" w:firstLine="1428"/>
        <w:spacing w:after="0" w:line="255" w:lineRule="auto"/>
        <w:tabs>
          <w:tab w:leader="none" w:pos="196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Material Contracts</w:t>
      </w:r>
      <w:r>
        <w:rPr>
          <w:rFonts w:ascii="Arial" w:cs="Arial" w:eastAsia="Arial" w:hAnsi="Arial"/>
          <w:sz w:val="18"/>
          <w:szCs w:val="18"/>
          <w:color w:val="auto"/>
        </w:rPr>
        <w:t>. There are no contracts or other documents required to be described in the Registration Statement or filed</w:t>
      </w:r>
      <w:r>
        <w:rPr>
          <w:rFonts w:ascii="Arial" w:cs="Arial" w:eastAsia="Arial" w:hAnsi="Arial"/>
          <w:sz w:val="18"/>
          <w:szCs w:val="18"/>
          <w:i w:val="1"/>
          <w:iCs w:val="1"/>
          <w:color w:val="auto"/>
        </w:rPr>
        <w:t xml:space="preserve"> </w:t>
      </w:r>
      <w:r>
        <w:rPr>
          <w:rFonts w:ascii="Arial" w:cs="Arial" w:eastAsia="Arial" w:hAnsi="Arial"/>
          <w:sz w:val="18"/>
          <w:szCs w:val="18"/>
          <w:color w:val="auto"/>
        </w:rPr>
        <w:t>as exhibits to the Registration Statement that are not described and filed as required. The statements made in the Registration Statement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and the Prospectus, neither the Company nor its subsidiary has knowledge that any other party to any such contract or other document has any intention not to render full performance as contemplated by the terms thereof.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5" w:name="page76"/>
    <w:bookmarkEnd w:id="75"/>
    <w:p>
      <w:pPr>
        <w:ind w:firstLine="1428"/>
        <w:spacing w:after="0" w:line="288" w:lineRule="auto"/>
        <w:tabs>
          <w:tab w:leader="none" w:pos="2017"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Arial" w:cs="Arial" w:eastAsia="Arial" w:hAnsi="Arial"/>
          <w:sz w:val="16"/>
          <w:szCs w:val="16"/>
          <w:color w:val="auto"/>
        </w:rPr>
        <w:t>. The Company and its subsidiary maintain insurance from insurers of recognized financial responsibility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subsidiary are in full force and effect; the Company and its subsidiary are in compliance with the terms of such policies in all material respects; neither the Company nor its subsidiary has received notice from any insurer or agent of such insurer that capital improvements or other expenditures are required or necessary to be made in order to continue such insurance; there are no material claims by the Company or its subsidiary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8" w:lineRule="exact"/>
        <w:rPr>
          <w:rFonts w:ascii="Arial" w:cs="Arial" w:eastAsia="Arial" w:hAnsi="Arial"/>
          <w:sz w:val="16"/>
          <w:szCs w:val="16"/>
          <w:color w:val="auto"/>
        </w:rPr>
      </w:pPr>
    </w:p>
    <w:p>
      <w:pPr>
        <w:jc w:val="both"/>
        <w:ind w:right="60" w:firstLine="1428"/>
        <w:spacing w:after="0" w:line="263" w:lineRule="auto"/>
        <w:tabs>
          <w:tab w:leader="none" w:pos="191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Related Party Disclosure</w:t>
      </w:r>
      <w:r>
        <w:rPr>
          <w:rFonts w:ascii="Arial" w:cs="Arial" w:eastAsia="Arial" w:hAnsi="Arial"/>
          <w:sz w:val="18"/>
          <w:szCs w:val="18"/>
          <w:color w:val="auto"/>
        </w:rPr>
        <w:t>. No relationship, direct or indirect, exists between or among the Company, on the one hand,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officers, shareholders, customers or suppliers of the Company, on the other hand, that is required to be described in the Registration Statement or the Prospectus which is not so described.</w:t>
      </w:r>
    </w:p>
    <w:p>
      <w:pPr>
        <w:spacing w:after="0" w:line="183" w:lineRule="exact"/>
        <w:rPr>
          <w:rFonts w:ascii="Arial" w:cs="Arial" w:eastAsia="Arial" w:hAnsi="Arial"/>
          <w:sz w:val="18"/>
          <w:szCs w:val="18"/>
          <w:color w:val="auto"/>
        </w:rPr>
      </w:pPr>
    </w:p>
    <w:p>
      <w:pPr>
        <w:ind w:right="280" w:firstLine="1428"/>
        <w:spacing w:after="0" w:line="277" w:lineRule="auto"/>
        <w:tabs>
          <w:tab w:leader="none" w:pos="186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No Labor Dispute</w:t>
      </w:r>
      <w:r>
        <w:rPr>
          <w:rFonts w:ascii="Arial" w:cs="Arial" w:eastAsia="Arial" w:hAnsi="Arial"/>
          <w:sz w:val="18"/>
          <w:szCs w:val="18"/>
          <w:color w:val="auto"/>
        </w:rPr>
        <w:t>. No labor disturbance by or dispute with the employees of the Company or its subsidiary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Company, is imminent that could reasonably be expected to have a Material Adverse Effect.</w:t>
      </w:r>
    </w:p>
    <w:p>
      <w:pPr>
        <w:spacing w:after="0" w:line="170" w:lineRule="exact"/>
        <w:rPr>
          <w:rFonts w:ascii="Arial" w:cs="Arial" w:eastAsia="Arial" w:hAnsi="Arial"/>
          <w:sz w:val="18"/>
          <w:szCs w:val="18"/>
          <w:color w:val="auto"/>
        </w:rPr>
      </w:pPr>
    </w:p>
    <w:p>
      <w:pPr>
        <w:ind w:right="20" w:firstLine="1428"/>
        <w:spacing w:after="0" w:line="270" w:lineRule="auto"/>
        <w:tabs>
          <w:tab w:leader="none" w:pos="1917"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No Violation or Default</w:t>
      </w:r>
      <w:r>
        <w:rPr>
          <w:rFonts w:ascii="Arial" w:cs="Arial" w:eastAsia="Arial" w:hAnsi="Arial"/>
          <w:sz w:val="17"/>
          <w:szCs w:val="17"/>
          <w:color w:val="auto"/>
        </w:rPr>
        <w:t>. Except as disclosed in the Registration Statement and the Prospectus, neither the Company nor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6" w:name="page77"/>
    <w:bookmarkEnd w:id="76"/>
    <w:p>
      <w:pPr>
        <w:ind w:left="1964" w:hanging="532"/>
        <w:spacing w:after="0"/>
        <w:tabs>
          <w:tab w:leader="none" w:pos="1964"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Arial" w:cs="Arial" w:eastAsia="Arial" w:hAnsi="Arial"/>
          <w:sz w:val="16"/>
          <w:szCs w:val="16"/>
          <w:color w:val="auto"/>
        </w:rPr>
        <w:t>. Except as disclosed in the Registration Statement and the Prospectus, the Company and its subsidiary</w:t>
      </w:r>
    </w:p>
    <w:p>
      <w:pPr>
        <w:spacing w:after="0" w:line="46" w:lineRule="exact"/>
        <w:rPr>
          <w:rFonts w:ascii="Arial" w:cs="Arial" w:eastAsia="Arial" w:hAnsi="Arial"/>
          <w:sz w:val="16"/>
          <w:szCs w:val="16"/>
          <w:color w:val="auto"/>
        </w:rPr>
      </w:pPr>
    </w:p>
    <w:p>
      <w:pPr>
        <w:ind w:left="4" w:right="80" w:hanging="4"/>
        <w:spacing w:after="0" w:line="266" w:lineRule="auto"/>
        <w:tabs>
          <w:tab w:leader="none" w:pos="219" w:val="left"/>
        </w:tabs>
        <w:numPr>
          <w:ilvl w:val="0"/>
          <w:numId w:val="60"/>
        </w:numPr>
        <w:rPr>
          <w:rFonts w:ascii="Arial" w:cs="Arial" w:eastAsia="Arial" w:hAnsi="Arial"/>
          <w:sz w:val="17"/>
          <w:szCs w:val="17"/>
          <w:color w:val="auto"/>
        </w:rPr>
      </w:pPr>
      <w:r>
        <w:rPr>
          <w:rFonts w:ascii="Arial" w:cs="Arial" w:eastAsia="Arial" w:hAnsi="Arial"/>
          <w:sz w:val="17"/>
          <w:szCs w:val="17"/>
          <w:color w:val="auto"/>
        </w:rPr>
        <w:t>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7"/>
          <w:szCs w:val="17"/>
          <w:b w:val="1"/>
          <w:bCs w:val="1"/>
          <w:i w:val="1"/>
          <w:i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such non-compliance, violation, liability or other obligation would not, individually or in the aggregate, reasonably be expected to have a Material Adverse Effect. Except as described in the Registration Statement and the Prospectus, (x) there are no proceedings that are pending, or to the Company’s knowledge, threatened, against the Company or its subsidiary under Environmental Laws in which a governmental authority is also a party, other than such proceedings regarding which it is reasonably believed no monetary sanctions of $100,000 or more will be imposed, (y) the Company and its subsidiary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none of the Company and its subsidiary anticipates material capital expenditures relating to Environmental Laws.</w:t>
      </w:r>
    </w:p>
    <w:p>
      <w:pPr>
        <w:spacing w:after="0" w:line="191" w:lineRule="exact"/>
        <w:rPr>
          <w:rFonts w:ascii="Arial" w:cs="Arial" w:eastAsia="Arial" w:hAnsi="Arial"/>
          <w:sz w:val="17"/>
          <w:szCs w:val="17"/>
          <w:color w:val="auto"/>
        </w:rPr>
      </w:pPr>
    </w:p>
    <w:p>
      <w:pPr>
        <w:ind w:left="4" w:right="80" w:firstLine="1428"/>
        <w:spacing w:after="0" w:line="275" w:lineRule="auto"/>
        <w:tabs>
          <w:tab w:leader="none" w:pos="2021"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The Company and its subsidiary have filed all federal, state, local and foreign tax returns required to be filed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its subsidiary, nor does the Company have any knowledge of any tax deficiencies that have been, or would reasonably be expected to be asserted against the Company, that would, in the aggregate, reasonably be expected to have a Material Adverse Effect.</w:t>
      </w:r>
    </w:p>
    <w:p>
      <w:pPr>
        <w:spacing w:after="0" w:line="176" w:lineRule="exact"/>
        <w:rPr>
          <w:rFonts w:ascii="Arial" w:cs="Arial" w:eastAsia="Arial" w:hAnsi="Arial"/>
          <w:sz w:val="17"/>
          <w:szCs w:val="17"/>
          <w:color w:val="auto"/>
        </w:rPr>
      </w:pPr>
    </w:p>
    <w:p>
      <w:pPr>
        <w:ind w:left="4" w:firstLine="1428"/>
        <w:spacing w:after="0" w:line="284" w:lineRule="auto"/>
        <w:tabs>
          <w:tab w:leader="none" w:pos="2011"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ERISA Compliance</w:t>
      </w:r>
      <w:r>
        <w:rPr>
          <w:rFonts w:ascii="Arial" w:cs="Arial" w:eastAsia="Arial" w:hAnsi="Arial"/>
          <w:sz w:val="16"/>
          <w:szCs w:val="16"/>
          <w:color w:val="auto"/>
        </w:rPr>
        <w:t>. (i) Each “employee benefit plan” (within the meaning of Section 3(3) of the Employee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xml:space="preserve">)) would have any liability (each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w:t>
      </w:r>
    </w:p>
    <w:p>
      <w:pPr>
        <w:spacing w:after="0" w:line="4" w:lineRule="exact"/>
        <w:rPr>
          <w:rFonts w:ascii="Arial" w:cs="Arial" w:eastAsia="Arial" w:hAnsi="Arial"/>
          <w:sz w:val="16"/>
          <w:szCs w:val="16"/>
          <w:color w:val="auto"/>
        </w:rPr>
      </w:pPr>
    </w:p>
    <w:p>
      <w:pPr>
        <w:ind w:left="324" w:hanging="324"/>
        <w:spacing w:after="0"/>
        <w:tabs>
          <w:tab w:leader="none" w:pos="3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each Plan subject to Title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77" w:name="page78"/>
    <w:bookmarkEnd w:id="77"/>
    <w:p>
      <w:pPr>
        <w:ind w:left="4"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w:t>
      </w:r>
    </w:p>
    <w:p>
      <w:pPr>
        <w:spacing w:after="0" w:line="1" w:lineRule="exact"/>
        <w:rPr>
          <w:sz w:val="20"/>
          <w:szCs w:val="20"/>
          <w:color w:val="auto"/>
        </w:rPr>
      </w:pPr>
    </w:p>
    <w:p>
      <w:pPr>
        <w:ind w:left="4" w:hanging="4"/>
        <w:spacing w:after="0" w:line="253" w:lineRule="auto"/>
        <w:tabs>
          <w:tab w:leader="none" w:pos="2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90" w:lineRule="exact"/>
        <w:rPr>
          <w:rFonts w:ascii="Arial" w:cs="Arial" w:eastAsia="Arial" w:hAnsi="Arial"/>
          <w:sz w:val="18"/>
          <w:szCs w:val="18"/>
          <w:color w:val="auto"/>
        </w:rPr>
      </w:pPr>
    </w:p>
    <w:p>
      <w:pPr>
        <w:ind w:left="4" w:right="180" w:firstLine="1428"/>
        <w:spacing w:after="0" w:line="311" w:lineRule="auto"/>
        <w:tabs>
          <w:tab w:leader="none" w:pos="1961"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Accuracy of Statistical and Market Data</w:t>
      </w:r>
      <w:r>
        <w:rPr>
          <w:rFonts w:ascii="Arial" w:cs="Arial" w:eastAsia="Arial" w:hAnsi="Arial"/>
          <w:sz w:val="16"/>
          <w:szCs w:val="16"/>
          <w:color w:val="auto"/>
        </w:rPr>
        <w:t>. The statistical and market-related data included in the Registration Statement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and the consolidated financial statements of the Company and its subsidiary included or incorporated by reference in the Registration Statement and the Prospectus are based on or derived from sources that the Company believes to be reliable in all material respects.</w:t>
      </w:r>
    </w:p>
    <w:p>
      <w:pPr>
        <w:spacing w:after="0" w:line="148" w:lineRule="exact"/>
        <w:rPr>
          <w:rFonts w:ascii="Arial" w:cs="Arial" w:eastAsia="Arial" w:hAnsi="Arial"/>
          <w:sz w:val="16"/>
          <w:szCs w:val="16"/>
          <w:color w:val="auto"/>
        </w:rPr>
      </w:pPr>
    </w:p>
    <w:p>
      <w:pPr>
        <w:ind w:left="4" w:right="160" w:firstLine="1428"/>
        <w:spacing w:after="0" w:line="296" w:lineRule="auto"/>
        <w:tabs>
          <w:tab w:leader="none" w:pos="2011"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Not an Investment Company</w:t>
      </w:r>
      <w:r>
        <w:rPr>
          <w:rFonts w:ascii="Arial" w:cs="Arial" w:eastAsia="Arial" w:hAnsi="Arial"/>
          <w:sz w:val="16"/>
          <w:szCs w:val="16"/>
          <w:color w:val="auto"/>
        </w:rPr>
        <w:t>. Neither the Company nor its subsidiary is, and as of the applicable Settlement Date and,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giving effect to the offer and sale of the Shares and the application of the proceeds therefrom as described under “Use of Proceeds” in the Registration Statement and the Prospectus, none of them will be, (i) an “investment company” or a company “controlled” by an “investment company” within the meaning of the Investment Company Act of 1940, as amended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and the rules and regulations of the Commission thereunder, or (ii) a “business development company” (as defined in Section 2(a)(48) of the Investment Company Act).</w:t>
      </w:r>
    </w:p>
    <w:p>
      <w:pPr>
        <w:spacing w:after="0" w:line="161" w:lineRule="exact"/>
        <w:rPr>
          <w:rFonts w:ascii="Arial" w:cs="Arial" w:eastAsia="Arial" w:hAnsi="Arial"/>
          <w:sz w:val="16"/>
          <w:szCs w:val="16"/>
          <w:color w:val="auto"/>
        </w:rPr>
      </w:pPr>
    </w:p>
    <w:p>
      <w:pPr>
        <w:ind w:left="4" w:right="300" w:firstLine="1428"/>
        <w:spacing w:after="0" w:line="259" w:lineRule="auto"/>
        <w:tabs>
          <w:tab w:leader="none" w:pos="2061"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Accuracy of Certain Summaries and Statements</w:t>
      </w:r>
      <w:r>
        <w:rPr>
          <w:rFonts w:ascii="Arial" w:cs="Arial" w:eastAsia="Arial" w:hAnsi="Arial"/>
          <w:sz w:val="18"/>
          <w:szCs w:val="18"/>
          <w:color w:val="auto"/>
        </w:rPr>
        <w:t>. The statements set forth or incorporated by reference, as applicable,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Registration Statement and the Prospectus under the captions “Description of Capital Stock,” “Legal Proceedings” and “Certain Relationships and Related Transactions, and Director Independence”, insofar as they purport to summarize the provisions of the laws and documents referred to therein, are accurate summaries in all material respects.</w:t>
      </w:r>
    </w:p>
    <w:p>
      <w:pPr>
        <w:spacing w:after="0" w:line="186" w:lineRule="exact"/>
        <w:rPr>
          <w:rFonts w:ascii="Arial" w:cs="Arial" w:eastAsia="Arial" w:hAnsi="Arial"/>
          <w:sz w:val="18"/>
          <w:szCs w:val="18"/>
          <w:color w:val="auto"/>
        </w:rPr>
      </w:pPr>
    </w:p>
    <w:p>
      <w:pPr>
        <w:ind w:left="4" w:right="60" w:firstLine="1428"/>
        <w:spacing w:after="0" w:line="257" w:lineRule="auto"/>
        <w:tabs>
          <w:tab w:leader="none" w:pos="2111"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disclosed in the Registration Statement and the Prospectus, there are no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or understandings between the Company and any person granting such person the right to require the Company to file a registration statement under the Securities Act with respect to any securities of the Company owned or to be owned by such person. There are no contracts, agreements or understandings to require the Company to include any such securities in the securities proposed to be offered pursuant to this Agreement, except as have been waived.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78" w:name="page79"/>
    <w:bookmarkEnd w:id="78"/>
    <w:p>
      <w:pPr>
        <w:ind w:right="180" w:firstLine="1428"/>
        <w:spacing w:after="0" w:line="263" w:lineRule="auto"/>
        <w:tabs>
          <w:tab w:leader="none" w:pos="2007"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Brokers</w:t>
      </w:r>
      <w:r>
        <w:rPr>
          <w:rFonts w:ascii="Arial" w:cs="Arial" w:eastAsia="Arial" w:hAnsi="Arial"/>
          <w:sz w:val="18"/>
          <w:szCs w:val="18"/>
          <w:color w:val="auto"/>
        </w:rPr>
        <w:t>. Neither the Company nor its subsidiary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the Agent for a brokerage commission, finder’s fee or like payment in connection with the offering and sale of the Shares.</w:t>
      </w:r>
    </w:p>
    <w:p>
      <w:pPr>
        <w:spacing w:after="0" w:line="184" w:lineRule="exact"/>
        <w:rPr>
          <w:sz w:val="20"/>
          <w:szCs w:val="20"/>
          <w:color w:val="auto"/>
        </w:rPr>
      </w:pPr>
    </w:p>
    <w:p>
      <w:pPr>
        <w:ind w:right="420" w:firstLine="1432"/>
        <w:spacing w:after="0" w:line="277"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color w:val="auto"/>
        </w:rPr>
        <w:t>No Integration</w:t>
      </w:r>
      <w:r>
        <w:rPr>
          <w:rFonts w:ascii="Arial" w:cs="Arial" w:eastAsia="Arial" w:hAnsi="Arial"/>
          <w:sz w:val="18"/>
          <w:szCs w:val="18"/>
          <w:color w:val="auto"/>
        </w:rPr>
        <w:t>. The Company has not sold or issued any securities that would be integrated with the offering of the Shares contemplated by this Agreement pursuant to the Securities Act or the interpretations thereof by the Commission.</w:t>
      </w:r>
    </w:p>
    <w:p>
      <w:pPr>
        <w:spacing w:after="0" w:line="170"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color w:val="auto"/>
        </w:rPr>
        <w:t>Absence of Stabilization or Manipulation</w:t>
      </w:r>
      <w:r>
        <w:rPr>
          <w:rFonts w:ascii="Arial" w:cs="Arial" w:eastAsia="Arial" w:hAnsi="Arial"/>
          <w:sz w:val="18"/>
          <w:szCs w:val="18"/>
          <w:color w:val="auto"/>
        </w:rPr>
        <w:t>. 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84" w:lineRule="exact"/>
        <w:rPr>
          <w:sz w:val="20"/>
          <w:szCs w:val="20"/>
          <w:color w:val="auto"/>
        </w:rPr>
      </w:pPr>
    </w:p>
    <w:p>
      <w:pPr>
        <w:ind w:right="100" w:firstLine="1432"/>
        <w:spacing w:after="0" w:line="279"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i w:val="1"/>
          <w:iCs w:val="1"/>
          <w:color w:val="auto"/>
        </w:rPr>
        <w:t>Exchange Act Registration and Listing of the Common Stock</w:t>
      </w:r>
      <w:r>
        <w:rPr>
          <w:rFonts w:ascii="Arial" w:cs="Arial" w:eastAsia="Arial" w:hAnsi="Arial"/>
          <w:sz w:val="17"/>
          <w:szCs w:val="17"/>
          <w:color w:val="auto"/>
        </w:rPr>
        <w:t>. The shares of Common Stock are registered pursuant to Section 12(b) of the Exchange Act and listed on the Exchange;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171"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i w:val="1"/>
          <w:iCs w:val="1"/>
          <w:color w:val="auto"/>
        </w:rPr>
        <w:t>Offering Material</w:t>
      </w:r>
      <w:r>
        <w:rPr>
          <w:rFonts w:ascii="Arial" w:cs="Arial" w:eastAsia="Arial" w:hAnsi="Arial"/>
          <w:sz w:val="18"/>
          <w:szCs w:val="18"/>
          <w:color w:val="auto"/>
        </w:rPr>
        <w:t>. The Company has not distributed and prior to any Settlement Date, will not distribute any offering material in connection with any Placement (as defined in Section 2(a)(i) below), other than the Prospectus and any Permitted Free Writing Prospectus to which the Agent has consented.</w:t>
      </w:r>
    </w:p>
    <w:p>
      <w:pPr>
        <w:spacing w:after="0" w:line="184"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i w:val="1"/>
          <w:iCs w:val="1"/>
          <w:color w:val="auto"/>
        </w:rPr>
        <w:t>Compliance with Labor Laws</w:t>
      </w:r>
      <w:r>
        <w:rPr>
          <w:rFonts w:ascii="Arial" w:cs="Arial" w:eastAsia="Arial" w:hAnsi="Arial"/>
          <w:sz w:val="18"/>
          <w:szCs w:val="18"/>
          <w:color w:val="auto"/>
        </w:rPr>
        <w:t>. 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187" w:lineRule="exact"/>
        <w:rPr>
          <w:sz w:val="20"/>
          <w:szCs w:val="20"/>
          <w:color w:val="auto"/>
        </w:rPr>
      </w:pPr>
    </w:p>
    <w:p>
      <w:pPr>
        <w:ind w:right="100" w:firstLine="1432"/>
        <w:spacing w:after="0" w:line="271" w:lineRule="auto"/>
        <w:rPr>
          <w:sz w:val="20"/>
          <w:szCs w:val="20"/>
          <w:color w:val="auto"/>
        </w:rPr>
      </w:pPr>
      <w:r>
        <w:rPr>
          <w:rFonts w:ascii="Arial" w:cs="Arial" w:eastAsia="Arial" w:hAnsi="Arial"/>
          <w:sz w:val="17"/>
          <w:szCs w:val="17"/>
          <w:color w:val="auto"/>
        </w:rPr>
        <w:t xml:space="preserve">(xlv) </w:t>
      </w:r>
      <w:r>
        <w:rPr>
          <w:rFonts w:ascii="Arial" w:cs="Arial" w:eastAsia="Arial" w:hAnsi="Arial"/>
          <w:sz w:val="17"/>
          <w:szCs w:val="17"/>
          <w:i w:val="1"/>
          <w:iCs w:val="1"/>
          <w:color w:val="auto"/>
        </w:rPr>
        <w:t>No Unlawful Payments</w:t>
      </w:r>
      <w:r>
        <w:rPr>
          <w:rFonts w:ascii="Arial" w:cs="Arial" w:eastAsia="Arial" w:hAnsi="Arial"/>
          <w:sz w:val="17"/>
          <w:szCs w:val="17"/>
          <w:color w:val="auto"/>
        </w:rPr>
        <w:t>. Neither the Company nor its subsidiary, nor, to the knowledge of the Company, any director, officer, agent, employee or other person acting on behalf of the Company or its subsidiary,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or (iv) made any bribe, rebate, payoff, influence payment, kickback or other unlawful payment. The Company has instituted and maintains policies and procedures designed to ensure continued compliance with the laws and regulations referenced in clause (iii) of this paragraph.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79" w:name="page80"/>
    <w:bookmarkEnd w:id="79"/>
    <w:p>
      <w:pPr>
        <w:ind w:right="20" w:firstLine="1432"/>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(xlvi) </w:t>
      </w:r>
      <w:r>
        <w:rPr>
          <w:rFonts w:ascii="Arial" w:cs="Arial" w:eastAsia="Arial" w:hAnsi="Arial"/>
          <w:sz w:val="17"/>
          <w:szCs w:val="17"/>
          <w:i w:val="1"/>
          <w:iCs w:val="1"/>
          <w:color w:val="auto"/>
        </w:rPr>
        <w:t>Anti-Money Laundering Compliance</w:t>
      </w:r>
      <w:r>
        <w:rPr>
          <w:rFonts w:ascii="Arial" w:cs="Arial" w:eastAsia="Arial" w:hAnsi="Arial"/>
          <w:sz w:val="17"/>
          <w:szCs w:val="17"/>
          <w:color w:val="auto"/>
        </w:rPr>
        <w:t xml:space="preserve">. The operations of the Company and its subsidiary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Arial" w:cs="Arial" w:eastAsia="Arial" w:hAnsi="Arial"/>
          <w:sz w:val="17"/>
          <w:szCs w:val="17"/>
          <w:b w:val="1"/>
          <w:bCs w:val="1"/>
          <w:i w:val="1"/>
          <w:i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(xlvii) </w:t>
      </w:r>
      <w:r>
        <w:rPr>
          <w:rFonts w:ascii="Arial" w:cs="Arial" w:eastAsia="Arial" w:hAnsi="Arial"/>
          <w:sz w:val="18"/>
          <w:szCs w:val="18"/>
          <w:i w:val="1"/>
          <w:iCs w:val="1"/>
          <w:color w:val="auto"/>
        </w:rPr>
        <w:t>OFAC</w:t>
      </w:r>
      <w:r>
        <w:rPr>
          <w:rFonts w:ascii="Arial" w:cs="Arial" w:eastAsia="Arial" w:hAnsi="Arial"/>
          <w:sz w:val="18"/>
          <w:szCs w:val="18"/>
          <w:color w:val="auto"/>
        </w:rPr>
        <w:t>.</w:t>
      </w:r>
    </w:p>
    <w:p>
      <w:pPr>
        <w:spacing w:after="0" w:line="225" w:lineRule="exact"/>
        <w:rPr>
          <w:sz w:val="20"/>
          <w:szCs w:val="20"/>
          <w:color w:val="auto"/>
        </w:rPr>
      </w:pPr>
    </w:p>
    <w:p>
      <w:pPr>
        <w:ind w:right="500" w:firstLine="1979"/>
        <w:spacing w:after="0" w:line="263" w:lineRule="auto"/>
        <w:tabs>
          <w:tab w:leader="none" w:pos="22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the Company nor its subsidiary, nor any or their directors, officers or employees, nor, to the Company’s knowledge, any agent, affiliate or representative of the Company or its subsidiary, is an individual or entity that is, or is owned or controlled by an individual or entity that is:</w:t>
      </w:r>
    </w:p>
    <w:p>
      <w:pPr>
        <w:spacing w:after="0" w:line="183" w:lineRule="exact"/>
        <w:rPr>
          <w:rFonts w:ascii="Arial" w:cs="Arial" w:eastAsia="Arial" w:hAnsi="Arial"/>
          <w:sz w:val="18"/>
          <w:szCs w:val="18"/>
          <w:color w:val="auto"/>
        </w:rPr>
      </w:pPr>
    </w:p>
    <w:p>
      <w:pPr>
        <w:ind w:right="300" w:firstLine="2419"/>
        <w:spacing w:after="0" w:line="263" w:lineRule="auto"/>
        <w:tabs>
          <w:tab w:leader="none" w:pos="26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His Majesty’s Treasury,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w:t>
      </w:r>
    </w:p>
    <w:p>
      <w:pPr>
        <w:spacing w:after="0" w:line="183" w:lineRule="exact"/>
        <w:rPr>
          <w:rFonts w:ascii="Arial" w:cs="Arial" w:eastAsia="Arial" w:hAnsi="Arial"/>
          <w:sz w:val="18"/>
          <w:szCs w:val="18"/>
          <w:color w:val="auto"/>
        </w:rPr>
      </w:pPr>
    </w:p>
    <w:p>
      <w:pPr>
        <w:ind w:right="40" w:firstLine="2419"/>
        <w:spacing w:after="0" w:line="277" w:lineRule="auto"/>
        <w:tabs>
          <w:tab w:leader="none" w:pos="26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Cuba, Iran, North Korea, Sudan, Syria and the Crimea region of Ukraine claimed by Russia).</w:t>
      </w:r>
    </w:p>
    <w:p>
      <w:pPr>
        <w:spacing w:after="0" w:line="170" w:lineRule="exact"/>
        <w:rPr>
          <w:rFonts w:ascii="Arial" w:cs="Arial" w:eastAsia="Arial" w:hAnsi="Arial"/>
          <w:sz w:val="18"/>
          <w:szCs w:val="18"/>
          <w:color w:val="auto"/>
        </w:rPr>
      </w:pPr>
    </w:p>
    <w:p>
      <w:pPr>
        <w:ind w:right="80" w:firstLine="1979"/>
        <w:spacing w:after="0" w:line="277" w:lineRule="auto"/>
        <w:tabs>
          <w:tab w:leader="none" w:pos="22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the Company nor its subsidiary will, directly or indirectly, use the proceeds of the offering, or lend, contribute or otherwise make available such proceeds to any subsidiary, joint venture partner or other individual or entity:</w:t>
      </w:r>
    </w:p>
    <w:p>
      <w:pPr>
        <w:spacing w:after="0" w:line="170" w:lineRule="exact"/>
        <w:rPr>
          <w:rFonts w:ascii="Arial" w:cs="Arial" w:eastAsia="Arial" w:hAnsi="Arial"/>
          <w:sz w:val="18"/>
          <w:szCs w:val="18"/>
          <w:color w:val="auto"/>
        </w:rPr>
      </w:pPr>
    </w:p>
    <w:p>
      <w:pPr>
        <w:ind w:right="160" w:firstLine="2419"/>
        <w:spacing w:after="0" w:line="277" w:lineRule="auto"/>
        <w:tabs>
          <w:tab w:leader="none" w:pos="26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right="60" w:firstLine="2419"/>
        <w:spacing w:after="0" w:line="277" w:lineRule="auto"/>
        <w:tabs>
          <w:tab w:leader="none" w:pos="26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70" w:lineRule="exact"/>
        <w:rPr>
          <w:rFonts w:ascii="Arial" w:cs="Arial" w:eastAsia="Arial" w:hAnsi="Arial"/>
          <w:sz w:val="18"/>
          <w:szCs w:val="18"/>
          <w:color w:val="auto"/>
        </w:rPr>
      </w:pPr>
    </w:p>
    <w:p>
      <w:pPr>
        <w:ind w:firstLine="1979"/>
        <w:spacing w:after="0" w:line="263" w:lineRule="auto"/>
        <w:tabs>
          <w:tab w:leader="none" w:pos="22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the past five years, neither the Company nor its subsidiary has knowingly engaged in, and is not now knowingly engaged in, any dealings or transactions with any individual or entity, or in any country or territory, that at the time of the dealing or transaction is or was the subject of Sanctions.</w:t>
      </w:r>
    </w:p>
    <w:p>
      <w:pPr>
        <w:spacing w:after="0" w:line="184" w:lineRule="exact"/>
        <w:rPr>
          <w:sz w:val="20"/>
          <w:szCs w:val="20"/>
          <w:color w:val="auto"/>
        </w:rPr>
      </w:pPr>
    </w:p>
    <w:p>
      <w:pPr>
        <w:ind w:right="520" w:firstLine="1432"/>
        <w:spacing w:after="0" w:line="286" w:lineRule="auto"/>
        <w:rPr>
          <w:sz w:val="20"/>
          <w:szCs w:val="20"/>
          <w:color w:val="auto"/>
        </w:rPr>
      </w:pPr>
      <w:r>
        <w:rPr>
          <w:rFonts w:ascii="Arial" w:cs="Arial" w:eastAsia="Arial" w:hAnsi="Arial"/>
          <w:sz w:val="17"/>
          <w:szCs w:val="17"/>
          <w:color w:val="auto"/>
        </w:rPr>
        <w:t xml:space="preserve">(xlviii) </w:t>
      </w:r>
      <w:r>
        <w:rPr>
          <w:rFonts w:ascii="Arial" w:cs="Arial" w:eastAsia="Arial" w:hAnsi="Arial"/>
          <w:sz w:val="17"/>
          <w:szCs w:val="17"/>
          <w:i w:val="1"/>
          <w:iCs w:val="1"/>
          <w:color w:val="auto"/>
        </w:rPr>
        <w:t>Not a Passive Foreign Investment Company</w:t>
      </w:r>
      <w:r>
        <w:rPr>
          <w:rFonts w:ascii="Arial" w:cs="Arial" w:eastAsia="Arial" w:hAnsi="Arial"/>
          <w:sz w:val="17"/>
          <w:szCs w:val="17"/>
          <w:color w:val="auto"/>
        </w:rPr>
        <w:t>. Subject to the qualifications and assumptions set forth in the Registration Statement, the Company is not, and upon the sale of the Shares contemplated by this Agreement does not expect to become, a “passive foreign investment company” (as defined in Section 1297 of the Code, and the regulations promulgated thereunder).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80" w:name="page81"/>
    <w:bookmarkEnd w:id="80"/>
    <w:p>
      <w:pPr>
        <w:jc w:val="both"/>
        <w:ind w:right="10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(xlix) </w:t>
      </w:r>
      <w:r>
        <w:rPr>
          <w:rFonts w:ascii="Arial" w:cs="Arial" w:eastAsia="Arial" w:hAnsi="Arial"/>
          <w:sz w:val="18"/>
          <w:szCs w:val="18"/>
          <w:i w:val="1"/>
          <w:iCs w:val="1"/>
          <w:color w:val="auto"/>
        </w:rPr>
        <w:t>No Taxes or Fees Due Upon Issuance</w:t>
      </w:r>
      <w:r>
        <w:rPr>
          <w:rFonts w:ascii="Arial" w:cs="Arial" w:eastAsia="Arial" w:hAnsi="Arial"/>
          <w:sz w:val="18"/>
          <w:szCs w:val="18"/>
          <w:color w:val="auto"/>
        </w:rPr>
        <w:t>. No stamp, issue, registration, documentary, transfer or other similar taxes and duties, including interest and penalties, are payable on or in connection with the issuance and sale of the Shares by the Company or the execution and delivery of this Agreement.</w:t>
      </w:r>
    </w:p>
    <w:p>
      <w:pPr>
        <w:spacing w:after="0" w:line="184" w:lineRule="exact"/>
        <w:rPr>
          <w:sz w:val="20"/>
          <w:szCs w:val="20"/>
          <w:color w:val="auto"/>
        </w:rPr>
      </w:pPr>
    </w:p>
    <w:p>
      <w:pPr>
        <w:ind w:right="20" w:firstLine="1428"/>
        <w:spacing w:after="0" w:line="263" w:lineRule="auto"/>
        <w:tabs>
          <w:tab w:leader="none" w:pos="1647"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No Immunity</w:t>
      </w:r>
      <w:r>
        <w:rPr>
          <w:rFonts w:ascii="Arial" w:cs="Arial" w:eastAsia="Arial" w:hAnsi="Arial"/>
          <w:sz w:val="18"/>
          <w:szCs w:val="18"/>
          <w:color w:val="auto"/>
        </w:rPr>
        <w:t>. Neither the Company nor its subsidiary, nor any of their respective properties or assets, has any immunity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184" w:lineRule="exact"/>
        <w:rPr>
          <w:sz w:val="20"/>
          <w:szCs w:val="20"/>
          <w:color w:val="auto"/>
        </w:rPr>
      </w:pPr>
    </w:p>
    <w:p>
      <w:pPr>
        <w:ind w:right="180" w:firstLine="1432"/>
        <w:spacing w:after="0" w:line="277" w:lineRule="auto"/>
        <w:rPr>
          <w:sz w:val="20"/>
          <w:szCs w:val="20"/>
          <w:color w:val="auto"/>
        </w:rPr>
      </w:pPr>
      <w:r>
        <w:rPr>
          <w:rFonts w:ascii="Arial" w:cs="Arial" w:eastAsia="Arial" w:hAnsi="Arial"/>
          <w:sz w:val="18"/>
          <w:szCs w:val="18"/>
          <w:color w:val="auto"/>
        </w:rPr>
        <w:t xml:space="preserve">(li) </w:t>
      </w:r>
      <w:r>
        <w:rPr>
          <w:rFonts w:ascii="Arial" w:cs="Arial" w:eastAsia="Arial" w:hAnsi="Arial"/>
          <w:sz w:val="18"/>
          <w:szCs w:val="18"/>
          <w:i w:val="1"/>
          <w:iCs w:val="1"/>
          <w:color w:val="auto"/>
        </w:rPr>
        <w:t>No Legal, Accounting or Tax Advice</w:t>
      </w:r>
      <w:r>
        <w:rPr>
          <w:rFonts w:ascii="Arial" w:cs="Arial" w:eastAsia="Arial" w:hAnsi="Arial"/>
          <w:sz w:val="18"/>
          <w:szCs w:val="18"/>
          <w:color w:val="auto"/>
        </w:rPr>
        <w:t>. The Company has not relied upon the Agent or legal counsel for the Agent for any legal, tax or accounting advice in connection with the offering and sale of the Shares.</w:t>
      </w:r>
    </w:p>
    <w:p>
      <w:pPr>
        <w:spacing w:after="0" w:line="170" w:lineRule="exact"/>
        <w:rPr>
          <w:sz w:val="20"/>
          <w:szCs w:val="20"/>
          <w:color w:val="auto"/>
        </w:rPr>
      </w:pPr>
    </w:p>
    <w:p>
      <w:pPr>
        <w:jc w:val="both"/>
        <w:ind w:firstLine="1432"/>
        <w:spacing w:after="0" w:line="263" w:lineRule="auto"/>
        <w:rPr>
          <w:sz w:val="20"/>
          <w:szCs w:val="20"/>
          <w:color w:val="auto"/>
        </w:rPr>
      </w:pPr>
      <w:r>
        <w:rPr>
          <w:rFonts w:ascii="Arial" w:cs="Arial" w:eastAsia="Arial" w:hAnsi="Arial"/>
          <w:sz w:val="18"/>
          <w:szCs w:val="18"/>
          <w:color w:val="auto"/>
        </w:rPr>
        <w:t xml:space="preserve">(lii) </w:t>
      </w:r>
      <w:r>
        <w:rPr>
          <w:rFonts w:ascii="Arial" w:cs="Arial" w:eastAsia="Arial" w:hAnsi="Arial"/>
          <w:sz w:val="18"/>
          <w:szCs w:val="18"/>
          <w:i w:val="1"/>
          <w:iCs w:val="1"/>
          <w:color w:val="auto"/>
        </w:rPr>
        <w:t>Certificate as Representation and Warranty</w:t>
      </w:r>
      <w:r>
        <w:rPr>
          <w:rFonts w:ascii="Arial" w:cs="Arial" w:eastAsia="Arial" w:hAnsi="Arial"/>
          <w:sz w:val="18"/>
          <w:szCs w:val="18"/>
          <w:color w:val="auto"/>
        </w:rPr>
        <w:t>. Any certificate signed by any officer of the Company and delivered to the Agent or the Agent’s counsel in connection with the offering of the Shares shall be deemed a representation and warranty by the Company to the Agent as to the matters covered thereby.</w:t>
      </w:r>
    </w:p>
    <w:p>
      <w:pPr>
        <w:spacing w:after="0" w:line="184" w:lineRule="exact"/>
        <w:rPr>
          <w:sz w:val="20"/>
          <w:szCs w:val="20"/>
          <w:color w:val="auto"/>
        </w:rPr>
      </w:pPr>
    </w:p>
    <w:p>
      <w:pPr>
        <w:ind w:right="20" w:firstLine="1432"/>
        <w:spacing w:after="0" w:line="285" w:lineRule="auto"/>
        <w:rPr>
          <w:sz w:val="20"/>
          <w:szCs w:val="20"/>
          <w:color w:val="auto"/>
        </w:rPr>
      </w:pPr>
      <w:r>
        <w:rPr>
          <w:rFonts w:ascii="Arial" w:cs="Arial" w:eastAsia="Arial" w:hAnsi="Arial"/>
          <w:sz w:val="16"/>
          <w:szCs w:val="16"/>
          <w:color w:val="auto"/>
        </w:rPr>
        <w:t xml:space="preserve">(liii) </w:t>
      </w:r>
      <w:r>
        <w:rPr>
          <w:rFonts w:ascii="Arial" w:cs="Arial" w:eastAsia="Arial" w:hAnsi="Arial"/>
          <w:sz w:val="16"/>
          <w:szCs w:val="16"/>
          <w:i w:val="1"/>
          <w:iCs w:val="1"/>
          <w:color w:val="auto"/>
        </w:rPr>
        <w:t>Cybersecurity.</w:t>
      </w:r>
      <w:r>
        <w:rPr>
          <w:rFonts w:ascii="Arial" w:cs="Arial" w:eastAsia="Arial" w:hAnsi="Arial"/>
          <w:sz w:val="16"/>
          <w:szCs w:val="16"/>
          <w:color w:val="auto"/>
        </w:rPr>
        <w:t xml:space="preserve"> The Company and its subsidiary’s information technology assets and equipment, computers, systems, networks, hardware, software, websites, applications, and databases (collectively, “</w:t>
      </w:r>
      <w:r>
        <w:rPr>
          <w:rFonts w:ascii="Arial" w:cs="Arial" w:eastAsia="Arial" w:hAnsi="Arial"/>
          <w:sz w:val="16"/>
          <w:szCs w:val="16"/>
          <w:b w:val="1"/>
          <w:bCs w:val="1"/>
          <w:i w:val="1"/>
          <w:i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i w:val="1"/>
          <w:i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6"/>
          <w:szCs w:val="16"/>
          <w:b w:val="1"/>
          <w:bCs w:val="1"/>
          <w:i w:val="1"/>
          <w:iCs w:val="1"/>
          <w:color w:val="auto"/>
        </w:rPr>
        <w:t>HIPAA</w:t>
      </w:r>
      <w:r>
        <w:rPr>
          <w:rFonts w:ascii="Arial" w:cs="Arial" w:eastAsia="Arial" w:hAnsi="Arial"/>
          <w:sz w:val="16"/>
          <w:szCs w:val="16"/>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81" w:name="page82"/>
    <w:bookmarkEnd w:id="81"/>
    <w:p>
      <w:pPr>
        <w:ind w:firstLine="14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(liv) </w:t>
      </w:r>
      <w:r>
        <w:rPr>
          <w:rFonts w:ascii="Arial" w:cs="Arial" w:eastAsia="Arial" w:hAnsi="Arial"/>
          <w:sz w:val="16"/>
          <w:szCs w:val="16"/>
          <w:i w:val="1"/>
          <w:iCs w:val="1"/>
          <w:color w:val="auto"/>
        </w:rPr>
        <w:t>Compliance with Data Privacy Laws.</w:t>
      </w:r>
      <w:r>
        <w:rPr>
          <w:rFonts w:ascii="Arial" w:cs="Arial" w:eastAsia="Arial" w:hAnsi="Arial"/>
          <w:sz w:val="16"/>
          <w:szCs w:val="16"/>
          <w:color w:val="auto"/>
        </w:rPr>
        <w:t xml:space="preserve"> The Company and its subsidiary are, and at all prior times were, in material compliance with all applicable state and federal data privacy and security laws and regulations, including without limitation HIPAA, and the Company and its subsidiary have taken commercially reasonable actions to prepare to comply with, and since May 25, 2018, have been and currently are in compliance with, the European Union General Data Protection Regulation (“</w:t>
      </w:r>
      <w:r>
        <w:rPr>
          <w:rFonts w:ascii="Arial" w:cs="Arial" w:eastAsia="Arial" w:hAnsi="Arial"/>
          <w:sz w:val="16"/>
          <w:szCs w:val="16"/>
          <w:b w:val="1"/>
          <w:bCs w:val="1"/>
          <w:i w:val="1"/>
          <w:iCs w:val="1"/>
          <w:color w:val="auto"/>
        </w:rPr>
        <w:t>GDPR</w:t>
      </w:r>
      <w:r>
        <w:rPr>
          <w:rFonts w:ascii="Arial" w:cs="Arial" w:eastAsia="Arial" w:hAnsi="Arial"/>
          <w:sz w:val="16"/>
          <w:szCs w:val="16"/>
          <w:color w:val="auto"/>
        </w:rPr>
        <w:t>”) (EU 2016/679) (collectively, the “</w:t>
      </w:r>
      <w:r>
        <w:rPr>
          <w:rFonts w:ascii="Arial" w:cs="Arial" w:eastAsia="Arial" w:hAnsi="Arial"/>
          <w:sz w:val="16"/>
          <w:szCs w:val="16"/>
          <w:b w:val="1"/>
          <w:bCs w:val="1"/>
          <w:i w:val="1"/>
          <w:iCs w:val="1"/>
          <w:color w:val="auto"/>
        </w:rPr>
        <w:t>Privacy Laws</w:t>
      </w:r>
      <w:r>
        <w:rPr>
          <w:rFonts w:ascii="Arial" w:cs="Arial" w:eastAsia="Arial" w:hAnsi="Arial"/>
          <w:sz w:val="16"/>
          <w:szCs w:val="16"/>
          <w:color w:val="auto"/>
        </w:rPr>
        <w:t>”). To ensure compliance with the Privacy Laws, the Company and its subsidiary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6"/>
          <w:szCs w:val="16"/>
          <w:b w:val="1"/>
          <w:bCs w:val="1"/>
          <w:i w:val="1"/>
          <w:iCs w:val="1"/>
          <w:color w:val="auto"/>
        </w:rPr>
        <w:t>Policies</w:t>
      </w:r>
      <w:r>
        <w:rPr>
          <w:rFonts w:ascii="Arial" w:cs="Arial" w:eastAsia="Arial" w:hAnsi="Arial"/>
          <w:sz w:val="16"/>
          <w:szCs w:val="16"/>
          <w:color w:val="auto"/>
        </w:rPr>
        <w:t>”). The Company and its subsidiary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4" w:lineRule="exact"/>
        <w:rPr>
          <w:sz w:val="20"/>
          <w:szCs w:val="20"/>
          <w:color w:val="auto"/>
        </w:rPr>
      </w:pPr>
    </w:p>
    <w:p>
      <w:pPr>
        <w:ind w:right="500" w:firstLine="1432"/>
        <w:spacing w:after="0" w:line="263" w:lineRule="auto"/>
        <w:rPr>
          <w:sz w:val="20"/>
          <w:szCs w:val="20"/>
          <w:color w:val="auto"/>
        </w:rPr>
      </w:pPr>
      <w:r>
        <w:rPr>
          <w:rFonts w:ascii="Arial" w:cs="Arial" w:eastAsia="Arial" w:hAnsi="Arial"/>
          <w:sz w:val="18"/>
          <w:szCs w:val="18"/>
          <w:color w:val="auto"/>
        </w:rPr>
        <w:t xml:space="preserve">(lv) </w:t>
      </w:r>
      <w:r>
        <w:rPr>
          <w:rFonts w:ascii="Arial" w:cs="Arial" w:eastAsia="Arial" w:hAnsi="Arial"/>
          <w:sz w:val="18"/>
          <w:szCs w:val="18"/>
          <w:i w:val="1"/>
          <w:iCs w:val="1"/>
          <w:color w:val="auto"/>
        </w:rPr>
        <w:t>eXtensible Business Reporting Language</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4" w:lineRule="exact"/>
        <w:rPr>
          <w:sz w:val="20"/>
          <w:szCs w:val="20"/>
          <w:color w:val="auto"/>
        </w:rPr>
      </w:pPr>
    </w:p>
    <w:p>
      <w:pPr>
        <w:ind w:right="80" w:firstLine="1432"/>
        <w:spacing w:after="0" w:line="273" w:lineRule="auto"/>
        <w:rPr>
          <w:sz w:val="20"/>
          <w:szCs w:val="20"/>
          <w:color w:val="auto"/>
        </w:rPr>
      </w:pPr>
      <w:r>
        <w:rPr>
          <w:rFonts w:ascii="Arial" w:cs="Arial" w:eastAsia="Arial" w:hAnsi="Arial"/>
          <w:sz w:val="17"/>
          <w:szCs w:val="17"/>
          <w:color w:val="auto"/>
        </w:rPr>
        <w:t xml:space="preserve">(lvi) </w:t>
      </w:r>
      <w:r>
        <w:rPr>
          <w:rFonts w:ascii="Arial" w:cs="Arial" w:eastAsia="Arial" w:hAnsi="Arial"/>
          <w:sz w:val="17"/>
          <w:szCs w:val="17"/>
          <w:i w:val="1"/>
          <w:iCs w:val="1"/>
          <w:color w:val="auto"/>
        </w:rPr>
        <w:t>No Shutdowns or Prohibitions</w:t>
      </w:r>
      <w:r>
        <w:rPr>
          <w:rFonts w:ascii="Arial" w:cs="Arial" w:eastAsia="Arial" w:hAnsi="Arial"/>
          <w:sz w:val="17"/>
          <w:szCs w:val="17"/>
          <w:color w:val="auto"/>
        </w:rPr>
        <w:t>. The Company has not had any product, clinical laboratory or manufacturing site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178" w:lineRule="exact"/>
        <w:rPr>
          <w:sz w:val="20"/>
          <w:szCs w:val="20"/>
          <w:color w:val="auto"/>
        </w:rPr>
      </w:pPr>
    </w:p>
    <w:p>
      <w:pPr>
        <w:ind w:right="40" w:firstLine="1432"/>
        <w:spacing w:after="0" w:line="255" w:lineRule="auto"/>
        <w:rPr>
          <w:sz w:val="20"/>
          <w:szCs w:val="20"/>
          <w:color w:val="auto"/>
        </w:rPr>
      </w:pPr>
      <w:r>
        <w:rPr>
          <w:rFonts w:ascii="Arial" w:cs="Arial" w:eastAsia="Arial" w:hAnsi="Arial"/>
          <w:sz w:val="18"/>
          <w:szCs w:val="18"/>
          <w:color w:val="auto"/>
        </w:rPr>
        <w:t xml:space="preserve">(lvii) </w:t>
      </w:r>
      <w:r>
        <w:rPr>
          <w:rFonts w:ascii="Arial" w:cs="Arial" w:eastAsia="Arial" w:hAnsi="Arial"/>
          <w:sz w:val="18"/>
          <w:szCs w:val="18"/>
          <w:i w:val="1"/>
          <w:iCs w:val="1"/>
          <w:color w:val="auto"/>
        </w:rPr>
        <w:t>No Safety Notices</w:t>
      </w:r>
      <w:r>
        <w:rPr>
          <w:rFonts w:ascii="Arial" w:cs="Arial" w:eastAsia="Arial" w:hAnsi="Arial"/>
          <w:sz w:val="18"/>
          <w:szCs w:val="18"/>
          <w:color w:val="auto"/>
        </w:rPr>
        <w:t>. (i) Except as disclosed in the Registration Statement and the 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(“Safety Notices”) and (ii)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82" w:name="page83"/>
    <w:bookmarkEnd w:id="82"/>
    <w:p>
      <w:pPr>
        <w:ind w:left="600" w:hanging="184"/>
        <w:spacing w:after="0"/>
        <w:tabs>
          <w:tab w:leader="none" w:pos="600" w:val="left"/>
        </w:tabs>
        <w:numPr>
          <w:ilvl w:val="0"/>
          <w:numId w:val="6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Sale and Delivery of Shares.</w:t>
      </w:r>
    </w:p>
    <w:p>
      <w:pPr>
        <w:spacing w:after="0" w:line="225" w:lineRule="exact"/>
        <w:rPr>
          <w:rFonts w:ascii="Arial" w:cs="Arial" w:eastAsia="Arial" w:hAnsi="Arial"/>
          <w:sz w:val="18"/>
          <w:szCs w:val="18"/>
          <w:i w:val="1"/>
          <w:iCs w:val="1"/>
          <w:color w:val="auto"/>
        </w:rPr>
      </w:pPr>
    </w:p>
    <w:p>
      <w:pPr>
        <w:ind w:left="-20" w:firstLine="987"/>
        <w:spacing w:after="0" w:line="270" w:lineRule="auto"/>
        <w:tabs>
          <w:tab w:leader="none" w:pos="1216" w:val="left"/>
        </w:tabs>
        <w:numPr>
          <w:ilvl w:val="1"/>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At-the-Market Sales. </w:t>
      </w:r>
      <w:r>
        <w:rPr>
          <w:rFonts w:ascii="Arial" w:cs="Arial" w:eastAsia="Arial" w:hAnsi="Arial"/>
          <w:sz w:val="17"/>
          <w:szCs w:val="17"/>
          <w:color w:val="auto"/>
        </w:rPr>
        <w:t>On the basis of the representations, warranties and agreements herein contained, but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180" w:lineRule="exact"/>
        <w:rPr>
          <w:rFonts w:ascii="Arial" w:cs="Arial" w:eastAsia="Arial" w:hAnsi="Arial"/>
          <w:sz w:val="17"/>
          <w:szCs w:val="17"/>
          <w:color w:val="auto"/>
        </w:rPr>
      </w:pPr>
    </w:p>
    <w:p>
      <w:pPr>
        <w:ind w:left="-20" w:firstLine="1428"/>
        <w:spacing w:after="0" w:line="285" w:lineRule="auto"/>
        <w:tabs>
          <w:tab w:leader="none" w:pos="1627" w:val="left"/>
        </w:tabs>
        <w:numPr>
          <w:ilvl w:val="2"/>
          <w:numId w:val="66"/>
        </w:numPr>
        <w:rPr>
          <w:rFonts w:ascii="Arial" w:cs="Arial" w:eastAsia="Arial" w:hAnsi="Arial"/>
          <w:sz w:val="16"/>
          <w:szCs w:val="16"/>
          <w:u w:val="single" w:color="auto"/>
          <w:color w:val="auto"/>
        </w:rPr>
      </w:pPr>
      <w:r>
        <w:rPr>
          <w:rFonts w:ascii="Arial" w:cs="Arial" w:eastAsia="Arial" w:hAnsi="Arial"/>
          <w:sz w:val="16"/>
          <w:szCs w:val="16"/>
          <w:color w:val="auto"/>
        </w:rPr>
        <w:t xml:space="preserve">Each time that the Company wishes to issue and sell the Shares hereunder (each, a </w:t>
      </w:r>
      <w:r>
        <w:rPr>
          <w:rFonts w:ascii="Arial" w:cs="Arial" w:eastAsia="Arial" w:hAnsi="Arial"/>
          <w:sz w:val="16"/>
          <w:szCs w:val="16"/>
          <w:b w:val="1"/>
          <w:bCs w:val="1"/>
          <w:i w:val="1"/>
          <w:iCs w:val="1"/>
          <w:color w:val="auto"/>
        </w:rPr>
        <w:t>“Placement”</w:t>
      </w:r>
      <w:r>
        <w:rPr>
          <w:rFonts w:ascii="Arial" w:cs="Arial" w:eastAsia="Arial" w:hAnsi="Arial"/>
          <w:sz w:val="16"/>
          <w:szCs w:val="16"/>
          <w:color w:val="auto"/>
        </w:rPr>
        <w:t xml:space="preserve">), it will notify the Agent by email notice (or other method mutually agreed to in writing by the parties) (a </w:t>
      </w:r>
      <w:r>
        <w:rPr>
          <w:rFonts w:ascii="Arial" w:cs="Arial" w:eastAsia="Arial" w:hAnsi="Arial"/>
          <w:sz w:val="16"/>
          <w:szCs w:val="16"/>
          <w:b w:val="1"/>
          <w:bCs w:val="1"/>
          <w:i w:val="1"/>
          <w:iCs w:val="1"/>
          <w:color w:val="auto"/>
        </w:rPr>
        <w:t>“Placement Notice”</w:t>
      </w:r>
      <w:r>
        <w:rPr>
          <w:rFonts w:ascii="Arial" w:cs="Arial" w:eastAsia="Arial" w:hAnsi="Arial"/>
          <w:sz w:val="16"/>
          <w:szCs w:val="16"/>
          <w:color w:val="auto"/>
        </w:rPr>
        <w:t xml:space="preserve">) containing the parameters in accordance with which it desires the Shares to be sold, which shall at a minimum include the number of shares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may be amended from time to time.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subject to the Placement Notice or set forth on the Sales Prospectus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any day on which the Company’s Common Stock is purchased and sold on the principal market on which the Common Stock is listed or quoted.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60" w:top="274" w:right="459" w:bottom="1440" w:gutter="0" w:footer="0" w:header="0"/>
        </w:sectPr>
      </w:pPr>
    </w:p>
    <w:bookmarkStart w:id="83" w:name="page84"/>
    <w:bookmarkEnd w:id="83"/>
    <w:p>
      <w:pPr>
        <w:ind w:left="4" w:firstLine="1428"/>
        <w:spacing w:after="0" w:line="259" w:lineRule="auto"/>
        <w:tabs>
          <w:tab w:leader="none" w:pos="1701"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Stock sold by the Agent under this Section 2(a) at the time of such sale.</w:t>
      </w:r>
    </w:p>
    <w:p>
      <w:pPr>
        <w:spacing w:after="0" w:line="186" w:lineRule="exact"/>
        <w:rPr>
          <w:rFonts w:ascii="Arial" w:cs="Arial" w:eastAsia="Arial" w:hAnsi="Arial"/>
          <w:sz w:val="18"/>
          <w:szCs w:val="18"/>
          <w:color w:val="auto"/>
        </w:rPr>
      </w:pPr>
    </w:p>
    <w:p>
      <w:pPr>
        <w:ind w:left="4" w:right="40" w:firstLine="1428"/>
        <w:spacing w:after="0" w:line="283" w:lineRule="auto"/>
        <w:tabs>
          <w:tab w:leader="none" w:pos="1751"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w:t>
      </w:r>
    </w:p>
    <w:p>
      <w:pPr>
        <w:spacing w:after="0" w:line="5" w:lineRule="exact"/>
        <w:rPr>
          <w:rFonts w:ascii="Arial" w:cs="Arial" w:eastAsia="Arial" w:hAnsi="Arial"/>
          <w:sz w:val="16"/>
          <w:szCs w:val="16"/>
          <w:color w:val="auto"/>
        </w:rPr>
      </w:pPr>
    </w:p>
    <w:p>
      <w:pPr>
        <w:ind w:left="324" w:hanging="324"/>
        <w:spacing w:after="0"/>
        <w:tabs>
          <w:tab w:leader="none" w:pos="3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Agent shall not be obligated to sell or offer to sell any Shares.</w:t>
      </w:r>
    </w:p>
    <w:p>
      <w:pPr>
        <w:spacing w:after="0" w:line="210" w:lineRule="exact"/>
        <w:rPr>
          <w:rFonts w:ascii="Arial" w:cs="Arial" w:eastAsia="Arial" w:hAnsi="Arial"/>
          <w:sz w:val="18"/>
          <w:szCs w:val="18"/>
          <w:color w:val="auto"/>
        </w:rPr>
      </w:pPr>
    </w:p>
    <w:p>
      <w:pPr>
        <w:ind w:left="4" w:right="120" w:firstLine="1428"/>
        <w:spacing w:after="0" w:line="301" w:lineRule="auto"/>
        <w:tabs>
          <w:tab w:leader="none" w:pos="1741"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or at prices related to such prevailing market prices and/or any other method permitted by law, subject to the prior written consent of the Company.</w:t>
      </w:r>
    </w:p>
    <w:p>
      <w:pPr>
        <w:spacing w:after="0" w:line="157" w:lineRule="exact"/>
        <w:rPr>
          <w:rFonts w:ascii="Arial" w:cs="Arial" w:eastAsia="Arial" w:hAnsi="Arial"/>
          <w:sz w:val="16"/>
          <w:szCs w:val="16"/>
          <w:color w:val="auto"/>
        </w:rPr>
      </w:pPr>
    </w:p>
    <w:p>
      <w:pPr>
        <w:ind w:left="4" w:right="60" w:firstLine="1428"/>
        <w:spacing w:after="0" w:line="293" w:lineRule="auto"/>
        <w:tabs>
          <w:tab w:leader="none" w:pos="1691"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The compensation to the Agent for sales of the Shares, as an agent of the Company, shall be 3.0% of the gross sales price of the Shares sold pursuant to this Section 2(a), payable in cash (the </w:t>
      </w:r>
      <w:r>
        <w:rPr>
          <w:rFonts w:ascii="Arial" w:cs="Arial" w:eastAsia="Arial" w:hAnsi="Arial"/>
          <w:sz w:val="16"/>
          <w:szCs w:val="16"/>
          <w:b w:val="1"/>
          <w:bCs w:val="1"/>
          <w:i w:val="1"/>
          <w:iCs w:val="1"/>
          <w:color w:val="auto"/>
        </w:rPr>
        <w:t>“Sales Commission”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combined Sales Commission and reimbursement of the Agent for its out-of-pocket expenses pursuant to Section 3(g), including the reasonable and documented fees and disbursements of the Agent’s counsel, shall not exceed 8.0% of the gross sales price of the Shares.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Arial" w:cs="Arial" w:eastAsia="Arial" w:hAnsi="Arial"/>
          <w:sz w:val="16"/>
          <w:szCs w:val="16"/>
          <w:b w:val="1"/>
          <w:bCs w:val="1"/>
          <w:i w:val="1"/>
          <w:iCs w:val="1"/>
          <w:color w:val="auto"/>
        </w:rPr>
        <w:t>Net Proceeds</w:t>
      </w:r>
      <w:r>
        <w:rPr>
          <w:rFonts w:ascii="Arial" w:cs="Arial" w:eastAsia="Arial" w:hAnsi="Arial"/>
          <w:sz w:val="16"/>
          <w:szCs w:val="16"/>
          <w:color w:val="auto"/>
        </w:rPr>
        <w:t>”).</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84" w:name="page85"/>
    <w:bookmarkEnd w:id="84"/>
    <w:p>
      <w:pPr>
        <w:ind w:right="100"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vi</w:t>
      </w:r>
      <w:r>
        <w:rPr>
          <w:rFonts w:ascii="Arial" w:cs="Arial" w:eastAsia="Arial" w:hAnsi="Arial"/>
          <w:sz w:val="18"/>
          <w:szCs w:val="18"/>
          <w:color w:val="auto"/>
        </w:rPr>
        <w:t xml:space="preserve">) The Agent will provide written confirmation to the Company (including by email correspondence to each of the individuals of the Company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187" w:lineRule="exact"/>
        <w:rPr>
          <w:sz w:val="20"/>
          <w:szCs w:val="20"/>
          <w:color w:val="auto"/>
        </w:rPr>
      </w:pPr>
    </w:p>
    <w:p>
      <w:pPr>
        <w:ind w:firstLine="1428"/>
        <w:spacing w:after="0" w:line="268" w:lineRule="auto"/>
        <w:tabs>
          <w:tab w:leader="none" w:pos="1787"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Shares sold pursuant to this Section 2(a) will be delivered by the Company to the Agent for the account of the Agent, against payment of the Net Proceeds therefor, by wire transfer of same-day funds payable to the order of the Company at the offices of Guggenheim Securities, LLC, 330 Madison Avenue, New York, NY 10017, fax no. 212-658-9689, or such other location as may be mutually acceptable, at 9:00 a.m. New York City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Arial" w:cs="Arial" w:eastAsia="Arial" w:hAnsi="Arial"/>
          <w:sz w:val="17"/>
          <w:szCs w:val="17"/>
          <w:b w:val="1"/>
          <w:bCs w:val="1"/>
          <w:i w:val="1"/>
          <w:iCs w:val="1"/>
          <w:color w:val="auto"/>
        </w:rPr>
        <w:t>Settlement Date</w:t>
      </w:r>
      <w:r>
        <w:rPr>
          <w:rFonts w:ascii="Arial" w:cs="Arial" w:eastAsia="Arial" w:hAnsi="Arial"/>
          <w:sz w:val="17"/>
          <w:szCs w:val="17"/>
          <w:color w:val="auto"/>
        </w:rPr>
        <w:t>.” If the Agent so elects, delivery of the Shares may be made by credit through full fast 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the Company agrees that in addition to and in no way limiting the rights and obligations set forth in Section 5 hereto, it will (i) hold the Agent harmless against any loss, claim, damage, or expense (including reasonable legal fees and expenses), as incurred, arising out of or in connection with such default by the Company, (ii) 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186" w:lineRule="exact"/>
        <w:rPr>
          <w:rFonts w:ascii="Arial" w:cs="Arial" w:eastAsia="Arial" w:hAnsi="Arial"/>
          <w:sz w:val="17"/>
          <w:szCs w:val="17"/>
          <w:color w:val="auto"/>
        </w:rPr>
      </w:pPr>
    </w:p>
    <w:p>
      <w:pPr>
        <w:ind w:right="60" w:firstLine="987"/>
        <w:spacing w:after="0" w:line="272" w:lineRule="auto"/>
        <w:tabs>
          <w:tab w:leader="none" w:pos="1246"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Maximum Amount</w:t>
      </w:r>
      <w:r>
        <w:rPr>
          <w:rFonts w:ascii="Arial" w:cs="Arial" w:eastAsia="Arial" w:hAnsi="Arial"/>
          <w:sz w:val="17"/>
          <w:szCs w:val="17"/>
          <w:color w:val="auto"/>
        </w:rPr>
        <w:t>. Under no circumstances shall the aggregate number or aggregate value of the Shares sold pursuant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exceed: (i) the aggregate number and aggregate dollar amount of shares of Common Stock available for issuance under the currently effective Registration Statement, (ii) the aggregate number of authorized but unissued shares of Common Stock that are available for issuance under the Company’s certificate of incorporation or certificate of designation, (iii) the aggregate dollar amount of shares of Common Stock permitted to be sold under the Company’s effective Registration Statement (including any limit set forth in General Instruction I.B.6 thereof, if applicable) or (iv) the aggregate number or aggregate dollar amount of shares of Common Stock for which the Company has filed the Sales Prospectus in connection with the Shares (the lesser of (i), (ii), (iii) and (iv),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Maximum Amount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40" w:hanging="253"/>
        <w:spacing w:after="0"/>
        <w:tabs>
          <w:tab w:leader="none" w:pos="124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No Association or Partnership</w:t>
      </w:r>
      <w:r>
        <w:rPr>
          <w:rFonts w:ascii="Arial" w:cs="Arial" w:eastAsia="Arial" w:hAnsi="Arial"/>
          <w:sz w:val="16"/>
          <w:szCs w:val="16"/>
          <w:color w:val="auto"/>
        </w:rPr>
        <w:t>. Nothing herein contained shall constitute the Agent as an unincorporated association or partner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right="400" w:firstLine="987"/>
        <w:spacing w:after="0" w:line="277" w:lineRule="auto"/>
        <w:tabs>
          <w:tab w:leader="none" w:pos="1246"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Duration</w:t>
      </w:r>
      <w:r>
        <w:rPr>
          <w:rFonts w:ascii="Arial" w:cs="Arial" w:eastAsia="Arial" w:hAnsi="Arial"/>
          <w:sz w:val="18"/>
          <w:szCs w:val="18"/>
          <w:color w:val="auto"/>
        </w:rPr>
        <w:t>. Under no circumstances shall any Shares be sold pursuant to this Agreement after the date which is three years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is first declared effective by the Commission.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85" w:name="page86"/>
    <w:bookmarkEnd w:id="85"/>
    <w:p>
      <w:pPr>
        <w:ind w:left="4" w:firstLine="987"/>
        <w:spacing w:after="0" w:line="293" w:lineRule="auto"/>
        <w:tabs>
          <w:tab w:leader="none" w:pos="1240" w:val="left"/>
        </w:tabs>
        <w:numPr>
          <w:ilvl w:val="2"/>
          <w:numId w:val="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Transactions by Agent</w:t>
      </w:r>
      <w:r>
        <w:rPr>
          <w:rFonts w:ascii="Arial" w:cs="Arial" w:eastAsia="Arial" w:hAnsi="Arial"/>
          <w:sz w:val="16"/>
          <w:szCs w:val="16"/>
          <w:color w:val="auto"/>
        </w:rPr>
        <w:t>. The Company acknowledges and agrees that the Agent has informed the Company that the Agent may,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extent permitted under the Securities Act, the Exchange Act and this Agreement, purchase and sell shares of Common Stock for its own account while this Agreement is in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164" w:lineRule="exact"/>
        <w:rPr>
          <w:rFonts w:ascii="Arial" w:cs="Arial" w:eastAsia="Arial" w:hAnsi="Arial"/>
          <w:sz w:val="16"/>
          <w:szCs w:val="16"/>
          <w:color w:val="auto"/>
        </w:rPr>
      </w:pPr>
    </w:p>
    <w:p>
      <w:pPr>
        <w:ind w:left="624" w:hanging="184"/>
        <w:spacing w:after="0"/>
        <w:tabs>
          <w:tab w:leader="none" w:pos="624" w:val="left"/>
        </w:tabs>
        <w:numPr>
          <w:ilvl w:val="1"/>
          <w:numId w:val="7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Covenants of the Company. The Company covenants and agrees with the Agent as follows:</w:t>
      </w:r>
    </w:p>
    <w:p>
      <w:pPr>
        <w:spacing w:after="0" w:line="225" w:lineRule="exact"/>
        <w:rPr>
          <w:rFonts w:ascii="Arial" w:cs="Arial" w:eastAsia="Arial" w:hAnsi="Arial"/>
          <w:sz w:val="18"/>
          <w:szCs w:val="18"/>
          <w:i w:val="1"/>
          <w:iCs w:val="1"/>
          <w:color w:val="auto"/>
        </w:rPr>
      </w:pPr>
    </w:p>
    <w:p>
      <w:pPr>
        <w:ind w:left="4" w:right="20" w:firstLine="987"/>
        <w:spacing w:after="0" w:line="283" w:lineRule="auto"/>
        <w:tabs>
          <w:tab w:leader="none" w:pos="1240" w:val="left"/>
        </w:tabs>
        <w:numPr>
          <w:ilvl w:val="2"/>
          <w:numId w:val="72"/>
        </w:numPr>
        <w:rPr>
          <w:rFonts w:ascii="Arial" w:cs="Arial" w:eastAsia="Arial" w:hAnsi="Arial"/>
          <w:sz w:val="16"/>
          <w:szCs w:val="16"/>
          <w:color w:val="auto"/>
        </w:rPr>
      </w:pPr>
      <w:r>
        <w:rPr>
          <w:rFonts w:ascii="Arial" w:cs="Arial" w:eastAsia="Arial" w:hAnsi="Arial"/>
          <w:sz w:val="16"/>
          <w:szCs w:val="16"/>
          <w:i w:val="1"/>
          <w:iCs w:val="1"/>
          <w:color w:val="auto"/>
        </w:rPr>
        <w:t>Amendments to Registration Statement and Prospectus</w:t>
      </w:r>
      <w:r>
        <w:rPr>
          <w:rFonts w:ascii="Arial" w:cs="Arial" w:eastAsia="Arial" w:hAnsi="Arial"/>
          <w:sz w:val="16"/>
          <w:szCs w:val="16"/>
          <w:color w:val="auto"/>
        </w:rPr>
        <w:t>. After the date of this Agreement and during any period in which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Arial" w:cs="Arial" w:eastAsia="Arial" w:hAnsi="Arial"/>
          <w:sz w:val="16"/>
          <w:szCs w:val="16"/>
          <w:i w:val="1"/>
          <w:iCs w:val="1"/>
          <w:color w:val="auto"/>
        </w:rPr>
        <w:t>provided, however</w:t>
      </w:r>
      <w:r>
        <w:rPr>
          <w:rFonts w:ascii="Arial" w:cs="Arial" w:eastAsia="Arial" w:hAnsi="Arial"/>
          <w:sz w:val="16"/>
          <w:szCs w:val="16"/>
          <w:color w:val="auto"/>
        </w:rPr>
        <w:t>, that (A) the failure of the Agent to make such objection shall not relieve the Company of any obligation or liability hereunder, or affect the Agent’s right to rely on the representations and warranties made by the Company in this Agreement),</w:t>
      </w:r>
    </w:p>
    <w:p>
      <w:pPr>
        <w:spacing w:after="0" w:line="1" w:lineRule="exact"/>
        <w:rPr>
          <w:rFonts w:ascii="Arial" w:cs="Arial" w:eastAsia="Arial" w:hAnsi="Arial"/>
          <w:sz w:val="16"/>
          <w:szCs w:val="16"/>
          <w:color w:val="auto"/>
        </w:rPr>
      </w:pPr>
    </w:p>
    <w:p>
      <w:pPr>
        <w:ind w:left="4" w:right="40" w:hanging="4"/>
        <w:spacing w:after="0" w:line="269" w:lineRule="auto"/>
        <w:tabs>
          <w:tab w:leader="none" w:pos="289"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(v) cause each amendment or supplement to the Prospectus, other than documents incorporated by reference, to be filed with the Commission as required pursuant to the applicable paragraph of Rule 424(b) of the Securities Act.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86" w:name="page87"/>
    <w:bookmarkEnd w:id="86"/>
    <w:p>
      <w:pPr>
        <w:ind w:left="-40" w:right="160" w:firstLine="987"/>
        <w:spacing w:after="0" w:line="257" w:lineRule="auto"/>
        <w:tabs>
          <w:tab w:leader="none" w:pos="1206"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Stop Order</w:t>
      </w:r>
      <w:r>
        <w:rPr>
          <w:rFonts w:ascii="Arial" w:cs="Arial" w:eastAsia="Arial" w:hAnsi="Arial"/>
          <w:sz w:val="18"/>
          <w:szCs w:val="18"/>
          <w:color w:val="auto"/>
        </w:rPr>
        <w:t>. The Company will advise the Agent, promptly after it receives notice or obtains knowledge thereof, of the issuance or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87" w:lineRule="exact"/>
        <w:rPr>
          <w:rFonts w:ascii="Arial" w:cs="Arial" w:eastAsia="Arial" w:hAnsi="Arial"/>
          <w:sz w:val="18"/>
          <w:szCs w:val="18"/>
          <w:color w:val="auto"/>
        </w:rPr>
      </w:pPr>
    </w:p>
    <w:p>
      <w:pPr>
        <w:ind w:left="-40" w:firstLine="987"/>
        <w:spacing w:after="0" w:line="269" w:lineRule="auto"/>
        <w:tabs>
          <w:tab w:leader="none" w:pos="1196"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Continuing Amendments</w:t>
      </w:r>
      <w:r>
        <w:rPr>
          <w:rFonts w:ascii="Arial" w:cs="Arial" w:eastAsia="Arial" w:hAnsi="Arial"/>
          <w:sz w:val="17"/>
          <w:szCs w:val="17"/>
          <w:color w:val="auto"/>
        </w:rPr>
        <w:t>. During any period in which a Prospectus relating to the Shares is required to be delivered by the Agent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181" w:lineRule="exact"/>
        <w:rPr>
          <w:rFonts w:ascii="Arial" w:cs="Arial" w:eastAsia="Arial" w:hAnsi="Arial"/>
          <w:sz w:val="17"/>
          <w:szCs w:val="17"/>
          <w:color w:val="auto"/>
        </w:rPr>
      </w:pPr>
    </w:p>
    <w:p>
      <w:pPr>
        <w:ind w:left="-40" w:right="40" w:firstLine="987"/>
        <w:spacing w:after="0" w:line="255" w:lineRule="auto"/>
        <w:tabs>
          <w:tab w:leader="none" w:pos="1206"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Qualification of the Shares</w:t>
      </w:r>
      <w:r>
        <w:rPr>
          <w:rFonts w:ascii="Arial" w:cs="Arial" w:eastAsia="Arial" w:hAnsi="Arial"/>
          <w:sz w:val="18"/>
          <w:szCs w:val="18"/>
          <w:color w:val="auto"/>
        </w:rPr>
        <w:t>. The Company shall take or cause to be taken all necessary action to qualify the Shares for sale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92" w:lineRule="exact"/>
        <w:rPr>
          <w:rFonts w:ascii="Arial" w:cs="Arial" w:eastAsia="Arial" w:hAnsi="Arial"/>
          <w:sz w:val="18"/>
          <w:szCs w:val="18"/>
          <w:color w:val="auto"/>
        </w:rPr>
      </w:pPr>
    </w:p>
    <w:p>
      <w:pPr>
        <w:ind w:left="-40" w:firstLine="987"/>
        <w:spacing w:after="0" w:line="257" w:lineRule="auto"/>
        <w:tabs>
          <w:tab w:leader="none" w:pos="1196"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Copies of Registration Statement and Prospectus</w:t>
      </w:r>
      <w:r>
        <w:rPr>
          <w:rFonts w:ascii="Arial" w:cs="Arial" w:eastAsia="Arial" w:hAnsi="Arial"/>
          <w:sz w:val="18"/>
          <w:szCs w:val="18"/>
          <w:color w:val="auto"/>
        </w:rPr>
        <w:t>. The Company will furnish to the Agent and counsel for the Agent copies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(which will include three complete manually signed copies of the Registration Statement and all consents and exhibits filed therewith), the Prospectus and all amendments and supplements to such documents, in each case as soon as available and in such quantities as the Agent may from time to time reasonably request; provided, however, that the Company’s obligations to provide such copies shall not apply to any filing available via EDGAR.</w:t>
      </w:r>
    </w:p>
    <w:p>
      <w:pPr>
        <w:spacing w:after="0" w:line="187" w:lineRule="exact"/>
        <w:rPr>
          <w:rFonts w:ascii="Arial" w:cs="Arial" w:eastAsia="Arial" w:hAnsi="Arial"/>
          <w:sz w:val="18"/>
          <w:szCs w:val="18"/>
          <w:color w:val="auto"/>
        </w:rPr>
      </w:pPr>
    </w:p>
    <w:p>
      <w:pPr>
        <w:ind w:left="-40" w:right="160" w:firstLine="987"/>
        <w:spacing w:after="0" w:line="263" w:lineRule="auto"/>
        <w:tabs>
          <w:tab w:leader="none" w:pos="1176"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Section 11(a)</w:t>
      </w:r>
      <w:r>
        <w:rPr>
          <w:rFonts w:ascii="Arial" w:cs="Arial" w:eastAsia="Arial" w:hAnsi="Arial"/>
          <w:sz w:val="18"/>
          <w:szCs w:val="18"/>
          <w:color w:val="auto"/>
        </w:rPr>
        <w:t>. The Company will make generally available to its security holders as soon as practicable an earnings statement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need not be audited) covering a 12-month period that shall satisfy the provisions of Section 11(a) of the Securities Act and Rule 158 promulgated thereunder.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4" w:right="499" w:bottom="1440" w:gutter="0" w:footer="0" w:header="0"/>
        </w:sectPr>
      </w:pPr>
    </w:p>
    <w:bookmarkStart w:id="87" w:name="page88"/>
    <w:bookmarkEnd w:id="87"/>
    <w:p>
      <w:pPr>
        <w:ind w:left="4" w:right="20" w:firstLine="987"/>
        <w:spacing w:after="0" w:line="283" w:lineRule="auto"/>
        <w:tabs>
          <w:tab w:leader="none" w:pos="1250" w:val="left"/>
        </w:tabs>
        <w:numPr>
          <w:ilvl w:val="1"/>
          <w:numId w:val="7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Arial" w:cs="Arial" w:eastAsia="Arial" w:hAnsi="Arial"/>
          <w:sz w:val="16"/>
          <w:szCs w:val="16"/>
          <w:color w:val="auto"/>
        </w:rPr>
        <w:t>. The Company, whether or not the transactions contemplated hereunder are consummated or this Agreement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transaction documents or closing documents, including Blue Sky Memoranda (covering the states and other applicable jurisdictions) and including the cost to furnish copies of each thereof to the Agent, (iii) all filing fees, (iv) all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actual and documented fees and disbursements of the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w:t>
      </w:r>
    </w:p>
    <w:p>
      <w:pPr>
        <w:spacing w:after="0" w:line="2" w:lineRule="exact"/>
        <w:rPr>
          <w:rFonts w:ascii="Arial" w:cs="Arial" w:eastAsia="Arial" w:hAnsi="Arial"/>
          <w:sz w:val="16"/>
          <w:szCs w:val="16"/>
          <w:color w:val="auto"/>
        </w:rPr>
      </w:pPr>
    </w:p>
    <w:p>
      <w:pPr>
        <w:ind w:left="4" w:hanging="4"/>
        <w:spacing w:after="0" w:line="253" w:lineRule="auto"/>
        <w:tabs>
          <w:tab w:leader="none" w:pos="3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other costs and expenses incident to the performance of its obligations hereunder that are not otherwise specifically provided for herein. In addition to (iv) and (vi) above, the Company shall reimburse the Agent for the out-of-pocket reasonable and documented expenses, including reasonable fees and disbursements of the Agent’s counsel (actually incurred in an amount which, taken together with the fees and disbursements of Agent’s counsel incurred pursuant to (iv) and (vi) above do not exceed $50,000).</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76"/>
        </w:numPr>
        <w:rPr>
          <w:rFonts w:ascii="Arial" w:cs="Arial" w:eastAsia="Arial" w:hAnsi="Arial"/>
          <w:sz w:val="16"/>
          <w:szCs w:val="16"/>
          <w:color w:val="auto"/>
        </w:rPr>
      </w:pPr>
      <w:r>
        <w:rPr>
          <w:rFonts w:ascii="Arial" w:cs="Arial" w:eastAsia="Arial" w:hAnsi="Arial"/>
          <w:sz w:val="16"/>
          <w:szCs w:val="16"/>
          <w:i w:val="1"/>
          <w:iCs w:val="1"/>
          <w:color w:val="auto"/>
        </w:rPr>
        <w:t>Use of Proceeds</w:t>
      </w:r>
      <w:r>
        <w:rPr>
          <w:rFonts w:ascii="Arial" w:cs="Arial" w:eastAsia="Arial" w:hAnsi="Arial"/>
          <w:sz w:val="16"/>
          <w:szCs w:val="16"/>
          <w:color w:val="auto"/>
        </w:rPr>
        <w:t>. The Company will apply the net proceeds from the sale of the Shares in the manner disclosed in the Prospectus.</w:t>
      </w:r>
    </w:p>
    <w:p>
      <w:pPr>
        <w:spacing w:after="0" w:line="248" w:lineRule="exact"/>
        <w:rPr>
          <w:rFonts w:ascii="Arial" w:cs="Arial" w:eastAsia="Arial" w:hAnsi="Arial"/>
          <w:sz w:val="16"/>
          <w:szCs w:val="16"/>
          <w:color w:val="auto"/>
        </w:rPr>
      </w:pPr>
    </w:p>
    <w:p>
      <w:pPr>
        <w:ind w:left="4" w:right="100" w:firstLine="987"/>
        <w:spacing w:after="0" w:line="269" w:lineRule="auto"/>
        <w:tabs>
          <w:tab w:leader="none" w:pos="1210"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Restrictions on Future Sales</w:t>
      </w:r>
      <w:r>
        <w:rPr>
          <w:rFonts w:ascii="Arial" w:cs="Arial" w:eastAsia="Arial" w:hAnsi="Arial"/>
          <w:sz w:val="17"/>
          <w:szCs w:val="17"/>
          <w:color w:val="auto"/>
        </w:rPr>
        <w:t>. During the period beginning on the third Trading Day immediately prior to the date on which any</w:t>
      </w:r>
      <w:r>
        <w:rPr>
          <w:rFonts w:ascii="Arial" w:cs="Arial" w:eastAsia="Arial" w:hAnsi="Arial"/>
          <w:sz w:val="17"/>
          <w:szCs w:val="17"/>
          <w:i w:val="1"/>
          <w:iCs w:val="1"/>
          <w:color w:val="auto"/>
        </w:rPr>
        <w:t xml:space="preserve"> </w:t>
      </w:r>
      <w:r>
        <w:rPr>
          <w:rFonts w:ascii="Arial" w:cs="Arial" w:eastAsia="Arial" w:hAnsi="Arial"/>
          <w:sz w:val="17"/>
          <w:szCs w:val="17"/>
          <w:color w:val="auto"/>
        </w:rPr>
        <w:t>Placement Notice is delivered to the Agent hereunder and ending on the third Trading Day immediately following the earlier of (x) the Settlement Date with respect to Shares sold pursuant to such Placement Notice and (y) the termination or suspension by the Company of such Placement Notice, the Company will not, without the prior written consent of the Agent,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 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sales of shares through any dividend</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88" w:name="page89"/>
    <w:bookmarkEnd w:id="8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reinvestment and stock purchase plan of the Company, (iii) sales of shares of restricted stock, restricted stock units and options granted pursuant to employee benefit plans existing as of the date hereof, and the Common Stock issuable upon the exercise of such outstanding options or vesting of such restricted stock units, (iv) grants made pursuant to Nasdaq Listing Rule 5635(c)(4), (v) the issuance of shares pursuant to the exercise of warrants, options or other derivative securities, (vi) the filing of registration statements on Form S-8, and (vii) the filing of a registration statement pursuant to any registration rights granted prior to the date hereof as disclosed in the Registration Statement.</w:t>
      </w:r>
    </w:p>
    <w:p>
      <w:pPr>
        <w:spacing w:after="0" w:line="176" w:lineRule="exact"/>
        <w:rPr>
          <w:sz w:val="20"/>
          <w:szCs w:val="20"/>
          <w:color w:val="auto"/>
        </w:rPr>
      </w:pPr>
    </w:p>
    <w:p>
      <w:pPr>
        <w:ind w:right="20" w:firstLine="987"/>
        <w:spacing w:after="0" w:line="271" w:lineRule="auto"/>
        <w:tabs>
          <w:tab w:leader="none" w:pos="120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No Stabilization or Manipulation</w:t>
      </w:r>
      <w:r>
        <w:rPr>
          <w:rFonts w:ascii="Arial" w:cs="Arial" w:eastAsia="Arial" w:hAnsi="Arial"/>
          <w:sz w:val="17"/>
          <w:szCs w:val="17"/>
          <w:color w:val="auto"/>
        </w:rPr>
        <w:t>. The Company has not taken and will not take, directly or indirectly, any action designed to, 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might reasonably be expected to cause or result in, or which constitutes: (i) the stabilization or manipulation of the price of the Common Stock or any other security of the Company to facilitate the sale or resale of the Shares, (ii) a violation of Regulation M. The Company shall notify the Agent of any violation of Regulation M by the Company or its subsidiary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Arial" w:cs="Arial" w:eastAsia="Arial" w:hAnsi="Arial"/>
          <w:sz w:val="17"/>
          <w:szCs w:val="17"/>
          <w:b w:val="1"/>
          <w:bCs w:val="1"/>
          <w:i w:val="1"/>
          <w:iCs w:val="1"/>
          <w:color w:val="auto"/>
        </w:rPr>
        <w:t>“Commodity Act”</w:t>
      </w:r>
      <w:r>
        <w:rPr>
          <w:rFonts w:ascii="Arial" w:cs="Arial" w:eastAsia="Arial" w:hAnsi="Arial"/>
          <w:sz w:val="17"/>
          <w:szCs w:val="17"/>
          <w:color w:val="auto"/>
        </w:rPr>
        <w:t>), or otherwise complies with the Commodity Act. The Company will not engage in any activities bearing on the Commodity Act, unless such activities are exempt from the Commodity Act or otherwise comply with the Commodity Act.</w:t>
      </w:r>
    </w:p>
    <w:p>
      <w:pPr>
        <w:spacing w:after="0" w:line="178" w:lineRule="exact"/>
        <w:rPr>
          <w:rFonts w:ascii="Arial" w:cs="Arial" w:eastAsia="Arial" w:hAnsi="Arial"/>
          <w:sz w:val="17"/>
          <w:szCs w:val="17"/>
          <w:color w:val="auto"/>
        </w:rPr>
      </w:pPr>
    </w:p>
    <w:p>
      <w:pPr>
        <w:jc w:val="both"/>
        <w:ind w:right="100" w:firstLine="987"/>
        <w:spacing w:after="0" w:line="342" w:lineRule="auto"/>
        <w:tabs>
          <w:tab w:leader="none" w:pos="1246"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No Other Broker</w:t>
      </w:r>
      <w:r>
        <w:rPr>
          <w:rFonts w:ascii="Arial" w:cs="Arial" w:eastAsia="Arial" w:hAnsi="Arial"/>
          <w:sz w:val="16"/>
          <w:szCs w:val="16"/>
          <w:color w:val="auto"/>
        </w:rPr>
        <w:t>. Except as contemplated by this Agreement, the Company will not incur any liability for any finder’s or broker’s fee</w:t>
      </w:r>
      <w:r>
        <w:rPr>
          <w:rFonts w:ascii="Arial" w:cs="Arial" w:eastAsia="Arial" w:hAnsi="Arial"/>
          <w:sz w:val="16"/>
          <w:szCs w:val="16"/>
          <w:i w:val="1"/>
          <w:iCs w:val="1"/>
          <w:color w:val="auto"/>
        </w:rPr>
        <w:t xml:space="preserve"> </w:t>
      </w:r>
      <w:r>
        <w:rPr>
          <w:rFonts w:ascii="Arial" w:cs="Arial" w:eastAsia="Arial" w:hAnsi="Arial"/>
          <w:sz w:val="16"/>
          <w:szCs w:val="16"/>
          <w:color w:val="auto"/>
        </w:rPr>
        <w:t>or agent’s commission in connection with the execution and delivery of this Agreement, or the consummation of the transactions contemplated hereby.</w:t>
      </w:r>
    </w:p>
    <w:p>
      <w:pPr>
        <w:spacing w:after="0" w:line="123" w:lineRule="exact"/>
        <w:rPr>
          <w:rFonts w:ascii="Arial" w:cs="Arial" w:eastAsia="Arial" w:hAnsi="Arial"/>
          <w:sz w:val="16"/>
          <w:szCs w:val="16"/>
          <w:color w:val="auto"/>
        </w:rPr>
      </w:pPr>
    </w:p>
    <w:p>
      <w:pPr>
        <w:ind w:right="260" w:firstLine="987"/>
        <w:spacing w:after="0" w:line="263" w:lineRule="auto"/>
        <w:tabs>
          <w:tab w:leader="none" w:pos="1206"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Timely Securities Act and Exchange Act Reports</w:t>
      </w:r>
      <w:r>
        <w:rPr>
          <w:rFonts w:ascii="Arial" w:cs="Arial" w:eastAsia="Arial" w:hAnsi="Arial"/>
          <w:sz w:val="18"/>
          <w:szCs w:val="18"/>
          <w:color w:val="auto"/>
        </w:rPr>
        <w:t>. During any prospectus delivery period, the Company will use its commercially</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efforts to file on a timely basis with the Commission such periodic and special reports as required by the Securities Act and the Exchange Act.</w:t>
      </w:r>
    </w:p>
    <w:p>
      <w:pPr>
        <w:spacing w:after="0" w:line="183" w:lineRule="exact"/>
        <w:rPr>
          <w:rFonts w:ascii="Arial" w:cs="Arial" w:eastAsia="Arial" w:hAnsi="Arial"/>
          <w:sz w:val="18"/>
          <w:szCs w:val="18"/>
          <w:color w:val="auto"/>
        </w:rPr>
      </w:pPr>
    </w:p>
    <w:p>
      <w:pPr>
        <w:ind w:right="40" w:firstLine="987"/>
        <w:spacing w:after="0" w:line="271" w:lineRule="auto"/>
        <w:tabs>
          <w:tab w:leader="none" w:pos="129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Internal Controls</w:t>
      </w:r>
      <w:r>
        <w:rPr>
          <w:rFonts w:ascii="Arial" w:cs="Arial" w:eastAsia="Arial" w:hAnsi="Arial"/>
          <w:sz w:val="17"/>
          <w:szCs w:val="17"/>
          <w:color w:val="auto"/>
        </w:rPr>
        <w:t>. The Company and its subsidiary will maintain such controls and other procedures, including without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those required by Sections 302 and 906 of the Sarbanes-Oxley Act and the applicable regulations thereunder, that are designed to provide reasonable assurances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subsidiary, is made known to them by others within those entities.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89" w:name="page90"/>
    <w:bookmarkEnd w:id="89"/>
    <w:p>
      <w:pPr>
        <w:ind w:right="80" w:firstLine="987"/>
        <w:spacing w:after="0" w:line="271" w:lineRule="auto"/>
        <w:tabs>
          <w:tab w:leader="none" w:pos="1246"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Free Writing Prospectus</w:t>
      </w:r>
      <w:r>
        <w:rPr>
          <w:rFonts w:ascii="Arial" w:cs="Arial" w:eastAsia="Arial" w:hAnsi="Arial"/>
          <w:sz w:val="17"/>
          <w:szCs w:val="17"/>
          <w:color w:val="auto"/>
        </w:rPr>
        <w:t>. The Company represents and agrees that, unless it obtains the prior written consent of the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the Agent severally represents and agrees that, unless it obtains the prior written consent of the Company, it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Arial" w:cs="Arial" w:eastAsia="Arial" w:hAnsi="Arial"/>
          <w:sz w:val="17"/>
          <w:szCs w:val="17"/>
          <w:b w:val="1"/>
          <w:bCs w:val="1"/>
          <w:i w:val="1"/>
          <w:iCs w:val="1"/>
          <w:color w:val="auto"/>
        </w:rPr>
        <w:t>“Permitted Free Writing Prospectus.”</w:t>
      </w:r>
      <w:r>
        <w:rPr>
          <w:rFonts w:ascii="Arial" w:cs="Arial" w:eastAsia="Arial" w:hAnsi="Arial"/>
          <w:sz w:val="17"/>
          <w:szCs w:val="17"/>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178" w:lineRule="exact"/>
        <w:rPr>
          <w:rFonts w:ascii="Arial" w:cs="Arial" w:eastAsia="Arial" w:hAnsi="Arial"/>
          <w:sz w:val="17"/>
          <w:szCs w:val="17"/>
          <w:color w:val="auto"/>
        </w:rPr>
      </w:pPr>
    </w:p>
    <w:p>
      <w:pPr>
        <w:ind w:right="40" w:firstLine="987"/>
        <w:spacing w:after="0" w:line="275" w:lineRule="auto"/>
        <w:tabs>
          <w:tab w:leader="none" w:pos="1246"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Representation Date and Opinions of Counsel</w:t>
      </w:r>
      <w:r>
        <w:rPr>
          <w:rFonts w:ascii="Arial" w:cs="Arial" w:eastAsia="Arial" w:hAnsi="Arial"/>
          <w:sz w:val="17"/>
          <w:szCs w:val="17"/>
          <w:color w:val="auto"/>
        </w:rPr>
        <w:t>. On or prior to the date of the first Placement Notice, and thereafter during the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under the Exchange Act, (each of the dates in (A), (B) and (C) are referred to herein as a “</w:t>
      </w:r>
      <w:r>
        <w:rPr>
          <w:rFonts w:ascii="Arial" w:cs="Arial" w:eastAsia="Arial" w:hAnsi="Arial"/>
          <w:sz w:val="17"/>
          <w:szCs w:val="17"/>
          <w:b w:val="1"/>
          <w:bCs w:val="1"/>
          <w:i w:val="1"/>
          <w:iCs w:val="1"/>
          <w:color w:val="auto"/>
        </w:rPr>
        <w:t>Representation Date</w:t>
      </w:r>
      <w:r>
        <w:rPr>
          <w:rFonts w:ascii="Arial" w:cs="Arial" w:eastAsia="Arial" w:hAnsi="Arial"/>
          <w:sz w:val="17"/>
          <w:szCs w:val="17"/>
          <w:color w:val="auto"/>
        </w:rPr>
        <w:t>”), the Company shall cause:</w:t>
      </w:r>
    </w:p>
    <w:p>
      <w:pPr>
        <w:spacing w:after="0" w:line="176" w:lineRule="exact"/>
        <w:rPr>
          <w:rFonts w:ascii="Arial" w:cs="Arial" w:eastAsia="Arial" w:hAnsi="Arial"/>
          <w:sz w:val="17"/>
          <w:szCs w:val="17"/>
          <w:color w:val="auto"/>
        </w:rPr>
      </w:pPr>
    </w:p>
    <w:p>
      <w:pPr>
        <w:ind w:right="140" w:firstLine="1428"/>
        <w:spacing w:after="0" w:line="259" w:lineRule="auto"/>
        <w:tabs>
          <w:tab w:leader="none" w:pos="16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Troutman Pepper Hamilton Sanders LLP, counsel for the Company, to furnish to the Agent the opinion and negative assurance letter of such counsel, dated as of such date and addressed to the Agent, in form and substance reasonably satisfactory to the Agent; provided however, the opinion of such counsel shall be required only prior to the date of the first Placement Notice and only a negative assurance letter of such counsel shall be required for each Representation Date.</w:t>
      </w:r>
    </w:p>
    <w:p>
      <w:pPr>
        <w:spacing w:after="0" w:line="186" w:lineRule="exact"/>
        <w:rPr>
          <w:rFonts w:ascii="Arial" w:cs="Arial" w:eastAsia="Arial" w:hAnsi="Arial"/>
          <w:sz w:val="18"/>
          <w:szCs w:val="18"/>
          <w:color w:val="auto"/>
        </w:rPr>
      </w:pPr>
    </w:p>
    <w:p>
      <w:pPr>
        <w:jc w:val="both"/>
        <w:ind w:right="80" w:firstLine="1428"/>
        <w:spacing w:after="0" w:line="263" w:lineRule="auto"/>
        <w:tabs>
          <w:tab w:leader="none" w:pos="1697" w:val="left"/>
        </w:tabs>
        <w:numPr>
          <w:ilvl w:val="1"/>
          <w:numId w:val="78"/>
        </w:numPr>
        <w:rPr>
          <w:rFonts w:ascii="Arial" w:cs="Arial" w:eastAsia="Arial" w:hAnsi="Arial"/>
          <w:sz w:val="18"/>
          <w:szCs w:val="18"/>
          <w:color w:val="auto"/>
        </w:rPr>
      </w:pPr>
      <w:r>
        <w:rPr>
          <w:rFonts w:ascii="Arial" w:cs="Arial" w:eastAsia="Arial" w:hAnsi="Arial"/>
          <w:sz w:val="18"/>
          <w:szCs w:val="18"/>
          <w:color w:val="auto"/>
        </w:rPr>
        <w:t>McCarter &amp; English,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and Sections 3(p), 3(q) and 3(v) hereof, the requirement to provide counsel opinions, a comfort letter, certificates and documents under this Section 3 shall be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the opinions, comfort letter, certificates and documents under this Section 3, then 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90" w:name="page91"/>
    <w:bookmarkEnd w:id="90"/>
    <w:p>
      <w:pPr>
        <w:ind w:firstLine="987"/>
        <w:spacing w:after="0" w:line="272" w:lineRule="auto"/>
        <w:tabs>
          <w:tab w:leader="none" w:pos="1246"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Date and Comfort Letter</w:t>
      </w:r>
      <w:r>
        <w:rPr>
          <w:rFonts w:ascii="Arial" w:cs="Arial" w:eastAsia="Arial" w:hAnsi="Arial"/>
          <w:sz w:val="17"/>
          <w:szCs w:val="17"/>
          <w:color w:val="auto"/>
        </w:rPr>
        <w:t>. On or prior to the date of the first Placement Notice and thereafter during the term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on each Representation Date to which a waiver does not apply, the Company shall cause PricewaterhouseCoopers LLP, or other independent accountants reasonably satisfactory to the Agent (the “</w:t>
      </w:r>
      <w:r>
        <w:rPr>
          <w:rFonts w:ascii="Arial" w:cs="Arial" w:eastAsia="Arial" w:hAnsi="Arial"/>
          <w:sz w:val="17"/>
          <w:szCs w:val="17"/>
          <w:b w:val="1"/>
          <w:bCs w:val="1"/>
          <w:i w:val="1"/>
          <w:iCs w:val="1"/>
          <w:color w:val="auto"/>
        </w:rPr>
        <w:t>Accountants</w:t>
      </w:r>
      <w:r>
        <w:rPr>
          <w:rFonts w:ascii="Arial" w:cs="Arial" w:eastAsia="Arial" w:hAnsi="Arial"/>
          <w:sz w:val="17"/>
          <w:szCs w:val="17"/>
          <w:color w:val="auto"/>
        </w:rPr>
        <w:t>”), to deliver to the Agent a letter, dated as of such date and addressed to the Agent,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covered by its letter in form and substance satisfactory to the Agent of the same tenor as the first such letter received hereunder.</w:t>
      </w:r>
    </w:p>
    <w:p>
      <w:pPr>
        <w:spacing w:after="0" w:line="177" w:lineRule="exact"/>
        <w:rPr>
          <w:rFonts w:ascii="Arial" w:cs="Arial" w:eastAsia="Arial" w:hAnsi="Arial"/>
          <w:sz w:val="17"/>
          <w:szCs w:val="17"/>
          <w:color w:val="auto"/>
        </w:rPr>
      </w:pPr>
    </w:p>
    <w:p>
      <w:pPr>
        <w:ind w:right="160" w:firstLine="987"/>
        <w:spacing w:after="0" w:line="259" w:lineRule="auto"/>
        <w:tabs>
          <w:tab w:leader="none" w:pos="1246" w:val="left"/>
        </w:tabs>
        <w:numPr>
          <w:ilvl w:val="0"/>
          <w:numId w:val="79"/>
        </w:numPr>
        <w:rPr>
          <w:rFonts w:ascii="Arial" w:cs="Arial" w:eastAsia="Arial" w:hAnsi="Arial"/>
          <w:sz w:val="18"/>
          <w:szCs w:val="18"/>
          <w:u w:val="single" w:color="auto"/>
          <w:color w:val="auto"/>
        </w:rPr>
      </w:pPr>
      <w:r>
        <w:rPr>
          <w:rFonts w:ascii="Arial" w:cs="Arial" w:eastAsia="Arial" w:hAnsi="Arial"/>
          <w:sz w:val="18"/>
          <w:szCs w:val="18"/>
          <w:i w:val="1"/>
          <w:iCs w:val="1"/>
          <w:color w:val="auto"/>
        </w:rPr>
        <w:t>Representation Date and Representation Certificate</w:t>
      </w:r>
      <w:r>
        <w:rPr>
          <w:rFonts w:ascii="Arial" w:cs="Arial" w:eastAsia="Arial" w:hAnsi="Arial"/>
          <w:sz w:val="18"/>
          <w:szCs w:val="18"/>
          <w:color w:val="auto"/>
        </w:rPr>
        <w:t>. On or prior to the date of the First Placement Notice and thereafter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 of this Agreement, on each Representation Date to which a waiver does not apply, the Company shall furnish to the Agent a certificate (the </w:t>
      </w:r>
      <w:r>
        <w:rPr>
          <w:rFonts w:ascii="Arial" w:cs="Arial" w:eastAsia="Arial" w:hAnsi="Arial"/>
          <w:sz w:val="18"/>
          <w:szCs w:val="18"/>
          <w:b w:val="1"/>
          <w:bCs w:val="1"/>
          <w:i w:val="1"/>
          <w:iCs w:val="1"/>
          <w:color w:val="auto"/>
        </w:rPr>
        <w:t>“Representation Certificate”</w:t>
      </w:r>
      <w:r>
        <w:rPr>
          <w:rFonts w:ascii="Arial" w:cs="Arial" w:eastAsia="Arial" w:hAnsi="Arial"/>
          <w:sz w:val="18"/>
          <w:szCs w:val="18"/>
          <w:color w:val="auto"/>
        </w:rPr>
        <w:t>), substantially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and dated as of such date, addressed to the Agent and signed by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and by the chief financial officer of the Company.</w:t>
      </w:r>
    </w:p>
    <w:p>
      <w:pPr>
        <w:spacing w:after="0" w:line="186" w:lineRule="exact"/>
        <w:rPr>
          <w:rFonts w:ascii="Arial" w:cs="Arial" w:eastAsia="Arial" w:hAnsi="Arial"/>
          <w:sz w:val="18"/>
          <w:szCs w:val="18"/>
          <w:u w:val="single" w:color="auto"/>
          <w:color w:val="auto"/>
        </w:rPr>
      </w:pPr>
    </w:p>
    <w:p>
      <w:pPr>
        <w:ind w:right="120" w:firstLine="987"/>
        <w:spacing w:after="0" w:line="263" w:lineRule="auto"/>
        <w:tabs>
          <w:tab w:leader="none" w:pos="121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Disclosure of Shares Sold</w:t>
      </w:r>
      <w:r>
        <w:rPr>
          <w:rFonts w:ascii="Arial" w:cs="Arial" w:eastAsia="Arial" w:hAnsi="Arial"/>
          <w:sz w:val="18"/>
          <w:szCs w:val="18"/>
          <w:color w:val="auto"/>
        </w:rPr>
        <w:t>. The Company shall disclose in its Quarterly Reports on Form 10-Q and in its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the Shares sold through the Agent under this Agreement, the net proceeds to the Company and the compensation paid by the Company with respect to sales of the Shares pursuant to this Agreement during the relevant quarter.</w:t>
      </w:r>
    </w:p>
    <w:p>
      <w:pPr>
        <w:spacing w:after="0" w:line="183" w:lineRule="exact"/>
        <w:rPr>
          <w:rFonts w:ascii="Arial" w:cs="Arial" w:eastAsia="Arial" w:hAnsi="Arial"/>
          <w:sz w:val="18"/>
          <w:szCs w:val="18"/>
          <w:color w:val="auto"/>
        </w:rPr>
      </w:pPr>
    </w:p>
    <w:p>
      <w:pPr>
        <w:ind w:right="160" w:firstLine="987"/>
        <w:spacing w:after="0" w:line="277" w:lineRule="auto"/>
        <w:tabs>
          <w:tab w:leader="none" w:pos="122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Continued Listing of Shares</w:t>
      </w:r>
      <w:r>
        <w:rPr>
          <w:rFonts w:ascii="Arial" w:cs="Arial" w:eastAsia="Arial" w:hAnsi="Arial"/>
          <w:sz w:val="18"/>
          <w:szCs w:val="18"/>
          <w:color w:val="auto"/>
        </w:rPr>
        <w:t>. The Company shall use its commercially reasonable efforts to maintain the listing of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Exchange.</w:t>
      </w:r>
    </w:p>
    <w:p>
      <w:pPr>
        <w:spacing w:after="0" w:line="170" w:lineRule="exact"/>
        <w:rPr>
          <w:rFonts w:ascii="Arial" w:cs="Arial" w:eastAsia="Arial" w:hAnsi="Arial"/>
          <w:sz w:val="18"/>
          <w:szCs w:val="18"/>
          <w:color w:val="auto"/>
        </w:rPr>
      </w:pPr>
    </w:p>
    <w:p>
      <w:pPr>
        <w:ind w:right="220" w:firstLine="987"/>
        <w:spacing w:after="0" w:line="263" w:lineRule="auto"/>
        <w:tabs>
          <w:tab w:leader="none" w:pos="120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Notice of Changes</w:t>
      </w:r>
      <w:r>
        <w:rPr>
          <w:rFonts w:ascii="Arial" w:cs="Arial" w:eastAsia="Arial" w:hAnsi="Arial"/>
          <w:sz w:val="18"/>
          <w:szCs w:val="18"/>
          <w:color w:val="auto"/>
        </w:rPr>
        <w:t>. At any time during the term of this Agreement, as supplemented from time to time, the Company shall advise the</w:t>
      </w:r>
      <w:r>
        <w:rPr>
          <w:rFonts w:ascii="Arial" w:cs="Arial" w:eastAsia="Arial" w:hAnsi="Arial"/>
          <w:sz w:val="18"/>
          <w:szCs w:val="18"/>
          <w:i w:val="1"/>
          <w:iCs w:val="1"/>
          <w:color w:val="auto"/>
        </w:rPr>
        <w:t xml:space="preserve"> </w:t>
      </w:r>
      <w:r>
        <w:rPr>
          <w:rFonts w:ascii="Arial" w:cs="Arial" w:eastAsia="Arial" w:hAnsi="Arial"/>
          <w:sz w:val="18"/>
          <w:szCs w:val="18"/>
          <w:color w:val="auto"/>
        </w:rPr>
        <w:t>Agent as soon as practicable after it shall have received notice or obtain knowledge thereof, of any information or fact that would alter or affect any opinion, certificate, letter and other document provided to the Agent pursuant to this Section 3.</w:t>
      </w:r>
    </w:p>
    <w:p>
      <w:pPr>
        <w:spacing w:after="0" w:line="183"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Maximum Amount</w:t>
      </w:r>
      <w:r>
        <w:rPr>
          <w:rFonts w:ascii="Arial" w:cs="Arial" w:eastAsia="Arial" w:hAnsi="Arial"/>
          <w:sz w:val="18"/>
          <w:szCs w:val="18"/>
          <w:color w:val="auto"/>
        </w:rPr>
        <w:t>. The Company will not instruct the Agent to sell or otherwise attempt to sell Shares pursuant to this Agreement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the Maximum Amount.</w:t>
      </w:r>
    </w:p>
    <w:p>
      <w:pPr>
        <w:spacing w:after="0" w:line="170" w:lineRule="exact"/>
        <w:rPr>
          <w:sz w:val="20"/>
          <w:szCs w:val="20"/>
          <w:color w:val="auto"/>
        </w:rPr>
      </w:pPr>
    </w:p>
    <w:p>
      <w:pPr>
        <w:ind w:right="100" w:firstLine="436"/>
        <w:spacing w:after="0" w:line="259" w:lineRule="auto"/>
        <w:tabs>
          <w:tab w:leader="none" w:pos="620" w:val="left"/>
        </w:tabs>
        <w:numPr>
          <w:ilvl w:val="0"/>
          <w:numId w:val="8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Conditions of Agent’s Obligations</w:t>
      </w:r>
      <w:r>
        <w:rPr>
          <w:rFonts w:ascii="Arial" w:cs="Arial" w:eastAsia="Arial" w:hAnsi="Arial"/>
          <w:sz w:val="18"/>
          <w:szCs w:val="18"/>
          <w:color w:val="auto"/>
        </w:rPr>
        <w:t>. The obligations of the Agent hereunder are subject to (i) the accuracy, as of the date of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Representation Date, each Notice Date, each Applicable Time, and each Settlement Date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91" w:name="page92"/>
    <w:bookmarkEnd w:id="91"/>
    <w:p>
      <w:pPr>
        <w:ind w:right="140" w:firstLine="987"/>
        <w:spacing w:after="0" w:line="271" w:lineRule="auto"/>
        <w:tabs>
          <w:tab w:leader="none" w:pos="1236"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Amendments; No Stop Order</w:t>
      </w:r>
      <w:r>
        <w:rPr>
          <w:rFonts w:ascii="Arial" w:cs="Arial" w:eastAsia="Arial" w:hAnsi="Arial"/>
          <w:sz w:val="17"/>
          <w:szCs w:val="17"/>
          <w:color w:val="auto"/>
        </w:rPr>
        <w:t>. If filing of the Prospectus, or any amendment or supplement thereto, or any Permitted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satisfaction.</w:t>
      </w:r>
    </w:p>
    <w:p>
      <w:pPr>
        <w:spacing w:after="0" w:line="178" w:lineRule="exact"/>
        <w:rPr>
          <w:rFonts w:ascii="Arial" w:cs="Arial" w:eastAsia="Arial" w:hAnsi="Arial"/>
          <w:sz w:val="17"/>
          <w:szCs w:val="17"/>
          <w:color w:val="auto"/>
        </w:rPr>
      </w:pPr>
    </w:p>
    <w:p>
      <w:pPr>
        <w:ind w:right="100" w:firstLine="987"/>
        <w:spacing w:after="0" w:line="268" w:lineRule="auto"/>
        <w:tabs>
          <w:tab w:leader="none" w:pos="1246"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Absence of Certain Events</w:t>
      </w:r>
      <w:r>
        <w:rPr>
          <w:rFonts w:ascii="Arial" w:cs="Arial" w:eastAsia="Arial" w:hAnsi="Arial"/>
          <w:sz w:val="17"/>
          <w:szCs w:val="17"/>
          <w:color w:val="auto"/>
        </w:rPr>
        <w:t>. None of the following events shall have occurred and be continuing: (i) receipt by the Company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6" w:lineRule="exact"/>
        <w:rPr>
          <w:rFonts w:ascii="Arial" w:cs="Arial" w:eastAsia="Arial" w:hAnsi="Arial"/>
          <w:sz w:val="17"/>
          <w:szCs w:val="17"/>
          <w:color w:val="auto"/>
        </w:rPr>
      </w:pPr>
    </w:p>
    <w:p>
      <w:pPr>
        <w:ind w:right="480" w:firstLine="987"/>
        <w:spacing w:after="0" w:line="286" w:lineRule="auto"/>
        <w:tabs>
          <w:tab w:leader="none" w:pos="1236"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No Material Misstatement or Omission</w:t>
      </w:r>
      <w:r>
        <w:rPr>
          <w:rFonts w:ascii="Arial" w:cs="Arial" w:eastAsia="Arial" w:hAnsi="Arial"/>
          <w:sz w:val="17"/>
          <w:szCs w:val="17"/>
          <w:color w:val="auto"/>
        </w:rPr>
        <w:t>. The Agent shall not have advised the Company that the Registration Statement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165" w:lineRule="exact"/>
        <w:rPr>
          <w:rFonts w:ascii="Arial" w:cs="Arial" w:eastAsia="Arial" w:hAnsi="Arial"/>
          <w:sz w:val="17"/>
          <w:szCs w:val="17"/>
          <w:color w:val="auto"/>
        </w:rPr>
      </w:pPr>
    </w:p>
    <w:p>
      <w:pPr>
        <w:ind w:firstLine="987"/>
        <w:spacing w:after="0" w:line="269" w:lineRule="auto"/>
        <w:tabs>
          <w:tab w:leader="none" w:pos="1246"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No Adverse Changes</w:t>
      </w:r>
      <w:r>
        <w:rPr>
          <w:rFonts w:ascii="Arial" w:cs="Arial" w:eastAsia="Arial" w:hAnsi="Arial"/>
          <w:sz w:val="17"/>
          <w:szCs w:val="17"/>
          <w:color w:val="auto"/>
        </w:rPr>
        <w:t>. Except as disclosed in the Prospectus, subsequent to the respective dates as of which information is given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neither the Company nor its subsidiary shall have incurred any material liabilities or obligations, direct or contingent, or entered into any material transactions, or declared or paid any dividends or made any distribution of any kind with respect to its capital stock; and there shall not have been any material change in the capital stock (other than a change in the number of outstanding shares of Common Stock due to the issuance of shares of Common Stock upon the exercise of outstanding options or warrants), or any material change in the short-term or long-term debt of the Company, or any issuance of options, warrants, convertible securities or other rights to purchase the capital stock of the Company or its subsidiary, or any development involving a prospective Material Adverse Effect (whether or not arising in the ordinary course of business), or any loss by strike, fire, flood, earthquake, accident or other calamity, whether or not covered by insurance, incurred by the Company or its subsidiary, the effect of which, in any such case described above, in the Agent’s judgment, makes it impractical or inadvisable to offer or deliver the Shares on the terms and in the manner contemplated in the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92" w:name="page93"/>
    <w:bookmarkEnd w:id="92"/>
    <w:p>
      <w:pPr>
        <w:ind w:right="100" w:firstLine="987"/>
        <w:spacing w:after="0" w:line="259"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Rating Downgrade</w:t>
      </w:r>
      <w:r>
        <w:rPr>
          <w:rFonts w:ascii="Arial" w:cs="Arial" w:eastAsia="Arial" w:hAnsi="Arial"/>
          <w:sz w:val="18"/>
          <w:szCs w:val="18"/>
          <w:color w:val="auto"/>
        </w:rPr>
        <w:t>. On or after each Applicable Time (i) no downgrading shall have occurred in the rating accorded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186" w:lineRule="exact"/>
        <w:rPr>
          <w:rFonts w:ascii="Arial" w:cs="Arial" w:eastAsia="Arial" w:hAnsi="Arial"/>
          <w:sz w:val="18"/>
          <w:szCs w:val="18"/>
          <w:color w:val="auto"/>
        </w:rPr>
      </w:pPr>
    </w:p>
    <w:p>
      <w:pPr>
        <w:ind w:left="1220" w:hanging="233"/>
        <w:spacing w:after="0"/>
        <w:tabs>
          <w:tab w:leader="none" w:pos="122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Compliance with Certain Obligations</w:t>
      </w:r>
      <w:r>
        <w:rPr>
          <w:rFonts w:ascii="Arial" w:cs="Arial" w:eastAsia="Arial" w:hAnsi="Arial"/>
          <w:sz w:val="17"/>
          <w:szCs w:val="17"/>
          <w:color w:val="auto"/>
        </w:rPr>
        <w:t>. The Company shall have performed each of its obligations under Sections 3(o) – 3(q)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3(v).</w:t>
      </w:r>
    </w:p>
    <w:p>
      <w:pPr>
        <w:spacing w:after="0" w:line="210" w:lineRule="exact"/>
        <w:rPr>
          <w:rFonts w:ascii="Arial" w:cs="Arial" w:eastAsia="Arial" w:hAnsi="Arial"/>
          <w:sz w:val="17"/>
          <w:szCs w:val="17"/>
          <w:color w:val="auto"/>
        </w:rPr>
      </w:pPr>
    </w:p>
    <w:p>
      <w:pPr>
        <w:ind w:firstLine="987"/>
        <w:spacing w:after="0" w:line="255"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Opinion of Agent Counsel</w:t>
      </w:r>
      <w:r>
        <w:rPr>
          <w:rFonts w:ascii="Arial" w:cs="Arial" w:eastAsia="Arial" w:hAnsi="Arial"/>
          <w:sz w:val="18"/>
          <w:szCs w:val="18"/>
          <w:color w:val="auto"/>
        </w:rPr>
        <w:t>. On each Representation Date to which a waiver does not apply, there shall have been furnished to the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 opinion and negative assurance letter of Mintz, Levin, Cohn, Ferris, Glovsky and Popeo, P.C., counsel for the Agent, dated as of such Representation Date and addressed to the Agent, in a form reasonably satisfactory to the Agent, and such counsel shall have received such papers and information as they request to enable them to pass upon such matters; provided however, the opinion of Mintz, Levin, Cohn, Ferris, Glovsky and Popeo, P.C. shall only be required prior to the first Placement Notice, and thereafter, only a negative assurance letter of such counsel shall be required for each subsequent Representation Date.</w:t>
      </w:r>
    </w:p>
    <w:p>
      <w:pPr>
        <w:spacing w:after="0" w:line="192" w:lineRule="exact"/>
        <w:rPr>
          <w:rFonts w:ascii="Arial" w:cs="Arial" w:eastAsia="Arial" w:hAnsi="Arial"/>
          <w:sz w:val="18"/>
          <w:szCs w:val="18"/>
          <w:color w:val="auto"/>
        </w:rPr>
      </w:pPr>
    </w:p>
    <w:p>
      <w:pPr>
        <w:ind w:right="420" w:firstLine="987"/>
        <w:spacing w:after="0" w:line="277" w:lineRule="auto"/>
        <w:tabs>
          <w:tab w:leader="none" w:pos="1246" w:val="left"/>
        </w:tabs>
        <w:numPr>
          <w:ilvl w:val="0"/>
          <w:numId w:val="82"/>
        </w:numPr>
        <w:rPr>
          <w:rFonts w:ascii="Arial" w:cs="Arial" w:eastAsia="Arial" w:hAnsi="Arial"/>
          <w:sz w:val="18"/>
          <w:szCs w:val="18"/>
          <w:u w:val="single" w:color="auto"/>
          <w:color w:val="auto"/>
        </w:rPr>
      </w:pPr>
      <w:r>
        <w:rPr>
          <w:rFonts w:ascii="Arial" w:cs="Arial" w:eastAsia="Arial" w:hAnsi="Arial"/>
          <w:sz w:val="18"/>
          <w:szCs w:val="18"/>
          <w:i w:val="1"/>
          <w:iCs w:val="1"/>
          <w:color w:val="auto"/>
        </w:rPr>
        <w:t>Representation Certificate</w:t>
      </w:r>
      <w:r>
        <w:rPr>
          <w:rFonts w:ascii="Arial" w:cs="Arial" w:eastAsia="Arial" w:hAnsi="Arial"/>
          <w:sz w:val="18"/>
          <w:szCs w:val="18"/>
          <w:color w:val="auto"/>
        </w:rPr>
        <w:t>. On or prior to the first Placement Notice, the Agent shall have received the Representation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substantially in the form of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u w:val="single" w:color="auto"/>
          <w:color w:val="auto"/>
        </w:rPr>
      </w:pPr>
    </w:p>
    <w:p>
      <w:pPr>
        <w:ind w:left="1200" w:hanging="213"/>
        <w:spacing w:after="0"/>
        <w:tabs>
          <w:tab w:leader="none" w:pos="12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No Objection by FINRA</w:t>
      </w:r>
      <w:r>
        <w:rPr>
          <w:rFonts w:ascii="Arial" w:cs="Arial" w:eastAsia="Arial" w:hAnsi="Arial"/>
          <w:sz w:val="17"/>
          <w:szCs w:val="17"/>
          <w:color w:val="auto"/>
        </w:rPr>
        <w:t>. FINRA shall have raised no objection to the fairness and reasonableness of the compensation terms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arrangements.</w:t>
      </w:r>
    </w:p>
    <w:p>
      <w:pPr>
        <w:spacing w:after="0" w:line="210" w:lineRule="exact"/>
        <w:rPr>
          <w:rFonts w:ascii="Arial" w:cs="Arial" w:eastAsia="Arial" w:hAnsi="Arial"/>
          <w:sz w:val="17"/>
          <w:szCs w:val="17"/>
          <w:color w:val="auto"/>
        </w:rPr>
      </w:pPr>
    </w:p>
    <w:p>
      <w:pPr>
        <w:ind w:right="80" w:firstLine="987"/>
        <w:spacing w:after="0" w:line="263" w:lineRule="auto"/>
        <w:tabs>
          <w:tab w:leader="none" w:pos="120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Timely Filing of Prospectus</w:t>
      </w:r>
      <w:r>
        <w:rPr>
          <w:rFonts w:ascii="Arial" w:cs="Arial" w:eastAsia="Arial" w:hAnsi="Arial"/>
          <w:sz w:val="18"/>
          <w:szCs w:val="18"/>
          <w:color w:val="auto"/>
        </w:rPr>
        <w:t>. All filings with the Commission required by Rule 424 under the Securities Act to have been filed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Date, as the case may be, shall have been made within the applicable time period prescribed for such filing by Rule 424 under the Securities Act.</w:t>
      </w:r>
    </w:p>
    <w:p>
      <w:pPr>
        <w:spacing w:after="0" w:line="183"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Additional Documents and Certificates</w:t>
      </w:r>
      <w:r>
        <w:rPr>
          <w:rFonts w:ascii="Arial" w:cs="Arial" w:eastAsia="Arial" w:hAnsi="Arial"/>
          <w:sz w:val="18"/>
          <w:szCs w:val="18"/>
          <w:color w:val="auto"/>
        </w:rPr>
        <w:t>. The Company shall have furnished to the Agent and the Agent’s counsel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certificates and evidence as they may have reasonably requested.</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All opinions, certificates, letters and other documents described in this Section 4 will be in compliance with the provisions hereof only if they are reasonably satisfactory in form and substance to the Agent and the Agent’s counsel. The Company will furnish the Agent with such conformed copies of such opinions, certificates, letters and other documents as the Agent shall reasonably request.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93" w:name="page94"/>
    <w:bookmarkEnd w:id="93"/>
    <w:p>
      <w:pPr>
        <w:ind w:left="620" w:hanging="184"/>
        <w:spacing w:after="0"/>
        <w:tabs>
          <w:tab w:leader="none" w:pos="620" w:val="left"/>
        </w:tabs>
        <w:numPr>
          <w:ilvl w:val="0"/>
          <w:numId w:val="8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ind w:firstLine="987"/>
        <w:spacing w:after="0" w:line="257" w:lineRule="auto"/>
        <w:tabs>
          <w:tab w:leader="none" w:pos="1236" w:val="left"/>
        </w:tabs>
        <w:numPr>
          <w:ilvl w:val="1"/>
          <w:numId w:val="83"/>
        </w:numPr>
        <w:rPr>
          <w:rFonts w:ascii="Arial" w:cs="Arial" w:eastAsia="Arial" w:hAnsi="Arial"/>
          <w:sz w:val="18"/>
          <w:szCs w:val="18"/>
          <w:color w:val="auto"/>
        </w:rPr>
      </w:pPr>
      <w:r>
        <w:rPr>
          <w:rFonts w:ascii="Arial" w:cs="Arial" w:eastAsia="Arial" w:hAnsi="Arial"/>
          <w:sz w:val="18"/>
          <w:szCs w:val="18"/>
          <w:i w:val="1"/>
          <w:iCs w:val="1"/>
          <w:color w:val="auto"/>
        </w:rPr>
        <w:t>Company Indemnification</w:t>
      </w:r>
      <w:r>
        <w:rPr>
          <w:rFonts w:ascii="Arial" w:cs="Arial" w:eastAsia="Arial" w:hAnsi="Arial"/>
          <w:sz w:val="18"/>
          <w:szCs w:val="18"/>
          <w:color w:val="auto"/>
        </w:rPr>
        <w:t>. The Company agrees to indemnify and hold harmless the Agent, its affiliates, and their respective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agents and 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187" w:lineRule="exact"/>
        <w:rPr>
          <w:rFonts w:ascii="Arial" w:cs="Arial" w:eastAsia="Arial" w:hAnsi="Arial"/>
          <w:sz w:val="18"/>
          <w:szCs w:val="18"/>
          <w:color w:val="auto"/>
        </w:rPr>
      </w:pPr>
    </w:p>
    <w:p>
      <w:pPr>
        <w:ind w:right="20" w:firstLine="1428"/>
        <w:spacing w:after="0" w:line="254" w:lineRule="auto"/>
        <w:tabs>
          <w:tab w:leader="none" w:pos="1647"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an untrue statement or alleged untrue statement of a material fact contained in the Registration Statement, including the 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Arial" w:cs="Arial" w:eastAsia="Arial" w:hAnsi="Arial"/>
          <w:sz w:val="18"/>
          <w:szCs w:val="18"/>
          <w:b w:val="1"/>
          <w:bCs w:val="1"/>
          <w:i w:val="1"/>
          <w:iCs w:val="1"/>
          <w:color w:val="auto"/>
        </w:rPr>
        <w:t>“road show”</w:t>
      </w:r>
      <w:r>
        <w:rPr>
          <w:rFonts w:ascii="Arial" w:cs="Arial" w:eastAsia="Arial" w:hAnsi="Arial"/>
          <w:sz w:val="18"/>
          <w:szCs w:val="18"/>
          <w:color w:val="auto"/>
        </w:rPr>
        <w:t>), or an omission or alleged omission to state therein a material fact required to be stated therein or necessary to make the statements therein not misleading,</w:t>
      </w:r>
    </w:p>
    <w:p>
      <w:pPr>
        <w:spacing w:after="0" w:line="194" w:lineRule="exact"/>
        <w:rPr>
          <w:rFonts w:ascii="Arial" w:cs="Arial" w:eastAsia="Arial" w:hAnsi="Arial"/>
          <w:sz w:val="18"/>
          <w:szCs w:val="18"/>
          <w:color w:val="auto"/>
        </w:rPr>
      </w:pPr>
    </w:p>
    <w:p>
      <w:pPr>
        <w:ind w:left="1700" w:hanging="272"/>
        <w:spacing w:after="0"/>
        <w:tabs>
          <w:tab w:leader="none" w:pos="170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inaccuracy in the representations and warranties of the Company contained herein;</w:t>
      </w:r>
    </w:p>
    <w:p>
      <w:pPr>
        <w:spacing w:after="0" w:line="225" w:lineRule="exact"/>
        <w:rPr>
          <w:rFonts w:ascii="Arial" w:cs="Arial" w:eastAsia="Arial" w:hAnsi="Arial"/>
          <w:sz w:val="18"/>
          <w:szCs w:val="18"/>
          <w:color w:val="auto"/>
        </w:rPr>
      </w:pPr>
    </w:p>
    <w:p>
      <w:pPr>
        <w:ind w:right="140" w:firstLine="1428"/>
        <w:spacing w:after="0" w:line="277" w:lineRule="auto"/>
        <w:tabs>
          <w:tab w:leader="none" w:pos="1747"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investigation or proceeding by any governmental authority, commenced or threatened (whether or not the Agent is a target of or party to such investigation or proceeding); or</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any failure of the Company to perform its respective obligations hereunder or under law;</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and will reimburse the Agent for any legal or other expenses reasonably incurred by it in connection with investigating or defending against such loss, claim, damage, liability or action;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shall not be liable in any such case of (i) through (iv)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Arial" w:cs="Arial" w:eastAsia="Arial" w:hAnsi="Arial"/>
          <w:sz w:val="18"/>
          <w:szCs w:val="18"/>
          <w:b w:val="1"/>
          <w:bCs w:val="1"/>
          <w:i w:val="1"/>
          <w:iCs w:val="1"/>
          <w:color w:val="auto"/>
        </w:rPr>
        <w:t>Rule 430B Information</w:t>
      </w:r>
      <w:r>
        <w:rPr>
          <w:rFonts w:ascii="Arial" w:cs="Arial" w:eastAsia="Arial" w:hAnsi="Arial"/>
          <w:sz w:val="18"/>
          <w:szCs w:val="18"/>
          <w:color w:val="auto"/>
        </w:rPr>
        <w:t>,” as used herein, means information with respect to the Shares and the offering thereof permitted to be omitted from the Registration Statement when it becomes effective pursuant to Rule 430B.</w:t>
      </w:r>
    </w:p>
    <w:p>
      <w:pPr>
        <w:spacing w:after="0" w:line="19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actual and documented legal fees or other expenses incurred in connection with investigating or defending any such claim, action, investigation, inquiry or other proceeding, notwithstanding the absence of a judicial determination as to the propriety and enforceability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94" w:name="page95"/>
    <w:bookmarkEnd w:id="9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165" w:lineRule="exact"/>
        <w:rPr>
          <w:sz w:val="20"/>
          <w:szCs w:val="20"/>
          <w:color w:val="auto"/>
        </w:rPr>
      </w:pPr>
    </w:p>
    <w:p>
      <w:pPr>
        <w:ind w:right="20" w:firstLine="987"/>
        <w:spacing w:after="0" w:line="269" w:lineRule="auto"/>
        <w:tabs>
          <w:tab w:leader="none" w:pos="1246"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Agent Indemnification</w:t>
      </w:r>
      <w:r>
        <w:rPr>
          <w:rFonts w:ascii="Arial" w:cs="Arial" w:eastAsia="Arial" w:hAnsi="Arial"/>
          <w:sz w:val="17"/>
          <w:szCs w:val="17"/>
          <w:color w:val="auto"/>
        </w:rPr>
        <w:t>. The Agent will indemnify and hold harmless the Company against any losses, claims, damages or liabilities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seventh and ninth paragraphs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181" w:lineRule="exact"/>
        <w:rPr>
          <w:rFonts w:ascii="Arial" w:cs="Arial" w:eastAsia="Arial" w:hAnsi="Arial"/>
          <w:sz w:val="17"/>
          <w:szCs w:val="17"/>
          <w:color w:val="auto"/>
        </w:rPr>
      </w:pPr>
    </w:p>
    <w:p>
      <w:pPr>
        <w:ind w:firstLine="987"/>
        <w:spacing w:after="0" w:line="268" w:lineRule="auto"/>
        <w:tabs>
          <w:tab w:leader="none" w:pos="1236"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Notice and Procedures</w:t>
      </w:r>
      <w:r>
        <w:rPr>
          <w:rFonts w:ascii="Arial" w:cs="Arial" w:eastAsia="Arial" w:hAnsi="Arial"/>
          <w:sz w:val="17"/>
          <w:szCs w:val="17"/>
          <w:color w:val="auto"/>
        </w:rPr>
        <w:t>. Promptly after receipt by an indemnified party under subsection (a) or (b) above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 (a)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95" w:name="page96"/>
    <w:bookmarkEnd w:id="95"/>
    <w:p>
      <w:pPr>
        <w:ind w:left="4" w:right="16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74" w:lineRule="exact"/>
        <w:rPr>
          <w:sz w:val="20"/>
          <w:szCs w:val="20"/>
          <w:color w:val="auto"/>
        </w:rPr>
      </w:pPr>
    </w:p>
    <w:p>
      <w:pPr>
        <w:ind w:left="4" w:firstLine="987"/>
        <w:spacing w:after="0" w:line="286" w:lineRule="auto"/>
        <w:tabs>
          <w:tab w:leader="none" w:pos="1250"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Contribution; Limitations on Liability; Non-Exclusive Remedy</w:t>
      </w:r>
      <w:r>
        <w:rPr>
          <w:rFonts w:ascii="Arial" w:cs="Arial" w:eastAsia="Arial" w:hAnsi="Arial"/>
          <w:sz w:val="16"/>
          <w:szCs w:val="16"/>
          <w:color w:val="auto"/>
        </w:rPr>
        <w:t>. If the indemnification provided for in this Section 5 is unavailable or</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w:t>
      </w:r>
    </w:p>
    <w:p>
      <w:pPr>
        <w:spacing w:after="0" w:line="1" w:lineRule="exact"/>
        <w:rPr>
          <w:rFonts w:ascii="Arial" w:cs="Arial" w:eastAsia="Arial" w:hAnsi="Arial"/>
          <w:sz w:val="16"/>
          <w:szCs w:val="16"/>
          <w:color w:val="auto"/>
        </w:rPr>
      </w:pPr>
    </w:p>
    <w:p>
      <w:pPr>
        <w:ind w:left="4" w:hanging="4"/>
        <w:spacing w:after="0" w:line="284" w:lineRule="auto"/>
        <w:tabs>
          <w:tab w:leader="none" w:pos="269"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10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96" w:name="page97"/>
    <w:bookmarkEnd w:id="96"/>
    <w:p>
      <w:pPr>
        <w:ind w:right="80" w:firstLine="436"/>
        <w:spacing w:after="0" w:line="257" w:lineRule="auto"/>
        <w:tabs>
          <w:tab w:leader="none" w:pos="62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Agreements to Survive Delivery</w:t>
      </w:r>
      <w:r>
        <w:rPr>
          <w:rFonts w:ascii="Arial" w:cs="Arial" w:eastAsia="Arial" w:hAnsi="Arial"/>
          <w:sz w:val="18"/>
          <w:szCs w:val="18"/>
          <w:color w:val="auto"/>
        </w:rPr>
        <w:t>. All representations, warranties, and agreements of the Company herein or in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87" w:lineRule="exact"/>
        <w:rPr>
          <w:rFonts w:ascii="Arial" w:cs="Arial" w:eastAsia="Arial" w:hAnsi="Arial"/>
          <w:sz w:val="18"/>
          <w:szCs w:val="18"/>
          <w:b w:val="1"/>
          <w:bCs w:val="1"/>
          <w:i w:val="1"/>
          <w:iCs w:val="1"/>
          <w:color w:val="auto"/>
        </w:rPr>
      </w:pPr>
    </w:p>
    <w:p>
      <w:pPr>
        <w:ind w:left="620" w:hanging="184"/>
        <w:spacing w:after="0"/>
        <w:tabs>
          <w:tab w:leader="none" w:pos="62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Termination of this Agreement.</w:t>
      </w:r>
    </w:p>
    <w:p>
      <w:pPr>
        <w:spacing w:after="0" w:line="225" w:lineRule="exact"/>
        <w:rPr>
          <w:rFonts w:ascii="Arial" w:cs="Arial" w:eastAsia="Arial" w:hAnsi="Arial"/>
          <w:sz w:val="18"/>
          <w:szCs w:val="18"/>
          <w:b w:val="1"/>
          <w:bCs w:val="1"/>
          <w:i w:val="1"/>
          <w:iCs w:val="1"/>
          <w:color w:val="auto"/>
        </w:rPr>
      </w:pPr>
    </w:p>
    <w:p>
      <w:pPr>
        <w:ind w:right="20" w:firstLine="987"/>
        <w:spacing w:after="0" w:line="275" w:lineRule="auto"/>
        <w:tabs>
          <w:tab w:leader="none" w:pos="1236"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176" w:lineRule="exact"/>
        <w:rPr>
          <w:rFonts w:ascii="Arial" w:cs="Arial" w:eastAsia="Arial" w:hAnsi="Arial"/>
          <w:sz w:val="17"/>
          <w:szCs w:val="17"/>
          <w:color w:val="auto"/>
        </w:rPr>
      </w:pPr>
    </w:p>
    <w:p>
      <w:pPr>
        <w:ind w:right="100" w:firstLine="987"/>
        <w:spacing w:after="0" w:line="259"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Agent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186" w:lineRule="exact"/>
        <w:rPr>
          <w:rFonts w:ascii="Arial" w:cs="Arial" w:eastAsia="Arial" w:hAnsi="Arial"/>
          <w:sz w:val="18"/>
          <w:szCs w:val="18"/>
          <w:color w:val="auto"/>
        </w:rPr>
      </w:pPr>
    </w:p>
    <w:p>
      <w:pPr>
        <w:jc w:val="both"/>
        <w:ind w:right="160" w:firstLine="987"/>
        <w:spacing w:after="0" w:line="263" w:lineRule="auto"/>
        <w:tabs>
          <w:tab w:leader="none" w:pos="12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7, this Agreement shall automatically terminate upon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183" w:lineRule="exact"/>
        <w:rPr>
          <w:rFonts w:ascii="Arial" w:cs="Arial" w:eastAsia="Arial" w:hAnsi="Arial"/>
          <w:sz w:val="18"/>
          <w:szCs w:val="18"/>
          <w:color w:val="auto"/>
        </w:rPr>
      </w:pPr>
    </w:p>
    <w:p>
      <w:pPr>
        <w:jc w:val="both"/>
        <w:ind w:right="460" w:firstLine="987"/>
        <w:spacing w:after="0" w:line="263" w:lineRule="auto"/>
        <w:tabs>
          <w:tab w:leader="none" w:pos="12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183" w:lineRule="exact"/>
        <w:rPr>
          <w:rFonts w:ascii="Arial" w:cs="Arial" w:eastAsia="Arial" w:hAnsi="Arial"/>
          <w:sz w:val="18"/>
          <w:szCs w:val="18"/>
          <w:color w:val="auto"/>
        </w:rPr>
      </w:pPr>
    </w:p>
    <w:p>
      <w:pPr>
        <w:ind w:firstLine="987"/>
        <w:spacing w:after="0" w:line="259" w:lineRule="auto"/>
        <w:tabs>
          <w:tab w:leader="none" w:pos="12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97" w:name="page98"/>
    <w:bookmarkEnd w:id="97"/>
    <w:p>
      <w:pPr>
        <w:ind w:left="-60" w:right="80" w:firstLine="436"/>
        <w:spacing w:after="0" w:line="275" w:lineRule="auto"/>
        <w:tabs>
          <w:tab w:leader="none" w:pos="560" w:val="left"/>
        </w:tabs>
        <w:numPr>
          <w:ilvl w:val="0"/>
          <w:numId w:val="8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Default by the Company. </w:t>
      </w:r>
      <w:r>
        <w:rPr>
          <w:rFonts w:ascii="Arial" w:cs="Arial" w:eastAsia="Arial" w:hAnsi="Arial"/>
          <w:sz w:val="17"/>
          <w:szCs w:val="17"/>
          <w:color w:val="auto"/>
        </w:rPr>
        <w:t>If the Company shall fail at any Settlement Date to sell and deliver the number of Shares which it is obligated to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176" w:lineRule="exact"/>
        <w:rPr>
          <w:rFonts w:ascii="Arial" w:cs="Arial" w:eastAsia="Arial" w:hAnsi="Arial"/>
          <w:sz w:val="17"/>
          <w:szCs w:val="17"/>
          <w:b w:val="1"/>
          <w:bCs w:val="1"/>
          <w:i w:val="1"/>
          <w:iCs w:val="1"/>
          <w:color w:val="auto"/>
        </w:rPr>
      </w:pPr>
    </w:p>
    <w:p>
      <w:pPr>
        <w:ind w:left="-60" w:firstLine="436"/>
        <w:spacing w:after="0" w:line="271" w:lineRule="auto"/>
        <w:tabs>
          <w:tab w:leader="none" w:pos="560" w:val="left"/>
        </w:tabs>
        <w:numPr>
          <w:ilvl w:val="0"/>
          <w:numId w:val="8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Notices</w:t>
      </w:r>
      <w:r>
        <w:rPr>
          <w:rFonts w:ascii="Arial" w:cs="Arial" w:eastAsia="Arial" w:hAnsi="Arial"/>
          <w:sz w:val="17"/>
          <w:szCs w:val="17"/>
          <w:color w:val="auto"/>
        </w:rPr>
        <w:t>. Except as otherwise provided herein, all communications under this Agreement shall be in writing and, if to the Agent,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delivered via overnight delivery services to (i) Guggenheim Securities, LLC, 330 Madison Avenue, New York, NY 10017, fax no. 212-658-9689, Attention: Head of Equity Capital Markets, with a copy to Mintz, Levin, Cohn, Ferris, Glovsky and Popeo, P.C., One Financial Center, Boston, Massachusetts 02111, Attention: William Hicks, Esq.; and (ii) the Company at Larimar Therapeutics, Inc. Three Bala Plaza East, Suite 506, Bala Cynwyd, PA 19004, Attention: Chief Financial Officer, with a copy to its counsel at Troutman Pepper Hamilton Sanders LLP, 3000 Two Logan Square, Eighteenth and Arch Streets, Philadelphia, PA 19103, Attention: Rachael Bushey, Esq. and Jennifer Porter, Esq.;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78" w:lineRule="exact"/>
        <w:rPr>
          <w:rFonts w:ascii="Arial" w:cs="Arial" w:eastAsia="Arial" w:hAnsi="Arial"/>
          <w:sz w:val="17"/>
          <w:szCs w:val="17"/>
          <w:b w:val="1"/>
          <w:bCs w:val="1"/>
          <w:i w:val="1"/>
          <w:iCs w:val="1"/>
          <w:color w:val="auto"/>
        </w:rPr>
      </w:pPr>
    </w:p>
    <w:p>
      <w:pPr>
        <w:ind w:left="-60" w:right="180" w:firstLine="436"/>
        <w:spacing w:after="0" w:line="257" w:lineRule="auto"/>
        <w:tabs>
          <w:tab w:leader="none" w:pos="65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Persons Entitled to Benefit of Agreement</w:t>
      </w:r>
      <w:r>
        <w:rPr>
          <w:rFonts w:ascii="Arial" w:cs="Arial" w:eastAsia="Arial" w:hAnsi="Arial"/>
          <w:sz w:val="18"/>
          <w:szCs w:val="18"/>
          <w:color w:val="auto"/>
        </w:rPr>
        <w:t>. This Agreement shall inure to the benefit of and be binding upon the parties hereto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87" w:lineRule="exact"/>
        <w:rPr>
          <w:rFonts w:ascii="Arial" w:cs="Arial" w:eastAsia="Arial" w:hAnsi="Arial"/>
          <w:sz w:val="18"/>
          <w:szCs w:val="18"/>
          <w:b w:val="1"/>
          <w:bCs w:val="1"/>
          <w:i w:val="1"/>
          <w:iCs w:val="1"/>
          <w:color w:val="auto"/>
        </w:rPr>
      </w:pPr>
    </w:p>
    <w:p>
      <w:pPr>
        <w:ind w:left="-60" w:firstLine="436"/>
        <w:spacing w:after="0" w:line="287" w:lineRule="auto"/>
        <w:tabs>
          <w:tab w:leader="none" w:pos="64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Absence of Fiduciary Relationship</w:t>
      </w:r>
      <w:r>
        <w:rPr>
          <w:rFonts w:ascii="Arial" w:cs="Arial" w:eastAsia="Arial" w:hAnsi="Arial"/>
          <w:sz w:val="16"/>
          <w:szCs w:val="16"/>
          <w:color w:val="auto"/>
        </w:rPr>
        <w:t>. The Company, having been advised by counsel, acknowledges and agrees that: (a) the Agent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on the one hand, and the Agent on the other, has been created or will be created in respect of any of the transactions contemplated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this Agreement, irrespective of whether the Agent has advised or is advising the Company on other matters and irrespective of the use of the defined term “Agent;” (b) neither the Agent nor any of its affiliates (including directors), equity holders, creditors, employees or agents, hereafter,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shall have any duty or obligation to the Company or any Company Representative except as set forth in this Agreement; (c) the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500" w:top="274" w:right="499" w:bottom="1440" w:gutter="0" w:footer="0" w:header="0"/>
        </w:sectPr>
      </w:pPr>
    </w:p>
    <w:bookmarkStart w:id="98" w:name="page99"/>
    <w:bookmarkEnd w:id="98"/>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 (f) the Company has been advised that the Agent is acting, in respect of any Placement and the transactions contemplated by this Agreement, solely for the benefit of the Agent, and not on behalf of the Company; and</w:t>
      </w:r>
    </w:p>
    <w:p>
      <w:pPr>
        <w:spacing w:after="0" w:line="1" w:lineRule="exact"/>
        <w:rPr>
          <w:sz w:val="20"/>
          <w:szCs w:val="20"/>
          <w:color w:val="auto"/>
        </w:rPr>
      </w:pPr>
    </w:p>
    <w:p>
      <w:pPr>
        <w:ind w:left="4" w:hanging="4"/>
        <w:spacing w:after="0" w:line="253" w:lineRule="auto"/>
        <w:tabs>
          <w:tab w:leader="none" w:pos="2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190" w:lineRule="exact"/>
        <w:rPr>
          <w:rFonts w:ascii="Arial" w:cs="Arial" w:eastAsia="Arial" w:hAnsi="Arial"/>
          <w:sz w:val="18"/>
          <w:szCs w:val="18"/>
          <w:color w:val="auto"/>
        </w:rPr>
      </w:pPr>
    </w:p>
    <w:p>
      <w:pPr>
        <w:ind w:left="704" w:hanging="264"/>
        <w:spacing w:after="0"/>
        <w:tabs>
          <w:tab w:leader="none" w:pos="704" w:val="left"/>
        </w:tabs>
        <w:numPr>
          <w:ilvl w:val="1"/>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i w:val="1"/>
          <w:iCs w:val="1"/>
          <w:color w:val="auto"/>
        </w:rPr>
      </w:pPr>
    </w:p>
    <w:p>
      <w:pPr>
        <w:ind w:left="4" w:right="40" w:firstLine="987"/>
        <w:spacing w:after="0" w:line="259" w:lineRule="auto"/>
        <w:tabs>
          <w:tab w:leader="none" w:pos="1240"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the event that the Agent qualifies as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4" w:right="80" w:firstLine="987"/>
        <w:spacing w:after="0" w:line="259" w:lineRule="auto"/>
        <w:tabs>
          <w:tab w:leader="none" w:pos="1250" w:val="left"/>
        </w:tabs>
        <w:numPr>
          <w:ilvl w:val="2"/>
          <w:numId w:val="89"/>
        </w:numPr>
        <w:rPr>
          <w:rFonts w:ascii="Arial" w:cs="Arial" w:eastAsia="Arial" w:hAnsi="Arial"/>
          <w:sz w:val="18"/>
          <w:szCs w:val="18"/>
          <w:color w:val="auto"/>
        </w:rPr>
      </w:pPr>
      <w:r>
        <w:rPr>
          <w:rFonts w:ascii="Arial" w:cs="Arial" w:eastAsia="Arial" w:hAnsi="Arial"/>
          <w:sz w:val="18"/>
          <w:szCs w:val="18"/>
          <w:color w:val="auto"/>
        </w:rPr>
        <w:t>In the event that the Agent qualifies as a Covered Entity and becomes subject,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2"/>
          <w:numId w:val="89"/>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BHC Act Affiliate</w:t>
      </w:r>
      <w:r>
        <w:rPr>
          <w:rFonts w:ascii="Arial" w:cs="Arial" w:eastAsia="Arial" w:hAnsi="Arial"/>
          <w:sz w:val="17"/>
          <w:szCs w:val="17"/>
          <w:color w:val="auto"/>
        </w:rPr>
        <w:t>” has the meaning assigned to the term “affiliate” in, and shall be interpreted in accordance with, 12 U.S.C. §</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1841(k);</w:t>
      </w:r>
    </w:p>
    <w:p>
      <w:pPr>
        <w:spacing w:after="0" w:line="211" w:lineRule="exact"/>
        <w:rPr>
          <w:sz w:val="20"/>
          <w:szCs w:val="20"/>
          <w:color w:val="auto"/>
        </w:rPr>
      </w:pPr>
    </w:p>
    <w:p>
      <w:pPr>
        <w:ind w:left="4" w:firstLine="1432"/>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4" w:right="140" w:firstLine="143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w:t>
      </w:r>
    </w:p>
    <w:p>
      <w:pPr>
        <w:spacing w:after="0" w:line="170" w:lineRule="exact"/>
        <w:rPr>
          <w:sz w:val="20"/>
          <w:szCs w:val="20"/>
          <w:color w:val="auto"/>
        </w:rPr>
      </w:pPr>
    </w:p>
    <w:p>
      <w:pPr>
        <w:ind w:left="4" w:right="80" w:firstLine="1432"/>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99" w:name="page100"/>
    <w:bookmarkEnd w:id="99"/>
    <w:p>
      <w:pPr>
        <w:ind w:firstLine="436"/>
        <w:spacing w:after="0" w:line="273" w:lineRule="auto"/>
        <w:tabs>
          <w:tab w:leader="none" w:pos="71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and Waiver of Jury Trial</w:t>
      </w:r>
      <w:r>
        <w:rPr>
          <w:rFonts w:ascii="Arial" w:cs="Arial" w:eastAsia="Arial" w:hAnsi="Arial"/>
          <w:sz w:val="17"/>
          <w:szCs w:val="17"/>
          <w:color w:val="auto"/>
        </w:rPr>
        <w:t>. This Agreement and any transaction contemplated by this Agreement and any claim, controversy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177" w:lineRule="exact"/>
        <w:rPr>
          <w:rFonts w:ascii="Arial" w:cs="Arial" w:eastAsia="Arial" w:hAnsi="Arial"/>
          <w:sz w:val="17"/>
          <w:szCs w:val="17"/>
          <w:b w:val="1"/>
          <w:bCs w:val="1"/>
          <w:i w:val="1"/>
          <w:iCs w:val="1"/>
          <w:color w:val="auto"/>
        </w:rPr>
      </w:pPr>
    </w:p>
    <w:p>
      <w:pPr>
        <w:jc w:val="both"/>
        <w:ind w:right="60" w:firstLine="436"/>
        <w:spacing w:after="0" w:line="275" w:lineRule="auto"/>
        <w:tabs>
          <w:tab w:leader="none" w:pos="71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Submission to Jurisdiction, Etc</w:t>
      </w:r>
      <w:r>
        <w:rPr>
          <w:rFonts w:ascii="Arial" w:cs="Arial" w:eastAsia="Arial" w:hAnsi="Arial"/>
          <w:sz w:val="17"/>
          <w:szCs w:val="17"/>
          <w:color w:val="auto"/>
        </w:rPr>
        <w:t>. Each party hereby submits to the exclusive jurisdiction of the U.S. federal and New York state courts sitting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76" w:lineRule="exact"/>
        <w:rPr>
          <w:rFonts w:ascii="Arial" w:cs="Arial" w:eastAsia="Arial" w:hAnsi="Arial"/>
          <w:sz w:val="17"/>
          <w:szCs w:val="17"/>
          <w:b w:val="1"/>
          <w:bCs w:val="1"/>
          <w:i w:val="1"/>
          <w:iCs w:val="1"/>
          <w:color w:val="auto"/>
        </w:rPr>
      </w:pPr>
    </w:p>
    <w:p>
      <w:pPr>
        <w:ind w:right="420" w:firstLine="436"/>
        <w:spacing w:after="0" w:line="277" w:lineRule="auto"/>
        <w:tabs>
          <w:tab w:leader="none" w:pos="71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color w:val="auto"/>
        </w:rPr>
        <w:t>. This Agreement may be executed in one or more counterparts, each of which shall be deemed an original, and all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shall constitute one and the same instrument.</w:t>
      </w:r>
    </w:p>
    <w:p>
      <w:pPr>
        <w:spacing w:after="0" w:line="170" w:lineRule="exact"/>
        <w:rPr>
          <w:rFonts w:ascii="Arial" w:cs="Arial" w:eastAsia="Arial" w:hAnsi="Arial"/>
          <w:sz w:val="18"/>
          <w:szCs w:val="18"/>
          <w:b w:val="1"/>
          <w:bCs w:val="1"/>
          <w:i w:val="1"/>
          <w:iCs w:val="1"/>
          <w:color w:val="auto"/>
        </w:rPr>
      </w:pPr>
    </w:p>
    <w:p>
      <w:pPr>
        <w:ind w:right="60" w:firstLine="436"/>
        <w:spacing w:after="0" w:line="279" w:lineRule="auto"/>
        <w:tabs>
          <w:tab w:leader="none" w:pos="71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Construction</w:t>
      </w:r>
      <w:r>
        <w:rPr>
          <w:rFonts w:ascii="Arial" w:cs="Arial" w:eastAsia="Arial" w:hAnsi="Arial"/>
          <w:sz w:val="17"/>
          <w:szCs w:val="17"/>
          <w:color w:val="auto"/>
        </w:rPr>
        <w:t>. The section and exhibit headings herein are for convenience only and shall not affect the construction hereof. References herein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00" w:name="page101"/>
    <w:bookmarkEnd w:id="10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return to the Company the enclosed duplicates of this letter whereupon this letter will become a binding agreement between the Company and the Agent in accordance with its terms.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LARIMAR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mentioned.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GUGGENHEIM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Bliss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Jordan Bliss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Senior Managing Director</w:t>
            </w:r>
          </w:p>
        </w:tc>
      </w:tr>
    </w:tbl>
    <w:p>
      <w:pPr>
        <w:sectPr>
          <w:pgSz w:w="11900" w:h="16838" w:orient="portrait"/>
          <w:cols w:equalWidth="0" w:num="1">
            <w:col w:w="10760"/>
          </w:cols>
          <w:pgMar w:left="440" w:top="274" w:right="69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PLACEMENT NOTICE</w:t>
      </w:r>
    </w:p>
    <w:p>
      <w:pPr>
        <w:sectPr>
          <w:pgSz w:w="11900" w:h="16838" w:orient="portrait"/>
          <w:cols w:equalWidth="0" w:num="1">
            <w:col w:w="9019"/>
          </w:cols>
          <w:pgMar w:left="1440" w:top="270" w:right="1440" w:bottom="1440" w:gutter="0" w:footer="0" w:header="0"/>
        </w:sectPr>
      </w:pPr>
    </w:p>
    <w:bookmarkStart w:id="102" w:name="page103"/>
    <w:bookmarkEnd w:id="10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NOTICE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Carole Ben-Maimon,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Guggenheim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Jordan Bliss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Guzman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Jiang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Marguerite O’Brien</w:t>
      </w:r>
    </w:p>
    <w:p>
      <w:pPr>
        <w:sectPr>
          <w:pgSz w:w="11900" w:h="16838" w:orient="portrait"/>
          <w:cols w:equalWidth="0" w:num="1">
            <w:col w:w="10019"/>
          </w:cols>
          <w:pgMar w:left="440" w:top="270" w:right="1440"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REPRESENTATION CERTIFICATE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3(Q)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Sir:</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The undersigned, the duly qualified and elected Chief Executive Officer and the duly qualified and elected Chief Financial Officer of Larimar Therapeutics,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do each hereby certify in such capacity, and not in their individual capacities, and on behalf of the Company, pursuant to </w:t>
      </w:r>
      <w:r>
        <w:rPr>
          <w:rFonts w:ascii="Arial" w:cs="Arial" w:eastAsia="Arial" w:hAnsi="Arial"/>
          <w:sz w:val="17"/>
          <w:szCs w:val="17"/>
          <w:u w:val="single" w:color="auto"/>
          <w:color w:val="auto"/>
        </w:rPr>
        <w:t>Section 3(q)</w:t>
      </w:r>
      <w:r>
        <w:rPr>
          <w:rFonts w:ascii="Arial" w:cs="Arial" w:eastAsia="Arial" w:hAnsi="Arial"/>
          <w:sz w:val="17"/>
          <w:szCs w:val="17"/>
          <w:color w:val="auto"/>
        </w:rPr>
        <w:t xml:space="preserve"> of the Sales Agreement, dated November 10, 2022 (the “</w:t>
      </w:r>
      <w:r>
        <w:rPr>
          <w:rFonts w:ascii="Arial" w:cs="Arial" w:eastAsia="Arial" w:hAnsi="Arial"/>
          <w:sz w:val="17"/>
          <w:szCs w:val="17"/>
          <w:b w:val="1"/>
          <w:bCs w:val="1"/>
          <w:color w:val="auto"/>
        </w:rPr>
        <w:t>Sales Agreement</w:t>
      </w:r>
      <w:r>
        <w:rPr>
          <w:rFonts w:ascii="Arial" w:cs="Arial" w:eastAsia="Arial" w:hAnsi="Arial"/>
          <w:sz w:val="17"/>
          <w:szCs w:val="17"/>
          <w:color w:val="auto"/>
        </w:rPr>
        <w:t>”), between the Company and Guggenheim Securities, LLC, that to the best of the knowledge of each the undersigned:</w:t>
      </w:r>
    </w:p>
    <w:p>
      <w:pPr>
        <w:spacing w:after="0" w:line="171" w:lineRule="exact"/>
        <w:rPr>
          <w:sz w:val="20"/>
          <w:szCs w:val="20"/>
          <w:color w:val="auto"/>
        </w:rPr>
      </w:pPr>
    </w:p>
    <w:p>
      <w:pPr>
        <w:ind w:firstLine="987"/>
        <w:spacing w:after="0" w:line="263" w:lineRule="auto"/>
        <w:tabs>
          <w:tab w:leader="none" w:pos="12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Sales Agreement are true and correct, in all material respects, as if made at and as of the date of the certificate, and the Company has complied with all the agreements and satisfied all the conditions on its part to be performed or satisfied at or prior to the date of the certificate;</w:t>
      </w:r>
    </w:p>
    <w:p>
      <w:pPr>
        <w:spacing w:after="0" w:line="183" w:lineRule="exact"/>
        <w:rPr>
          <w:rFonts w:ascii="Arial" w:cs="Arial" w:eastAsia="Arial" w:hAnsi="Arial"/>
          <w:sz w:val="18"/>
          <w:szCs w:val="18"/>
          <w:color w:val="auto"/>
        </w:rPr>
      </w:pPr>
    </w:p>
    <w:p>
      <w:pPr>
        <w:ind w:right="40" w:firstLine="987"/>
        <w:spacing w:after="0" w:line="259" w:lineRule="auto"/>
        <w:tabs>
          <w:tab w:leader="none" w:pos="12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stop order or other order suspending the effectiveness of the Registration Statement or any part thereof or any amendment thereof or the qualification of the Shares for Registration Statement, nor suspending or preventing the use of the base prospectus, the Prospectus or any Permitted Free Writing Prospectus, has been issued, and no proceeding for that purpose has been instituted or, to the best of the Company’s knowledge, is contemplated by the Commission or any state or regulatory body;</w:t>
      </w:r>
    </w:p>
    <w:p>
      <w:pPr>
        <w:spacing w:after="0" w:line="186" w:lineRule="exact"/>
        <w:rPr>
          <w:rFonts w:ascii="Arial" w:cs="Arial" w:eastAsia="Arial" w:hAnsi="Arial"/>
          <w:sz w:val="18"/>
          <w:szCs w:val="18"/>
          <w:color w:val="auto"/>
        </w:rPr>
      </w:pPr>
    </w:p>
    <w:p>
      <w:pPr>
        <w:ind w:right="760" w:firstLine="987"/>
        <w:spacing w:after="0" w:line="277" w:lineRule="auto"/>
        <w:tabs>
          <w:tab w:leader="none" w:pos="130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Shares have been duly and validly authorized by the Company and that all corporate action required to be taken for the authorization, issuance and sale of the Shares has been validly and sufficiently taken;</w:t>
      </w:r>
    </w:p>
    <w:p>
      <w:pPr>
        <w:spacing w:after="0" w:line="170" w:lineRule="exact"/>
        <w:rPr>
          <w:rFonts w:ascii="Arial" w:cs="Arial" w:eastAsia="Arial" w:hAnsi="Arial"/>
          <w:sz w:val="18"/>
          <w:szCs w:val="18"/>
          <w:color w:val="auto"/>
        </w:rPr>
      </w:pPr>
    </w:p>
    <w:p>
      <w:pPr>
        <w:ind w:right="240" w:firstLine="987"/>
        <w:spacing w:after="0" w:line="311" w:lineRule="auto"/>
        <w:tabs>
          <w:tab w:leader="none" w:pos="12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signers of this certificate have carefully examined the Registration Statement, the base prospectus, the Prospectus and any Permitted Free Writing Prospectus, and any amendments thereof or supplements thereto (including any documents filed under the Exchange Act and deemed to be incorporated by reference into the base prospectus, the Prospectus and any Permitted Free Writing Prospectus),</w:t>
      </w:r>
    </w:p>
    <w:p>
      <w:pPr>
        <w:spacing w:after="0" w:line="148" w:lineRule="exact"/>
        <w:rPr>
          <w:rFonts w:ascii="Arial" w:cs="Arial" w:eastAsia="Arial" w:hAnsi="Arial"/>
          <w:sz w:val="16"/>
          <w:szCs w:val="16"/>
          <w:color w:val="auto"/>
        </w:rPr>
      </w:pPr>
    </w:p>
    <w:p>
      <w:pPr>
        <w:jc w:val="both"/>
        <w:ind w:right="80" w:firstLine="1428"/>
        <w:spacing w:after="0" w:line="259" w:lineRule="auto"/>
        <w:tabs>
          <w:tab w:leader="none" w:pos="17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each part of the Registration Statement and the Prospectus, and any amendments thereof or supplements thereto (including any documents filed under the Exchange Act and deemed to be incorporated by reference into the Prospectus) contain, and contained when such part of the Registration Statement (or such amendment) became effective, all statements and information required to be included therein, each part of the Registration</w:t>
      </w:r>
    </w:p>
    <w:p>
      <w:pPr>
        <w:sectPr>
          <w:pgSz w:w="11900" w:h="16838" w:orient="portrait"/>
          <w:cols w:equalWidth="0" w:num="1">
            <w:col w:w="10940"/>
          </w:cols>
          <w:pgMar w:left="440" w:top="270" w:right="519" w:bottom="1440" w:gutter="0" w:footer="0" w:header="0"/>
        </w:sectPr>
      </w:pPr>
    </w:p>
    <w:bookmarkStart w:id="104" w:name="page105"/>
    <w:bookmarkEnd w:id="10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or any amendment thereof, does not contain, and did not contain, when such part of the Registration Statement (or such amendment) became effective, any untrue statement of a material fact or omit to state, and did not omit to state when such part of the Registration Statement (or such amendment) became effective, any material fact required to be stated therein or necessary to make the statements therein not misleading, and the Prospectus, as amended or supplemented, does not include and did not include as of its date, or the time of first use within the meaning of the Securities Act, any untrue statement of a material fact or omit to state and did not omit to state as of its date, or the time of first use within the meaning of the Securities Act, a material fact necessary to make the statements therein, in light of the circumstances under which they were made, not misleading,</w:t>
      </w:r>
    </w:p>
    <w:p>
      <w:pPr>
        <w:spacing w:after="0" w:line="164" w:lineRule="exact"/>
        <w:rPr>
          <w:sz w:val="20"/>
          <w:szCs w:val="20"/>
          <w:color w:val="auto"/>
        </w:rPr>
      </w:pPr>
    </w:p>
    <w:p>
      <w:pPr>
        <w:ind w:right="40" w:firstLine="1428"/>
        <w:spacing w:after="0" w:line="257" w:lineRule="auto"/>
        <w:tabs>
          <w:tab w:leader="none" w:pos="171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no time during the period that begins on the earlier of the date of such base prospectus, Prospectus, or Permitted Free Writing Prospectus and the date such base prospectus, Prospectus, or Permitted Free Writing Prospectus was filed with the Commission and ends on the date of this certificate did such base prospectus, Prospectus, or Permitted Free Writing Prospectus, as then amended or supplemented, include an untrue statement of a material fact or omit to state any material fact necessary in order to make the statements therein, in the light of the circumstances under which they were made, not misleading,</w:t>
      </w:r>
    </w:p>
    <w:p>
      <w:pPr>
        <w:spacing w:after="0" w:line="187" w:lineRule="exact"/>
        <w:rPr>
          <w:rFonts w:ascii="Arial" w:cs="Arial" w:eastAsia="Arial" w:hAnsi="Arial"/>
          <w:sz w:val="18"/>
          <w:szCs w:val="18"/>
          <w:color w:val="auto"/>
        </w:rPr>
      </w:pPr>
    </w:p>
    <w:p>
      <w:pPr>
        <w:ind w:right="60" w:firstLine="1428"/>
        <w:spacing w:after="0" w:line="311" w:lineRule="auto"/>
        <w:tabs>
          <w:tab w:leader="none" w:pos="1717" w:val="left"/>
        </w:tabs>
        <w:numPr>
          <w:ilvl w:val="0"/>
          <w:numId w:val="92"/>
        </w:numPr>
        <w:rPr>
          <w:rFonts w:ascii="Arial" w:cs="Arial" w:eastAsia="Arial" w:hAnsi="Arial"/>
          <w:sz w:val="16"/>
          <w:szCs w:val="16"/>
          <w:color w:val="auto"/>
        </w:rPr>
      </w:pPr>
      <w:r>
        <w:rPr>
          <w:rFonts w:ascii="Arial" w:cs="Arial" w:eastAsia="Arial" w:hAnsi="Arial"/>
          <w:sz w:val="16"/>
          <w:szCs w:val="16"/>
          <w:color w:val="auto"/>
        </w:rPr>
        <w:t>since the date of the Sales Agreement, there has occurred no event required to be set forth in an amended or supplemented prospectus which has not been so set forth, and there has been no document required to be filed under the Exchange Act that upon such filing would be deemed to be incorporated by reference into the base prospectus, the Prospectus or any Permitted Free Writing Prospectus that has not been so filed,</w:t>
      </w:r>
    </w:p>
    <w:p>
      <w:pPr>
        <w:spacing w:after="0" w:line="148" w:lineRule="exact"/>
        <w:rPr>
          <w:rFonts w:ascii="Arial" w:cs="Arial" w:eastAsia="Arial" w:hAnsi="Arial"/>
          <w:sz w:val="16"/>
          <w:szCs w:val="16"/>
          <w:color w:val="auto"/>
        </w:rPr>
      </w:pPr>
    </w:p>
    <w:p>
      <w:pPr>
        <w:ind w:firstLine="1428"/>
        <w:spacing w:after="0" w:line="271" w:lineRule="auto"/>
        <w:tabs>
          <w:tab w:leader="none" w:pos="1727"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as stated in the Prospectus or any Permitted Free Writing Prospectus,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except as disclosed in the base prospectus, the Prospectus, and any Permitted Free Writing Prospectus, there has not been any material change in the capital stock (other than a change in the number of outstanding Common Stock due to sales of Shares pursuant to the Sales Agreement and the issuance of shares of Common Stock upon the exercise of equity awards or warrants), or any material change in the short term or long term debt, or any Material Adverse Effect or any development involving a prospective Material Adverse Effect (whether or not arising in the ordinary course of business), or any loss by strike, fire, flood, earthquake, accident or other calamity, whether or not covered by insurance, incurred by the Company, and</w:t>
      </w:r>
    </w:p>
    <w:p>
      <w:pPr>
        <w:spacing w:after="0" w:line="178" w:lineRule="exact"/>
        <w:rPr>
          <w:rFonts w:ascii="Arial" w:cs="Arial" w:eastAsia="Arial" w:hAnsi="Arial"/>
          <w:sz w:val="17"/>
          <w:szCs w:val="17"/>
          <w:color w:val="auto"/>
        </w:rPr>
      </w:pPr>
    </w:p>
    <w:p>
      <w:pPr>
        <w:jc w:val="both"/>
        <w:ind w:right="180" w:firstLine="1428"/>
        <w:spacing w:after="0" w:line="286" w:lineRule="auto"/>
        <w:tabs>
          <w:tab w:leader="none" w:pos="17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except as stated in the base prospectus, the Prospectus, and any Permitted Free Writing Prospectus, there is not pending, or, to the knowledge of the Company, threatened or contemplated, any action, suit or proceeding to which the Company is a party before or by any court or governmental agency, authority or body, or any arbitrator, which might result in a Material Adverse Effect.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without definition shall have the meanings given to such terms in the Sales Agreement.</w:t>
      </w:r>
    </w:p>
    <w:p>
      <w:pPr>
        <w:sectPr>
          <w:pgSz w:w="11900" w:h="16838" w:orient="portrait"/>
          <w:cols w:equalWidth="0" w:num="1">
            <w:col w:w="10940"/>
          </w:cols>
          <w:pgMar w:left="440" w:top="274" w:right="519" w:bottom="1440" w:gutter="0" w:footer="0" w:header="0"/>
        </w:sectPr>
      </w:pPr>
    </w:p>
    <w:bookmarkStart w:id="105" w:name="page106"/>
    <w:bookmarkEnd w:id="10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right"/>
        <w:ind w:right="3879"/>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Zafgen Australia Pty Limited</w:t>
      </w:r>
    </w:p>
    <w:p>
      <w:pPr>
        <w:sectPr>
          <w:pgSz w:w="11900" w:h="16838" w:orient="portrait"/>
          <w:cols w:equalWidth="0" w:num="1">
            <w:col w:w="10019"/>
          </w:cols>
          <w:pgMar w:left="440" w:top="270"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LARIMAR THERAPEUTICS, INC.</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 20[●]</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Trustee</w:t>
      </w:r>
    </w:p>
    <w:p>
      <w:pPr>
        <w:sectPr>
          <w:pgSz w:w="11900" w:h="16838" w:orient="portrait"/>
          <w:cols w:equalWidth="0" w:num="1">
            <w:col w:w="10020"/>
          </w:cols>
          <w:pgMar w:left="1440" w:top="121" w:right="4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680" w:type="dxa"/>
            <w:vAlign w:val="bottom"/>
            <w:gridSpan w:val="2"/>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w:t>
            </w:r>
          </w:p>
        </w:tc>
        <w:tc>
          <w:tcPr>
            <w:tcW w:w="9340" w:type="dxa"/>
            <w:vAlign w:val="bottom"/>
          </w:tcPr>
          <w:p>
            <w:pPr>
              <w:ind w:left="38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1.2.</w:t>
            </w:r>
          </w:p>
        </w:tc>
        <w:tc>
          <w:tcPr>
            <w:tcW w:w="9340" w:type="dxa"/>
            <w:vAlign w:val="bottom"/>
          </w:tcPr>
          <w:p>
            <w:pPr>
              <w:ind w:left="380"/>
              <w:spacing w:after="0"/>
              <w:rPr>
                <w:sz w:val="20"/>
                <w:szCs w:val="20"/>
                <w:color w:val="auto"/>
              </w:rPr>
            </w:pPr>
            <w:r>
              <w:rPr>
                <w:rFonts w:ascii="Arial" w:cs="Arial" w:eastAsia="Arial" w:hAnsi="Arial"/>
                <w:sz w:val="18"/>
                <w:szCs w:val="18"/>
                <w:color w:val="auto"/>
              </w:rPr>
              <w:t>Other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1.3.</w:t>
            </w:r>
          </w:p>
        </w:tc>
        <w:tc>
          <w:tcPr>
            <w:tcW w:w="9340" w:type="dxa"/>
            <w:vAlign w:val="bottom"/>
          </w:tcPr>
          <w:p>
            <w:pPr>
              <w:ind w:left="380"/>
              <w:spacing w:after="0"/>
              <w:rPr>
                <w:sz w:val="20"/>
                <w:szCs w:val="20"/>
                <w:color w:val="auto"/>
              </w:rPr>
            </w:pPr>
            <w:r>
              <w:rPr>
                <w:rFonts w:ascii="Arial" w:cs="Arial" w:eastAsia="Arial" w:hAnsi="Arial"/>
                <w:sz w:val="18"/>
                <w:szCs w:val="18"/>
                <w:color w:val="auto"/>
              </w:rPr>
              <w:t>Incorporation by Reference of Trust Indenture 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1.4.</w:t>
            </w:r>
          </w:p>
        </w:tc>
        <w:tc>
          <w:tcPr>
            <w:tcW w:w="9340" w:type="dxa"/>
            <w:vAlign w:val="bottom"/>
          </w:tcPr>
          <w:p>
            <w:pPr>
              <w:ind w:left="380"/>
              <w:spacing w:after="0"/>
              <w:rPr>
                <w:sz w:val="20"/>
                <w:szCs w:val="20"/>
                <w:color w:val="auto"/>
              </w:rPr>
            </w:pPr>
            <w:r>
              <w:rPr>
                <w:rFonts w:ascii="Arial" w:cs="Arial" w:eastAsia="Arial" w:hAnsi="Arial"/>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w:t>
            </w:r>
          </w:p>
        </w:tc>
        <w:tc>
          <w:tcPr>
            <w:tcW w:w="9340" w:type="dxa"/>
            <w:vAlign w:val="bottom"/>
          </w:tcPr>
          <w:p>
            <w:pPr>
              <w:ind w:left="380"/>
              <w:spacing w:after="0"/>
              <w:rPr>
                <w:sz w:val="20"/>
                <w:szCs w:val="20"/>
                <w:color w:val="auto"/>
              </w:rPr>
            </w:pPr>
            <w:r>
              <w:rPr>
                <w:rFonts w:ascii="Arial" w:cs="Arial" w:eastAsia="Arial" w:hAnsi="Arial"/>
                <w:sz w:val="18"/>
                <w:szCs w:val="18"/>
                <w:color w:val="auto"/>
              </w:rPr>
              <w:t>Issuable in Series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2.2.</w:t>
            </w:r>
          </w:p>
        </w:tc>
        <w:tc>
          <w:tcPr>
            <w:tcW w:w="9340" w:type="dxa"/>
            <w:vAlign w:val="bottom"/>
          </w:tcPr>
          <w:p>
            <w:pPr>
              <w:ind w:left="380"/>
              <w:spacing w:after="0"/>
              <w:rPr>
                <w:sz w:val="20"/>
                <w:szCs w:val="20"/>
                <w:color w:val="auto"/>
              </w:rPr>
            </w:pPr>
            <w:r>
              <w:rPr>
                <w:rFonts w:ascii="Arial" w:cs="Arial" w:eastAsia="Arial" w:hAnsi="Arial"/>
                <w:sz w:val="18"/>
                <w:szCs w:val="18"/>
                <w:color w:val="auto"/>
              </w:rPr>
              <w:t>Establishment of Terms of Series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2.3.</w:t>
            </w:r>
          </w:p>
        </w:tc>
        <w:tc>
          <w:tcPr>
            <w:tcW w:w="9340" w:type="dxa"/>
            <w:vAlign w:val="bottom"/>
          </w:tcPr>
          <w:p>
            <w:pPr>
              <w:ind w:left="380"/>
              <w:spacing w:after="0"/>
              <w:rPr>
                <w:sz w:val="20"/>
                <w:szCs w:val="20"/>
                <w:color w:val="auto"/>
              </w:rPr>
            </w:pPr>
            <w:r>
              <w:rPr>
                <w:rFonts w:ascii="Arial" w:cs="Arial" w:eastAsia="Arial" w:hAnsi="Arial"/>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2.4.</w:t>
            </w:r>
          </w:p>
        </w:tc>
        <w:tc>
          <w:tcPr>
            <w:tcW w:w="9340" w:type="dxa"/>
            <w:vAlign w:val="bottom"/>
          </w:tcPr>
          <w:p>
            <w:pPr>
              <w:ind w:left="380"/>
              <w:spacing w:after="0"/>
              <w:rPr>
                <w:sz w:val="20"/>
                <w:szCs w:val="20"/>
                <w:color w:val="auto"/>
              </w:rPr>
            </w:pPr>
            <w:r>
              <w:rPr>
                <w:rFonts w:ascii="Arial" w:cs="Arial" w:eastAsia="Arial" w:hAnsi="Arial"/>
                <w:sz w:val="18"/>
                <w:szCs w:val="18"/>
                <w:color w:val="auto"/>
              </w:rPr>
              <w:t>Registrar and Paying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2.5.</w:t>
            </w:r>
          </w:p>
        </w:tc>
        <w:tc>
          <w:tcPr>
            <w:tcW w:w="9340" w:type="dxa"/>
            <w:vAlign w:val="bottom"/>
          </w:tcPr>
          <w:p>
            <w:pPr>
              <w:ind w:left="380"/>
              <w:spacing w:after="0"/>
              <w:rPr>
                <w:sz w:val="20"/>
                <w:szCs w:val="20"/>
                <w:color w:val="auto"/>
              </w:rPr>
            </w:pPr>
            <w:r>
              <w:rPr>
                <w:rFonts w:ascii="Arial" w:cs="Arial" w:eastAsia="Arial" w:hAnsi="Arial"/>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2.6.</w:t>
            </w:r>
          </w:p>
        </w:tc>
        <w:tc>
          <w:tcPr>
            <w:tcW w:w="9340" w:type="dxa"/>
            <w:vAlign w:val="bottom"/>
          </w:tcPr>
          <w:p>
            <w:pPr>
              <w:ind w:left="380"/>
              <w:spacing w:after="0"/>
              <w:rPr>
                <w:sz w:val="20"/>
                <w:szCs w:val="20"/>
                <w:color w:val="auto"/>
              </w:rPr>
            </w:pPr>
            <w:r>
              <w:rPr>
                <w:rFonts w:ascii="Arial" w:cs="Arial" w:eastAsia="Arial" w:hAnsi="Arial"/>
                <w:sz w:val="18"/>
                <w:szCs w:val="18"/>
                <w:color w:val="auto"/>
              </w:rPr>
              <w:t>Securityholder Lists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2.7.</w:t>
            </w:r>
          </w:p>
        </w:tc>
        <w:tc>
          <w:tcPr>
            <w:tcW w:w="9340" w:type="dxa"/>
            <w:vAlign w:val="bottom"/>
          </w:tcPr>
          <w:p>
            <w:pPr>
              <w:ind w:left="380"/>
              <w:spacing w:after="0"/>
              <w:rPr>
                <w:sz w:val="20"/>
                <w:szCs w:val="20"/>
                <w:color w:val="auto"/>
              </w:rPr>
            </w:pPr>
            <w:r>
              <w:rPr>
                <w:rFonts w:ascii="Arial" w:cs="Arial" w:eastAsia="Arial" w:hAnsi="Arial"/>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2.8.</w:t>
            </w:r>
          </w:p>
        </w:tc>
        <w:tc>
          <w:tcPr>
            <w:tcW w:w="9340" w:type="dxa"/>
            <w:vAlign w:val="bottom"/>
          </w:tcPr>
          <w:p>
            <w:pPr>
              <w:ind w:left="380"/>
              <w:spacing w:after="0"/>
              <w:rPr>
                <w:sz w:val="20"/>
                <w:szCs w:val="20"/>
                <w:color w:val="auto"/>
              </w:rPr>
            </w:pPr>
            <w:r>
              <w:rPr>
                <w:rFonts w:ascii="Arial" w:cs="Arial" w:eastAsia="Arial" w:hAnsi="Arial"/>
                <w:sz w:val="18"/>
                <w:szCs w:val="18"/>
                <w:color w:val="auto"/>
              </w:rPr>
              <w:t>Mutilated, Destroyed, Lost and Stolen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2.9.</w:t>
            </w:r>
          </w:p>
        </w:tc>
        <w:tc>
          <w:tcPr>
            <w:tcW w:w="9340" w:type="dxa"/>
            <w:vAlign w:val="bottom"/>
          </w:tcPr>
          <w:p>
            <w:pPr>
              <w:ind w:left="380"/>
              <w:spacing w:after="0"/>
              <w:rPr>
                <w:sz w:val="20"/>
                <w:szCs w:val="20"/>
                <w:color w:val="auto"/>
              </w:rPr>
            </w:pPr>
            <w:r>
              <w:rPr>
                <w:rFonts w:ascii="Arial" w:cs="Arial" w:eastAsia="Arial" w:hAnsi="Arial"/>
                <w:sz w:val="18"/>
                <w:szCs w:val="18"/>
                <w:color w:val="auto"/>
              </w:rPr>
              <w:t>Outstanding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2.10.</w:t>
            </w:r>
          </w:p>
        </w:tc>
        <w:tc>
          <w:tcPr>
            <w:tcW w:w="9340" w:type="dxa"/>
            <w:vAlign w:val="bottom"/>
          </w:tcPr>
          <w:p>
            <w:pPr>
              <w:ind w:left="380"/>
              <w:spacing w:after="0"/>
              <w:rPr>
                <w:sz w:val="20"/>
                <w:szCs w:val="20"/>
                <w:color w:val="auto"/>
              </w:rPr>
            </w:pPr>
            <w:r>
              <w:rPr>
                <w:rFonts w:ascii="Arial" w:cs="Arial" w:eastAsia="Arial" w:hAnsi="Arial"/>
                <w:sz w:val="18"/>
                <w:szCs w:val="18"/>
                <w:color w:val="auto"/>
              </w:rPr>
              <w:t>Treasury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2.11.</w:t>
            </w:r>
          </w:p>
        </w:tc>
        <w:tc>
          <w:tcPr>
            <w:tcW w:w="9340" w:type="dxa"/>
            <w:vAlign w:val="bottom"/>
          </w:tcPr>
          <w:p>
            <w:pPr>
              <w:ind w:left="380"/>
              <w:spacing w:after="0"/>
              <w:rPr>
                <w:sz w:val="20"/>
                <w:szCs w:val="20"/>
                <w:color w:val="auto"/>
              </w:rPr>
            </w:pPr>
            <w:r>
              <w:rPr>
                <w:rFonts w:ascii="Arial" w:cs="Arial" w:eastAsia="Arial" w:hAnsi="Arial"/>
                <w:sz w:val="18"/>
                <w:szCs w:val="18"/>
                <w:color w:val="auto"/>
              </w:rPr>
              <w:t>Temporary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2.12.</w:t>
            </w:r>
          </w:p>
        </w:tc>
        <w:tc>
          <w:tcPr>
            <w:tcW w:w="9340" w:type="dxa"/>
            <w:vAlign w:val="bottom"/>
          </w:tcPr>
          <w:p>
            <w:pPr>
              <w:ind w:left="380"/>
              <w:spacing w:after="0"/>
              <w:rPr>
                <w:sz w:val="20"/>
                <w:szCs w:val="20"/>
                <w:color w:val="auto"/>
              </w:rPr>
            </w:pPr>
            <w:r>
              <w:rPr>
                <w:rFonts w:ascii="Arial" w:cs="Arial" w:eastAsia="Arial" w:hAnsi="Arial"/>
                <w:sz w:val="18"/>
                <w:szCs w:val="18"/>
                <w:color w:val="auto"/>
              </w:rPr>
              <w:t>Cancellation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2.13.</w:t>
            </w:r>
          </w:p>
        </w:tc>
        <w:tc>
          <w:tcPr>
            <w:tcW w:w="9340" w:type="dxa"/>
            <w:vAlign w:val="bottom"/>
          </w:tcPr>
          <w:p>
            <w:pPr>
              <w:ind w:left="380"/>
              <w:spacing w:after="0"/>
              <w:rPr>
                <w:sz w:val="20"/>
                <w:szCs w:val="20"/>
                <w:color w:val="auto"/>
              </w:rPr>
            </w:pPr>
            <w:r>
              <w:rPr>
                <w:rFonts w:ascii="Arial" w:cs="Arial" w:eastAsia="Arial" w:hAnsi="Arial"/>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2.14.</w:t>
            </w:r>
          </w:p>
        </w:tc>
        <w:tc>
          <w:tcPr>
            <w:tcW w:w="9340" w:type="dxa"/>
            <w:vAlign w:val="bottom"/>
          </w:tcPr>
          <w:p>
            <w:pPr>
              <w:ind w:left="380"/>
              <w:spacing w:after="0"/>
              <w:rPr>
                <w:sz w:val="20"/>
                <w:szCs w:val="20"/>
                <w:color w:val="auto"/>
              </w:rPr>
            </w:pPr>
            <w:r>
              <w:rPr>
                <w:rFonts w:ascii="Arial" w:cs="Arial" w:eastAsia="Arial" w:hAnsi="Arial"/>
                <w:sz w:val="18"/>
                <w:szCs w:val="18"/>
                <w:color w:val="auto"/>
              </w:rPr>
              <w:t>Global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2.15.</w:t>
            </w:r>
          </w:p>
        </w:tc>
        <w:tc>
          <w:tcPr>
            <w:tcW w:w="9340" w:type="dxa"/>
            <w:vAlign w:val="bottom"/>
          </w:tcPr>
          <w:p>
            <w:pPr>
              <w:ind w:left="380"/>
              <w:spacing w:after="0"/>
              <w:rPr>
                <w:sz w:val="20"/>
                <w:szCs w:val="20"/>
                <w:color w:val="auto"/>
              </w:rPr>
            </w:pPr>
            <w:r>
              <w:rPr>
                <w:rFonts w:ascii="Arial" w:cs="Arial" w:eastAsia="Arial" w:hAnsi="Arial"/>
                <w:sz w:val="18"/>
                <w:szCs w:val="18"/>
                <w:color w:val="auto"/>
              </w:rPr>
              <w:t>CUSIP Numbers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3.1.</w:t>
            </w:r>
          </w:p>
        </w:tc>
        <w:tc>
          <w:tcPr>
            <w:tcW w:w="9340" w:type="dxa"/>
            <w:vAlign w:val="bottom"/>
          </w:tcPr>
          <w:p>
            <w:pPr>
              <w:ind w:left="380"/>
              <w:spacing w:after="0"/>
              <w:rPr>
                <w:sz w:val="20"/>
                <w:szCs w:val="20"/>
                <w:color w:val="auto"/>
              </w:rPr>
            </w:pPr>
            <w:r>
              <w:rPr>
                <w:rFonts w:ascii="Arial" w:cs="Arial" w:eastAsia="Arial" w:hAnsi="Arial"/>
                <w:sz w:val="18"/>
                <w:szCs w:val="18"/>
                <w:color w:val="auto"/>
              </w:rPr>
              <w:t>Notice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3.2.</w:t>
            </w:r>
          </w:p>
        </w:tc>
        <w:tc>
          <w:tcPr>
            <w:tcW w:w="9340" w:type="dxa"/>
            <w:vAlign w:val="bottom"/>
          </w:tcPr>
          <w:p>
            <w:pPr>
              <w:ind w:left="380"/>
              <w:spacing w:after="0"/>
              <w:rPr>
                <w:sz w:val="20"/>
                <w:szCs w:val="20"/>
                <w:color w:val="auto"/>
              </w:rPr>
            </w:pPr>
            <w:r>
              <w:rPr>
                <w:rFonts w:ascii="Arial" w:cs="Arial" w:eastAsia="Arial" w:hAnsi="Arial"/>
                <w:sz w:val="18"/>
                <w:szCs w:val="18"/>
                <w:color w:val="auto"/>
              </w:rPr>
              <w:t>Selection of Securities to be Redeemed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3.3.</w:t>
            </w:r>
          </w:p>
        </w:tc>
        <w:tc>
          <w:tcPr>
            <w:tcW w:w="9340" w:type="dxa"/>
            <w:vAlign w:val="bottom"/>
          </w:tcPr>
          <w:p>
            <w:pPr>
              <w:ind w:left="380"/>
              <w:spacing w:after="0"/>
              <w:rPr>
                <w:sz w:val="20"/>
                <w:szCs w:val="20"/>
                <w:color w:val="auto"/>
              </w:rPr>
            </w:pPr>
            <w:r>
              <w:rPr>
                <w:rFonts w:ascii="Arial" w:cs="Arial" w:eastAsia="Arial" w:hAnsi="Arial"/>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3.4.</w:t>
            </w:r>
          </w:p>
        </w:tc>
        <w:tc>
          <w:tcPr>
            <w:tcW w:w="9340" w:type="dxa"/>
            <w:vAlign w:val="bottom"/>
          </w:tcPr>
          <w:p>
            <w:pPr>
              <w:ind w:left="380"/>
              <w:spacing w:after="0"/>
              <w:rPr>
                <w:sz w:val="20"/>
                <w:szCs w:val="20"/>
                <w:color w:val="auto"/>
              </w:rPr>
            </w:pPr>
            <w:r>
              <w:rPr>
                <w:rFonts w:ascii="Arial" w:cs="Arial" w:eastAsia="Arial" w:hAnsi="Arial"/>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3.5.</w:t>
            </w:r>
          </w:p>
        </w:tc>
        <w:tc>
          <w:tcPr>
            <w:tcW w:w="9340" w:type="dxa"/>
            <w:vAlign w:val="bottom"/>
          </w:tcPr>
          <w:p>
            <w:pPr>
              <w:ind w:left="380"/>
              <w:spacing w:after="0"/>
              <w:rPr>
                <w:sz w:val="20"/>
                <w:szCs w:val="20"/>
                <w:color w:val="auto"/>
              </w:rPr>
            </w:pPr>
            <w:r>
              <w:rPr>
                <w:rFonts w:ascii="Arial" w:cs="Arial" w:eastAsia="Arial" w:hAnsi="Arial"/>
                <w:sz w:val="18"/>
                <w:szCs w:val="18"/>
                <w:color w:val="auto"/>
              </w:rPr>
              <w:t>Deposit of Redemption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3.6.</w:t>
            </w:r>
          </w:p>
        </w:tc>
        <w:tc>
          <w:tcPr>
            <w:tcW w:w="9340" w:type="dxa"/>
            <w:vAlign w:val="bottom"/>
          </w:tcPr>
          <w:p>
            <w:pPr>
              <w:ind w:left="380"/>
              <w:spacing w:after="0"/>
              <w:rPr>
                <w:sz w:val="20"/>
                <w:szCs w:val="20"/>
                <w:color w:val="auto"/>
              </w:rPr>
            </w:pPr>
            <w:r>
              <w:rPr>
                <w:rFonts w:ascii="Arial" w:cs="Arial" w:eastAsia="Arial" w:hAnsi="Arial"/>
                <w:sz w:val="18"/>
                <w:szCs w:val="18"/>
                <w:color w:val="auto"/>
              </w:rPr>
              <w:t>Securities Redeemed in Part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4.1.</w:t>
            </w:r>
          </w:p>
        </w:tc>
        <w:tc>
          <w:tcPr>
            <w:tcW w:w="9340" w:type="dxa"/>
            <w:vAlign w:val="bottom"/>
          </w:tcPr>
          <w:p>
            <w:pPr>
              <w:ind w:left="380"/>
              <w:spacing w:after="0"/>
              <w:rPr>
                <w:sz w:val="20"/>
                <w:szCs w:val="20"/>
                <w:color w:val="auto"/>
              </w:rPr>
            </w:pPr>
            <w:r>
              <w:rPr>
                <w:rFonts w:ascii="Arial" w:cs="Arial" w:eastAsia="Arial" w:hAnsi="Arial"/>
                <w:sz w:val="18"/>
                <w:szCs w:val="18"/>
                <w:color w:val="auto"/>
              </w:rPr>
              <w:t>Payment of Principal and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4.2.</w:t>
            </w:r>
          </w:p>
        </w:tc>
        <w:tc>
          <w:tcPr>
            <w:tcW w:w="9340" w:type="dxa"/>
            <w:vAlign w:val="bottom"/>
          </w:tcPr>
          <w:p>
            <w:pPr>
              <w:ind w:left="380"/>
              <w:spacing w:after="0"/>
              <w:rPr>
                <w:sz w:val="20"/>
                <w:szCs w:val="20"/>
                <w:color w:val="auto"/>
              </w:rPr>
            </w:pPr>
            <w:r>
              <w:rPr>
                <w:rFonts w:ascii="Arial" w:cs="Arial" w:eastAsia="Arial" w:hAnsi="Arial"/>
                <w:sz w:val="18"/>
                <w:szCs w:val="18"/>
                <w:color w:val="auto"/>
              </w:rPr>
              <w:t>SEC Reports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4.3.</w:t>
            </w:r>
          </w:p>
        </w:tc>
        <w:tc>
          <w:tcPr>
            <w:tcW w:w="9340" w:type="dxa"/>
            <w:vAlign w:val="bottom"/>
          </w:tcPr>
          <w:p>
            <w:pPr>
              <w:ind w:left="380"/>
              <w:spacing w:after="0"/>
              <w:rPr>
                <w:sz w:val="20"/>
                <w:szCs w:val="20"/>
                <w:color w:val="auto"/>
              </w:rPr>
            </w:pPr>
            <w:r>
              <w:rPr>
                <w:rFonts w:ascii="Arial" w:cs="Arial" w:eastAsia="Arial" w:hAnsi="Arial"/>
                <w:sz w:val="18"/>
                <w:szCs w:val="18"/>
                <w:color w:val="auto"/>
              </w:rPr>
              <w:t>Compliance Certificate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4.4.</w:t>
            </w:r>
          </w:p>
        </w:tc>
        <w:tc>
          <w:tcPr>
            <w:tcW w:w="9340" w:type="dxa"/>
            <w:vAlign w:val="bottom"/>
          </w:tcPr>
          <w:p>
            <w:pPr>
              <w:ind w:left="380"/>
              <w:spacing w:after="0"/>
              <w:rPr>
                <w:sz w:val="20"/>
                <w:szCs w:val="20"/>
                <w:color w:val="auto"/>
              </w:rPr>
            </w:pPr>
            <w:r>
              <w:rPr>
                <w:rFonts w:ascii="Arial" w:cs="Arial" w:eastAsia="Arial" w:hAnsi="Arial"/>
                <w:sz w:val="18"/>
                <w:szCs w:val="18"/>
                <w:color w:val="auto"/>
              </w:rPr>
              <w:t>Stay, Extension and Usury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5.1.</w:t>
            </w:r>
          </w:p>
        </w:tc>
        <w:tc>
          <w:tcPr>
            <w:tcW w:w="9340" w:type="dxa"/>
            <w:vAlign w:val="bottom"/>
          </w:tcPr>
          <w:p>
            <w:pPr>
              <w:ind w:left="380"/>
              <w:spacing w:after="0"/>
              <w:rPr>
                <w:sz w:val="20"/>
                <w:szCs w:val="20"/>
                <w:color w:val="auto"/>
              </w:rPr>
            </w:pPr>
            <w:r>
              <w:rPr>
                <w:rFonts w:ascii="Arial" w:cs="Arial" w:eastAsia="Arial" w:hAnsi="Arial"/>
                <w:sz w:val="18"/>
                <w:szCs w:val="18"/>
                <w:color w:val="auto"/>
              </w:rPr>
              <w:t>When Company May Merge,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5.2.</w:t>
            </w:r>
          </w:p>
        </w:tc>
        <w:tc>
          <w:tcPr>
            <w:tcW w:w="9340" w:type="dxa"/>
            <w:vAlign w:val="bottom"/>
          </w:tcPr>
          <w:p>
            <w:pPr>
              <w:ind w:left="380"/>
              <w:spacing w:after="0"/>
              <w:rPr>
                <w:sz w:val="20"/>
                <w:szCs w:val="20"/>
                <w:color w:val="auto"/>
              </w:rPr>
            </w:pPr>
            <w:r>
              <w:rPr>
                <w:rFonts w:ascii="Arial" w:cs="Arial" w:eastAsia="Arial" w:hAnsi="Arial"/>
                <w:sz w:val="18"/>
                <w:szCs w:val="18"/>
                <w:color w:val="auto"/>
              </w:rPr>
              <w:t>Successor Corporation Substituted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6.1.</w:t>
            </w:r>
          </w:p>
        </w:tc>
        <w:tc>
          <w:tcPr>
            <w:tcW w:w="9340" w:type="dxa"/>
            <w:vAlign w:val="bottom"/>
          </w:tcPr>
          <w:p>
            <w:pPr>
              <w:ind w:left="380"/>
              <w:spacing w:after="0"/>
              <w:rPr>
                <w:sz w:val="20"/>
                <w:szCs w:val="20"/>
                <w:color w:val="auto"/>
              </w:rPr>
            </w:pPr>
            <w:r>
              <w:rPr>
                <w:rFonts w:ascii="Arial" w:cs="Arial" w:eastAsia="Arial" w:hAnsi="Arial"/>
                <w:sz w:val="18"/>
                <w:szCs w:val="18"/>
                <w:color w:val="auto"/>
              </w:rPr>
              <w:t>Events of Default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6.2.</w:t>
            </w:r>
          </w:p>
        </w:tc>
        <w:tc>
          <w:tcPr>
            <w:tcW w:w="9340" w:type="dxa"/>
            <w:vAlign w:val="bottom"/>
          </w:tcPr>
          <w:p>
            <w:pPr>
              <w:ind w:left="380"/>
              <w:spacing w:after="0"/>
              <w:rPr>
                <w:sz w:val="20"/>
                <w:szCs w:val="20"/>
                <w:color w:val="auto"/>
              </w:rPr>
            </w:pPr>
            <w:r>
              <w:rPr>
                <w:rFonts w:ascii="Arial" w:cs="Arial" w:eastAsia="Arial" w:hAnsi="Arial"/>
                <w:sz w:val="18"/>
                <w:szCs w:val="18"/>
                <w:color w:val="auto"/>
              </w:rPr>
              <w:t>Acceleration of Maturity; Rescission and Annulment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6.3.</w:t>
            </w:r>
          </w:p>
        </w:tc>
        <w:tc>
          <w:tcPr>
            <w:tcW w:w="9340" w:type="dxa"/>
            <w:vAlign w:val="bottom"/>
          </w:tcPr>
          <w:p>
            <w:pPr>
              <w:ind w:left="380"/>
              <w:spacing w:after="0"/>
              <w:rPr>
                <w:sz w:val="20"/>
                <w:szCs w:val="20"/>
                <w:color w:val="auto"/>
              </w:rPr>
            </w:pPr>
            <w:r>
              <w:rPr>
                <w:rFonts w:ascii="Arial" w:cs="Arial" w:eastAsia="Arial" w:hAnsi="Arial"/>
                <w:sz w:val="18"/>
                <w:szCs w:val="18"/>
                <w:color w:val="auto"/>
              </w:rPr>
              <w:t>Collection of Indebtedness and Suits for Enforcement by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6.4.</w:t>
            </w:r>
          </w:p>
        </w:tc>
        <w:tc>
          <w:tcPr>
            <w:tcW w:w="9340" w:type="dxa"/>
            <w:vAlign w:val="bottom"/>
          </w:tcPr>
          <w:p>
            <w:pPr>
              <w:ind w:left="380"/>
              <w:spacing w:after="0"/>
              <w:rPr>
                <w:sz w:val="20"/>
                <w:szCs w:val="20"/>
                <w:color w:val="auto"/>
              </w:rPr>
            </w:pPr>
            <w:r>
              <w:rPr>
                <w:rFonts w:ascii="Arial" w:cs="Arial" w:eastAsia="Arial" w:hAnsi="Arial"/>
                <w:sz w:val="18"/>
                <w:szCs w:val="18"/>
                <w:color w:val="auto"/>
              </w:rPr>
              <w:t>Trustee May File Proofs of Claim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6.5.</w:t>
            </w:r>
          </w:p>
        </w:tc>
        <w:tc>
          <w:tcPr>
            <w:tcW w:w="9340" w:type="dxa"/>
            <w:vAlign w:val="bottom"/>
          </w:tcPr>
          <w:p>
            <w:pPr>
              <w:ind w:left="380"/>
              <w:spacing w:after="0"/>
              <w:rPr>
                <w:sz w:val="20"/>
                <w:szCs w:val="20"/>
                <w:color w:val="auto"/>
              </w:rPr>
            </w:pPr>
            <w:r>
              <w:rPr>
                <w:rFonts w:ascii="Arial" w:cs="Arial" w:eastAsia="Arial" w:hAnsi="Arial"/>
                <w:sz w:val="18"/>
                <w:szCs w:val="18"/>
                <w:color w:val="auto"/>
              </w:rPr>
              <w:t>Trustee May Enforce Claims Without Possession of Securities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6.6.</w:t>
            </w:r>
          </w:p>
        </w:tc>
        <w:tc>
          <w:tcPr>
            <w:tcW w:w="9340" w:type="dxa"/>
            <w:vAlign w:val="bottom"/>
          </w:tcPr>
          <w:p>
            <w:pPr>
              <w:ind w:left="380"/>
              <w:spacing w:after="0"/>
              <w:rPr>
                <w:sz w:val="20"/>
                <w:szCs w:val="20"/>
                <w:color w:val="auto"/>
              </w:rPr>
            </w:pPr>
            <w:r>
              <w:rPr>
                <w:rFonts w:ascii="Arial" w:cs="Arial" w:eastAsia="Arial" w:hAnsi="Arial"/>
                <w:sz w:val="18"/>
                <w:szCs w:val="18"/>
                <w:color w:val="auto"/>
              </w:rPr>
              <w:t>Application of Money Collected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6.7.</w:t>
            </w:r>
          </w:p>
        </w:tc>
        <w:tc>
          <w:tcPr>
            <w:tcW w:w="9340" w:type="dxa"/>
            <w:vAlign w:val="bottom"/>
          </w:tcPr>
          <w:p>
            <w:pPr>
              <w:ind w:left="380"/>
              <w:spacing w:after="0"/>
              <w:rPr>
                <w:sz w:val="20"/>
                <w:szCs w:val="20"/>
                <w:color w:val="auto"/>
              </w:rPr>
            </w:pPr>
            <w:r>
              <w:rPr>
                <w:rFonts w:ascii="Arial" w:cs="Arial" w:eastAsia="Arial" w:hAnsi="Arial"/>
                <w:sz w:val="18"/>
                <w:szCs w:val="18"/>
                <w:color w:val="auto"/>
              </w:rPr>
              <w:t>Limitation on Suits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6.8.</w:t>
            </w:r>
          </w:p>
        </w:tc>
        <w:tc>
          <w:tcPr>
            <w:tcW w:w="7220" w:type="dxa"/>
            <w:vAlign w:val="bottom"/>
          </w:tcPr>
          <w:p>
            <w:pPr>
              <w:ind w:left="36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6.9.</w:t>
            </w:r>
          </w:p>
        </w:tc>
        <w:tc>
          <w:tcPr>
            <w:tcW w:w="7220" w:type="dxa"/>
            <w:vAlign w:val="bottom"/>
          </w:tcPr>
          <w:p>
            <w:pPr>
              <w:ind w:left="360"/>
              <w:spacing w:after="0"/>
              <w:rPr>
                <w:sz w:val="20"/>
                <w:szCs w:val="20"/>
                <w:color w:val="auto"/>
              </w:rPr>
            </w:pPr>
            <w:r>
              <w:rPr>
                <w:rFonts w:ascii="Arial" w:cs="Arial" w:eastAsia="Arial" w:hAnsi="Arial"/>
                <w:sz w:val="18"/>
                <w:szCs w:val="18"/>
                <w:color w:val="auto"/>
              </w:rPr>
              <w:t>Restoration of Rights and Remedies</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360"/>
              <w:spacing w:after="0"/>
              <w:rPr>
                <w:sz w:val="20"/>
                <w:szCs w:val="20"/>
                <w:color w:val="auto"/>
              </w:rPr>
            </w:pPr>
            <w:r>
              <w:rPr>
                <w:rFonts w:ascii="Arial" w:cs="Arial" w:eastAsia="Arial" w:hAnsi="Arial"/>
                <w:sz w:val="18"/>
                <w:szCs w:val="18"/>
                <w:color w:val="auto"/>
              </w:rPr>
              <w:t>Rights and Remedies Cumulative</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360"/>
              <w:spacing w:after="0"/>
              <w:rPr>
                <w:sz w:val="20"/>
                <w:szCs w:val="20"/>
                <w:color w:val="auto"/>
              </w:rPr>
            </w:pPr>
            <w:r>
              <w:rPr>
                <w:rFonts w:ascii="Arial" w:cs="Arial" w:eastAsia="Arial" w:hAnsi="Arial"/>
                <w:sz w:val="18"/>
                <w:szCs w:val="18"/>
                <w:color w:val="auto"/>
              </w:rPr>
              <w:t>Delay or Omission Not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6.12.</w:t>
            </w:r>
          </w:p>
        </w:tc>
        <w:tc>
          <w:tcPr>
            <w:tcW w:w="7220" w:type="dxa"/>
            <w:vAlign w:val="bottom"/>
          </w:tcPr>
          <w:p>
            <w:pPr>
              <w:ind w:left="360"/>
              <w:spacing w:after="0"/>
              <w:rPr>
                <w:sz w:val="20"/>
                <w:szCs w:val="20"/>
                <w:color w:val="auto"/>
              </w:rPr>
            </w:pPr>
            <w:r>
              <w:rPr>
                <w:rFonts w:ascii="Arial" w:cs="Arial" w:eastAsia="Arial" w:hAnsi="Arial"/>
                <w:sz w:val="18"/>
                <w:szCs w:val="18"/>
                <w:color w:val="auto"/>
              </w:rPr>
              <w:t>Control by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6.13.</w:t>
            </w:r>
          </w:p>
        </w:tc>
        <w:tc>
          <w:tcPr>
            <w:tcW w:w="7220" w:type="dxa"/>
            <w:vAlign w:val="bottom"/>
          </w:tcPr>
          <w:p>
            <w:pPr>
              <w:ind w:left="360"/>
              <w:spacing w:after="0"/>
              <w:rPr>
                <w:sz w:val="20"/>
                <w:szCs w:val="20"/>
                <w:color w:val="auto"/>
              </w:rPr>
            </w:pPr>
            <w:r>
              <w:rPr>
                <w:rFonts w:ascii="Arial" w:cs="Arial" w:eastAsia="Arial" w:hAnsi="Arial"/>
                <w:sz w:val="18"/>
                <w:szCs w:val="18"/>
                <w:color w:val="auto"/>
              </w:rPr>
              <w:t>Waiver of Past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6.14.</w:t>
            </w:r>
          </w:p>
        </w:tc>
        <w:tc>
          <w:tcPr>
            <w:tcW w:w="7220" w:type="dxa"/>
            <w:vAlign w:val="bottom"/>
          </w:tcPr>
          <w:p>
            <w:pPr>
              <w:ind w:left="360"/>
              <w:spacing w:after="0"/>
              <w:rPr>
                <w:sz w:val="20"/>
                <w:szCs w:val="20"/>
                <w:color w:val="auto"/>
              </w:rPr>
            </w:pPr>
            <w:r>
              <w:rPr>
                <w:rFonts w:ascii="Arial" w:cs="Arial" w:eastAsia="Arial" w:hAnsi="Arial"/>
                <w:sz w:val="18"/>
                <w:szCs w:val="18"/>
                <w:color w:val="auto"/>
              </w:rPr>
              <w:t>Undertaking for Costs</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7.1.</w:t>
            </w:r>
          </w:p>
        </w:tc>
        <w:tc>
          <w:tcPr>
            <w:tcW w:w="7220" w:type="dxa"/>
            <w:vAlign w:val="bottom"/>
          </w:tcPr>
          <w:p>
            <w:pPr>
              <w:ind w:left="360"/>
              <w:spacing w:after="0"/>
              <w:rPr>
                <w:sz w:val="20"/>
                <w:szCs w:val="20"/>
                <w:color w:val="auto"/>
              </w:rPr>
            </w:pPr>
            <w:r>
              <w:rPr>
                <w:rFonts w:ascii="Arial" w:cs="Arial" w:eastAsia="Arial" w:hAnsi="Arial"/>
                <w:sz w:val="18"/>
                <w:szCs w:val="18"/>
                <w:color w:val="auto"/>
              </w:rPr>
              <w:t>Duties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7.2.</w:t>
            </w:r>
          </w:p>
        </w:tc>
        <w:tc>
          <w:tcPr>
            <w:tcW w:w="7220" w:type="dxa"/>
            <w:vAlign w:val="bottom"/>
          </w:tcPr>
          <w:p>
            <w:pPr>
              <w:ind w:left="360"/>
              <w:spacing w:after="0"/>
              <w:rPr>
                <w:sz w:val="20"/>
                <w:szCs w:val="20"/>
                <w:color w:val="auto"/>
              </w:rPr>
            </w:pPr>
            <w:r>
              <w:rPr>
                <w:rFonts w:ascii="Arial" w:cs="Arial" w:eastAsia="Arial" w:hAnsi="Arial"/>
                <w:sz w:val="18"/>
                <w:szCs w:val="18"/>
                <w:color w:val="auto"/>
              </w:rPr>
              <w:t>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7.3.</w:t>
            </w:r>
          </w:p>
        </w:tc>
        <w:tc>
          <w:tcPr>
            <w:tcW w:w="7220" w:type="dxa"/>
            <w:vAlign w:val="bottom"/>
          </w:tcPr>
          <w:p>
            <w:pPr>
              <w:ind w:left="360"/>
              <w:spacing w:after="0"/>
              <w:rPr>
                <w:sz w:val="20"/>
                <w:szCs w:val="20"/>
                <w:color w:val="auto"/>
              </w:rPr>
            </w:pPr>
            <w:r>
              <w:rPr>
                <w:rFonts w:ascii="Arial" w:cs="Arial" w:eastAsia="Arial" w:hAnsi="Arial"/>
                <w:sz w:val="18"/>
                <w:szCs w:val="18"/>
                <w:color w:val="auto"/>
              </w:rPr>
              <w:t>Individual Rights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7.4.</w:t>
            </w:r>
          </w:p>
        </w:tc>
        <w:tc>
          <w:tcPr>
            <w:tcW w:w="7220" w:type="dxa"/>
            <w:vAlign w:val="bottom"/>
          </w:tcPr>
          <w:p>
            <w:pPr>
              <w:ind w:left="360"/>
              <w:spacing w:after="0"/>
              <w:rPr>
                <w:sz w:val="20"/>
                <w:szCs w:val="20"/>
                <w:color w:val="auto"/>
              </w:rPr>
            </w:pPr>
            <w:r>
              <w:rPr>
                <w:rFonts w:ascii="Arial" w:cs="Arial" w:eastAsia="Arial" w:hAnsi="Arial"/>
                <w:sz w:val="18"/>
                <w:szCs w:val="18"/>
                <w:color w:val="auto"/>
              </w:rPr>
              <w:t>Trustee’s Disclaimer</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7.5.</w:t>
            </w:r>
          </w:p>
        </w:tc>
        <w:tc>
          <w:tcPr>
            <w:tcW w:w="7220" w:type="dxa"/>
            <w:vAlign w:val="bottom"/>
          </w:tcPr>
          <w:p>
            <w:pPr>
              <w:ind w:left="360"/>
              <w:spacing w:after="0"/>
              <w:rPr>
                <w:sz w:val="20"/>
                <w:szCs w:val="20"/>
                <w:color w:val="auto"/>
              </w:rPr>
            </w:pPr>
            <w:r>
              <w:rPr>
                <w:rFonts w:ascii="Arial" w:cs="Arial" w:eastAsia="Arial" w:hAnsi="Arial"/>
                <w:sz w:val="18"/>
                <w:szCs w:val="18"/>
                <w:color w:val="auto"/>
              </w:rPr>
              <w:t>Notice of Defaults</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7.6.</w:t>
            </w:r>
          </w:p>
        </w:tc>
        <w:tc>
          <w:tcPr>
            <w:tcW w:w="7220" w:type="dxa"/>
            <w:vAlign w:val="bottom"/>
          </w:tcPr>
          <w:p>
            <w:pPr>
              <w:ind w:left="360"/>
              <w:spacing w:after="0"/>
              <w:rPr>
                <w:sz w:val="20"/>
                <w:szCs w:val="20"/>
                <w:color w:val="auto"/>
              </w:rPr>
            </w:pPr>
            <w:r>
              <w:rPr>
                <w:rFonts w:ascii="Arial" w:cs="Arial" w:eastAsia="Arial" w:hAnsi="Arial"/>
                <w:sz w:val="18"/>
                <w:szCs w:val="18"/>
                <w:color w:val="auto"/>
              </w:rPr>
              <w:t>Reports by Trustee to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7.7.</w:t>
            </w:r>
          </w:p>
        </w:tc>
        <w:tc>
          <w:tcPr>
            <w:tcW w:w="7220" w:type="dxa"/>
            <w:vAlign w:val="bottom"/>
          </w:tcPr>
          <w:p>
            <w:pPr>
              <w:ind w:left="360"/>
              <w:spacing w:after="0"/>
              <w:rPr>
                <w:sz w:val="20"/>
                <w:szCs w:val="20"/>
                <w:color w:val="auto"/>
              </w:rPr>
            </w:pPr>
            <w:r>
              <w:rPr>
                <w:rFonts w:ascii="Arial" w:cs="Arial" w:eastAsia="Arial" w:hAnsi="Arial"/>
                <w:sz w:val="18"/>
                <w:szCs w:val="18"/>
                <w:color w:val="auto"/>
              </w:rPr>
              <w:t>Compensation and Indemnity</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7.8.</w:t>
            </w:r>
          </w:p>
        </w:tc>
        <w:tc>
          <w:tcPr>
            <w:tcW w:w="7220" w:type="dxa"/>
            <w:vAlign w:val="bottom"/>
          </w:tcPr>
          <w:p>
            <w:pPr>
              <w:ind w:left="360"/>
              <w:spacing w:after="0"/>
              <w:rPr>
                <w:sz w:val="20"/>
                <w:szCs w:val="20"/>
                <w:color w:val="auto"/>
              </w:rPr>
            </w:pPr>
            <w:r>
              <w:rPr>
                <w:rFonts w:ascii="Arial" w:cs="Arial" w:eastAsia="Arial" w:hAnsi="Arial"/>
                <w:sz w:val="18"/>
                <w:szCs w:val="18"/>
                <w:color w:val="auto"/>
              </w:rPr>
              <w:t>Replacement of Trustee</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7.9.</w:t>
            </w:r>
          </w:p>
        </w:tc>
        <w:tc>
          <w:tcPr>
            <w:tcW w:w="7220" w:type="dxa"/>
            <w:vAlign w:val="bottom"/>
          </w:tcPr>
          <w:p>
            <w:pPr>
              <w:ind w:left="360"/>
              <w:spacing w:after="0"/>
              <w:rPr>
                <w:sz w:val="20"/>
                <w:szCs w:val="20"/>
                <w:color w:val="auto"/>
              </w:rPr>
            </w:pPr>
            <w:r>
              <w:rPr>
                <w:rFonts w:ascii="Arial" w:cs="Arial" w:eastAsia="Arial" w:hAnsi="Arial"/>
                <w:sz w:val="18"/>
                <w:szCs w:val="18"/>
                <w:color w:val="auto"/>
              </w:rPr>
              <w:t>Successor Trustee by Merger, Etc.</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7.10.</w:t>
            </w:r>
          </w:p>
        </w:tc>
        <w:tc>
          <w:tcPr>
            <w:tcW w:w="7220" w:type="dxa"/>
            <w:vAlign w:val="bottom"/>
          </w:tcPr>
          <w:p>
            <w:pPr>
              <w:ind w:left="360"/>
              <w:spacing w:after="0"/>
              <w:rPr>
                <w:sz w:val="20"/>
                <w:szCs w:val="20"/>
                <w:color w:val="auto"/>
              </w:rPr>
            </w:pPr>
            <w:r>
              <w:rPr>
                <w:rFonts w:ascii="Arial" w:cs="Arial" w:eastAsia="Arial" w:hAnsi="Arial"/>
                <w:sz w:val="18"/>
                <w:szCs w:val="18"/>
                <w:color w:val="auto"/>
              </w:rPr>
              <w:t>Eligibility; Disqualification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7.11.</w:t>
            </w:r>
          </w:p>
        </w:tc>
        <w:tc>
          <w:tcPr>
            <w:tcW w:w="7220" w:type="dxa"/>
            <w:vAlign w:val="bottom"/>
          </w:tcPr>
          <w:p>
            <w:pPr>
              <w:ind w:left="360"/>
              <w:spacing w:after="0"/>
              <w:rPr>
                <w:sz w:val="20"/>
                <w:szCs w:val="20"/>
                <w:color w:val="auto"/>
              </w:rPr>
            </w:pPr>
            <w:r>
              <w:rPr>
                <w:rFonts w:ascii="Arial" w:cs="Arial" w:eastAsia="Arial" w:hAnsi="Arial"/>
                <w:sz w:val="18"/>
                <w:szCs w:val="18"/>
                <w:color w:val="auto"/>
              </w:rPr>
              <w:t>Preferential Collection of Claims Against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8.1.</w:t>
            </w:r>
          </w:p>
        </w:tc>
        <w:tc>
          <w:tcPr>
            <w:tcW w:w="7220" w:type="dxa"/>
            <w:vAlign w:val="bottom"/>
          </w:tcPr>
          <w:p>
            <w:pPr>
              <w:ind w:left="360"/>
              <w:spacing w:after="0"/>
              <w:rPr>
                <w:sz w:val="20"/>
                <w:szCs w:val="20"/>
                <w:color w:val="auto"/>
              </w:rPr>
            </w:pPr>
            <w:r>
              <w:rPr>
                <w:rFonts w:ascii="Arial" w:cs="Arial" w:eastAsia="Arial" w:hAnsi="Arial"/>
                <w:sz w:val="18"/>
                <w:szCs w:val="18"/>
                <w:color w:val="auto"/>
              </w:rPr>
              <w:t>Satisfaction and Discharge of Indenture</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8.2.</w:t>
            </w:r>
          </w:p>
        </w:tc>
        <w:tc>
          <w:tcPr>
            <w:tcW w:w="7220" w:type="dxa"/>
            <w:vAlign w:val="bottom"/>
          </w:tcPr>
          <w:p>
            <w:pPr>
              <w:ind w:left="360"/>
              <w:spacing w:after="0"/>
              <w:rPr>
                <w:sz w:val="20"/>
                <w:szCs w:val="20"/>
                <w:color w:val="auto"/>
              </w:rPr>
            </w:pPr>
            <w:r>
              <w:rPr>
                <w:rFonts w:ascii="Arial" w:cs="Arial" w:eastAsia="Arial" w:hAnsi="Arial"/>
                <w:sz w:val="18"/>
                <w:szCs w:val="18"/>
                <w:color w:val="auto"/>
              </w:rPr>
              <w:t>Application of Trust Funds; Indemnification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8.3.</w:t>
            </w:r>
          </w:p>
        </w:tc>
        <w:tc>
          <w:tcPr>
            <w:tcW w:w="7220" w:type="dxa"/>
            <w:vAlign w:val="bottom"/>
          </w:tcPr>
          <w:p>
            <w:pPr>
              <w:ind w:left="360"/>
              <w:spacing w:after="0"/>
              <w:rPr>
                <w:sz w:val="20"/>
                <w:szCs w:val="20"/>
                <w:color w:val="auto"/>
              </w:rPr>
            </w:pPr>
            <w:r>
              <w:rPr>
                <w:rFonts w:ascii="Arial" w:cs="Arial" w:eastAsia="Arial" w:hAnsi="Arial"/>
                <w:sz w:val="18"/>
                <w:szCs w:val="18"/>
                <w:color w:val="auto"/>
              </w:rPr>
              <w:t>Legal Defeasance of Securities of any Series</w:t>
            </w:r>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8.4.</w:t>
            </w:r>
          </w:p>
        </w:tc>
        <w:tc>
          <w:tcPr>
            <w:tcW w:w="7220" w:type="dxa"/>
            <w:vAlign w:val="bottom"/>
          </w:tcPr>
          <w:p>
            <w:pPr>
              <w:ind w:left="360"/>
              <w:spacing w:after="0"/>
              <w:rPr>
                <w:sz w:val="20"/>
                <w:szCs w:val="20"/>
                <w:color w:val="auto"/>
              </w:rPr>
            </w:pPr>
            <w:r>
              <w:rPr>
                <w:rFonts w:ascii="Arial" w:cs="Arial" w:eastAsia="Arial" w:hAnsi="Arial"/>
                <w:sz w:val="18"/>
                <w:szCs w:val="18"/>
                <w:color w:val="auto"/>
              </w:rPr>
              <w:t>Covenant Defeasance</w:t>
            </w:r>
          </w:p>
        </w:tc>
        <w:tc>
          <w:tcPr>
            <w:tcW w:w="2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8.5.</w:t>
            </w:r>
          </w:p>
        </w:tc>
        <w:tc>
          <w:tcPr>
            <w:tcW w:w="7220" w:type="dxa"/>
            <w:vAlign w:val="bottom"/>
          </w:tcPr>
          <w:p>
            <w:pPr>
              <w:ind w:left="360"/>
              <w:spacing w:after="0"/>
              <w:rPr>
                <w:sz w:val="20"/>
                <w:szCs w:val="20"/>
                <w:color w:val="auto"/>
              </w:rPr>
            </w:pPr>
            <w:r>
              <w:rPr>
                <w:rFonts w:ascii="Arial" w:cs="Arial" w:eastAsia="Arial" w:hAnsi="Arial"/>
                <w:sz w:val="18"/>
                <w:szCs w:val="18"/>
                <w:color w:val="auto"/>
              </w:rPr>
              <w:t>Repayment to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8.6.</w:t>
            </w:r>
          </w:p>
        </w:tc>
        <w:tc>
          <w:tcPr>
            <w:tcW w:w="7220" w:type="dxa"/>
            <w:vAlign w:val="bottom"/>
          </w:tcPr>
          <w:p>
            <w:pPr>
              <w:ind w:left="360"/>
              <w:spacing w:after="0"/>
              <w:rPr>
                <w:sz w:val="20"/>
                <w:szCs w:val="20"/>
                <w:color w:val="auto"/>
              </w:rPr>
            </w:pPr>
            <w:r>
              <w:rPr>
                <w:rFonts w:ascii="Arial" w:cs="Arial" w:eastAsia="Arial" w:hAnsi="Arial"/>
                <w:sz w:val="18"/>
                <w:szCs w:val="18"/>
                <w:color w:val="auto"/>
              </w:rPr>
              <w:t>Reinstatement</w:t>
            </w: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9.1.</w:t>
            </w:r>
          </w:p>
        </w:tc>
        <w:tc>
          <w:tcPr>
            <w:tcW w:w="7220" w:type="dxa"/>
            <w:vAlign w:val="bottom"/>
          </w:tcPr>
          <w:p>
            <w:pPr>
              <w:ind w:left="360"/>
              <w:spacing w:after="0"/>
              <w:rPr>
                <w:sz w:val="20"/>
                <w:szCs w:val="20"/>
                <w:color w:val="auto"/>
              </w:rPr>
            </w:pPr>
            <w:r>
              <w:rPr>
                <w:rFonts w:ascii="Arial" w:cs="Arial" w:eastAsia="Arial" w:hAnsi="Arial"/>
                <w:sz w:val="18"/>
                <w:szCs w:val="18"/>
                <w:color w:val="auto"/>
              </w:rPr>
              <w:t>Without Consent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9.2.</w:t>
            </w:r>
          </w:p>
        </w:tc>
        <w:tc>
          <w:tcPr>
            <w:tcW w:w="7220" w:type="dxa"/>
            <w:vAlign w:val="bottom"/>
          </w:tcPr>
          <w:p>
            <w:pPr>
              <w:ind w:left="360"/>
              <w:spacing w:after="0"/>
              <w:rPr>
                <w:sz w:val="20"/>
                <w:szCs w:val="20"/>
                <w:color w:val="auto"/>
              </w:rPr>
            </w:pPr>
            <w:r>
              <w:rPr>
                <w:rFonts w:ascii="Arial" w:cs="Arial" w:eastAsia="Arial" w:hAnsi="Arial"/>
                <w:sz w:val="18"/>
                <w:szCs w:val="18"/>
                <w:color w:val="auto"/>
              </w:rPr>
              <w:t>With Consent of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9.3.</w:t>
            </w:r>
          </w:p>
        </w:tc>
        <w:tc>
          <w:tcPr>
            <w:tcW w:w="7220" w:type="dxa"/>
            <w:vAlign w:val="bottom"/>
          </w:tcPr>
          <w:p>
            <w:pPr>
              <w:ind w:left="360"/>
              <w:spacing w:after="0"/>
              <w:rPr>
                <w:sz w:val="20"/>
                <w:szCs w:val="20"/>
                <w:color w:val="auto"/>
              </w:rPr>
            </w:pPr>
            <w:r>
              <w:rPr>
                <w:rFonts w:ascii="Arial" w:cs="Arial" w:eastAsia="Arial" w:hAnsi="Arial"/>
                <w:sz w:val="18"/>
                <w:szCs w:val="18"/>
                <w:color w:val="auto"/>
              </w:rPr>
              <w:t>Limitations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9.4.</w:t>
            </w:r>
          </w:p>
        </w:tc>
        <w:tc>
          <w:tcPr>
            <w:tcW w:w="7220" w:type="dxa"/>
            <w:vAlign w:val="bottom"/>
          </w:tcPr>
          <w:p>
            <w:pPr>
              <w:ind w:left="360"/>
              <w:spacing w:after="0"/>
              <w:rPr>
                <w:sz w:val="20"/>
                <w:szCs w:val="20"/>
                <w:color w:val="auto"/>
              </w:rPr>
            </w:pPr>
            <w:r>
              <w:rPr>
                <w:rFonts w:ascii="Arial" w:cs="Arial" w:eastAsia="Arial" w:hAnsi="Arial"/>
                <w:sz w:val="18"/>
                <w:szCs w:val="18"/>
                <w:color w:val="auto"/>
              </w:rPr>
              <w:t>Compliance with Trust Indenture Act</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9.5.</w:t>
            </w:r>
          </w:p>
        </w:tc>
        <w:tc>
          <w:tcPr>
            <w:tcW w:w="7220" w:type="dxa"/>
            <w:vAlign w:val="bottom"/>
          </w:tcPr>
          <w:p>
            <w:pPr>
              <w:ind w:left="360"/>
              <w:spacing w:after="0"/>
              <w:rPr>
                <w:sz w:val="20"/>
                <w:szCs w:val="20"/>
                <w:color w:val="auto"/>
              </w:rPr>
            </w:pPr>
            <w:r>
              <w:rPr>
                <w:rFonts w:ascii="Arial" w:cs="Arial" w:eastAsia="Arial" w:hAnsi="Arial"/>
                <w:sz w:val="18"/>
                <w:szCs w:val="18"/>
                <w:color w:val="auto"/>
              </w:rPr>
              <w:t>Revocation and Effect of Consents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9.6.</w:t>
            </w:r>
          </w:p>
        </w:tc>
        <w:tc>
          <w:tcPr>
            <w:tcW w:w="7220" w:type="dxa"/>
            <w:vAlign w:val="bottom"/>
          </w:tcPr>
          <w:p>
            <w:pPr>
              <w:ind w:left="360"/>
              <w:spacing w:after="0"/>
              <w:rPr>
                <w:sz w:val="20"/>
                <w:szCs w:val="20"/>
                <w:color w:val="auto"/>
              </w:rPr>
            </w:pPr>
            <w:r>
              <w:rPr>
                <w:rFonts w:ascii="Arial" w:cs="Arial" w:eastAsia="Arial" w:hAnsi="Arial"/>
                <w:sz w:val="18"/>
                <w:szCs w:val="18"/>
                <w:color w:val="auto"/>
              </w:rPr>
              <w:t>Notation on or Exchange of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9.7.</w:t>
            </w:r>
          </w:p>
        </w:tc>
        <w:tc>
          <w:tcPr>
            <w:tcW w:w="7220" w:type="dxa"/>
            <w:vAlign w:val="bottom"/>
          </w:tcPr>
          <w:p>
            <w:pPr>
              <w:ind w:left="360"/>
              <w:spacing w:after="0"/>
              <w:rPr>
                <w:sz w:val="20"/>
                <w:szCs w:val="20"/>
                <w:color w:val="auto"/>
              </w:rPr>
            </w:pPr>
            <w:r>
              <w:rPr>
                <w:rFonts w:ascii="Arial" w:cs="Arial" w:eastAsia="Arial" w:hAnsi="Arial"/>
                <w:sz w:val="18"/>
                <w:szCs w:val="18"/>
                <w:color w:val="auto"/>
              </w:rPr>
              <w:t>Trustee Protected</w:t>
            </w:r>
          </w:p>
        </w:tc>
        <w:tc>
          <w:tcPr>
            <w:tcW w:w="2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w:t>
            </w:r>
          </w:p>
        </w:tc>
        <w:tc>
          <w:tcPr>
            <w:tcW w:w="7220" w:type="dxa"/>
            <w:vAlign w:val="bottom"/>
          </w:tcPr>
          <w:p>
            <w:pPr>
              <w:ind w:left="360"/>
              <w:spacing w:after="0"/>
              <w:rPr>
                <w:sz w:val="20"/>
                <w:szCs w:val="20"/>
                <w:color w:val="auto"/>
              </w:rPr>
            </w:pPr>
            <w:r>
              <w:rPr>
                <w:rFonts w:ascii="Arial" w:cs="Arial" w:eastAsia="Arial" w:hAnsi="Arial"/>
                <w:sz w:val="18"/>
                <w:szCs w:val="18"/>
                <w:color w:val="auto"/>
              </w:rPr>
              <w:t>Trust Indenture Act Controls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10.2.</w:t>
            </w:r>
          </w:p>
        </w:tc>
        <w:tc>
          <w:tcPr>
            <w:tcW w:w="7220" w:type="dxa"/>
            <w:vAlign w:val="bottom"/>
          </w:tcPr>
          <w:p>
            <w:pPr>
              <w:ind w:left="360"/>
              <w:spacing w:after="0"/>
              <w:rPr>
                <w:sz w:val="20"/>
                <w:szCs w:val="20"/>
                <w:color w:val="auto"/>
              </w:rPr>
            </w:pPr>
            <w:r>
              <w:rPr>
                <w:rFonts w:ascii="Arial" w:cs="Arial" w:eastAsia="Arial" w:hAnsi="Arial"/>
                <w:sz w:val="18"/>
                <w:szCs w:val="18"/>
                <w:color w:val="auto"/>
              </w:rPr>
              <w:t>Notices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10.3.</w:t>
            </w:r>
          </w:p>
        </w:tc>
        <w:tc>
          <w:tcPr>
            <w:tcW w:w="7220" w:type="dxa"/>
            <w:vAlign w:val="bottom"/>
          </w:tcPr>
          <w:p>
            <w:pPr>
              <w:ind w:left="360"/>
              <w:spacing w:after="0"/>
              <w:rPr>
                <w:sz w:val="20"/>
                <w:szCs w:val="20"/>
                <w:color w:val="auto"/>
              </w:rPr>
            </w:pPr>
            <w:r>
              <w:rPr>
                <w:rFonts w:ascii="Arial" w:cs="Arial" w:eastAsia="Arial" w:hAnsi="Arial"/>
                <w:sz w:val="18"/>
                <w:szCs w:val="18"/>
                <w:color w:val="auto"/>
              </w:rPr>
              <w:t>Communication by Holders with Other Holders</w:t>
            </w: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10.4.</w:t>
            </w:r>
          </w:p>
        </w:tc>
        <w:tc>
          <w:tcPr>
            <w:tcW w:w="7220" w:type="dxa"/>
            <w:vAlign w:val="bottom"/>
          </w:tcPr>
          <w:p>
            <w:pPr>
              <w:ind w:left="360"/>
              <w:spacing w:after="0"/>
              <w:rPr>
                <w:sz w:val="20"/>
                <w:szCs w:val="20"/>
                <w:color w:val="auto"/>
              </w:rPr>
            </w:pPr>
            <w:r>
              <w:rPr>
                <w:rFonts w:ascii="Arial" w:cs="Arial" w:eastAsia="Arial" w:hAnsi="Arial"/>
                <w:sz w:val="18"/>
                <w:szCs w:val="18"/>
                <w:color w:val="auto"/>
              </w:rPr>
              <w:t>Certificate and Opinion as to Conditions Precedent</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10.5.</w:t>
            </w:r>
          </w:p>
        </w:tc>
        <w:tc>
          <w:tcPr>
            <w:tcW w:w="7220" w:type="dxa"/>
            <w:vAlign w:val="bottom"/>
          </w:tcPr>
          <w:p>
            <w:pPr>
              <w:ind w:left="360"/>
              <w:spacing w:after="0"/>
              <w:rPr>
                <w:sz w:val="20"/>
                <w:szCs w:val="20"/>
                <w:color w:val="auto"/>
              </w:rPr>
            </w:pPr>
            <w:r>
              <w:rPr>
                <w:rFonts w:ascii="Arial" w:cs="Arial" w:eastAsia="Arial" w:hAnsi="Arial"/>
                <w:sz w:val="18"/>
                <w:szCs w:val="18"/>
                <w:color w:val="auto"/>
              </w:rPr>
              <w:t>Statements Required in Certificate or Opinion</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10.6.</w:t>
            </w:r>
          </w:p>
        </w:tc>
        <w:tc>
          <w:tcPr>
            <w:tcW w:w="7220" w:type="dxa"/>
            <w:vAlign w:val="bottom"/>
          </w:tcPr>
          <w:p>
            <w:pPr>
              <w:ind w:left="360"/>
              <w:spacing w:after="0"/>
              <w:rPr>
                <w:sz w:val="20"/>
                <w:szCs w:val="20"/>
                <w:color w:val="auto"/>
              </w:rPr>
            </w:pPr>
            <w:r>
              <w:rPr>
                <w:rFonts w:ascii="Arial" w:cs="Arial" w:eastAsia="Arial" w:hAnsi="Arial"/>
                <w:sz w:val="18"/>
                <w:szCs w:val="18"/>
                <w:color w:val="auto"/>
              </w:rPr>
              <w:t>Rules by Trustee and Agents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10.7.</w:t>
            </w:r>
          </w:p>
        </w:tc>
        <w:tc>
          <w:tcPr>
            <w:tcW w:w="7220" w:type="dxa"/>
            <w:vAlign w:val="bottom"/>
          </w:tcPr>
          <w:p>
            <w:pPr>
              <w:ind w:left="360"/>
              <w:spacing w:after="0"/>
              <w:rPr>
                <w:sz w:val="20"/>
                <w:szCs w:val="20"/>
                <w:color w:val="auto"/>
              </w:rPr>
            </w:pPr>
            <w:r>
              <w:rPr>
                <w:rFonts w:ascii="Arial" w:cs="Arial" w:eastAsia="Arial" w:hAnsi="Arial"/>
                <w:sz w:val="18"/>
                <w:szCs w:val="18"/>
                <w:color w:val="auto"/>
              </w:rPr>
              <w:t>Legal Holidays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10.8.</w:t>
            </w:r>
          </w:p>
        </w:tc>
        <w:tc>
          <w:tcPr>
            <w:tcW w:w="7220" w:type="dxa"/>
            <w:vAlign w:val="bottom"/>
          </w:tcPr>
          <w:p>
            <w:pPr>
              <w:ind w:left="360"/>
              <w:spacing w:after="0"/>
              <w:rPr>
                <w:sz w:val="20"/>
                <w:szCs w:val="20"/>
                <w:color w:val="auto"/>
              </w:rPr>
            </w:pPr>
            <w:r>
              <w:rPr>
                <w:rFonts w:ascii="Arial" w:cs="Arial" w:eastAsia="Arial" w:hAnsi="Arial"/>
                <w:sz w:val="18"/>
                <w:szCs w:val="18"/>
                <w:color w:val="auto"/>
              </w:rPr>
              <w:t>No Recourse Against Others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10.9.</w:t>
            </w:r>
          </w:p>
        </w:tc>
        <w:tc>
          <w:tcPr>
            <w:tcW w:w="722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10.10.</w:t>
            </w:r>
          </w:p>
        </w:tc>
        <w:tc>
          <w:tcPr>
            <w:tcW w:w="7220" w:type="dxa"/>
            <w:vAlign w:val="bottom"/>
          </w:tcPr>
          <w:p>
            <w:pPr>
              <w:ind w:left="360"/>
              <w:spacing w:after="0"/>
              <w:rPr>
                <w:sz w:val="20"/>
                <w:szCs w:val="20"/>
                <w:color w:val="auto"/>
              </w:rPr>
            </w:pPr>
            <w:r>
              <w:rPr>
                <w:rFonts w:ascii="Arial" w:cs="Arial" w:eastAsia="Arial" w:hAnsi="Arial"/>
                <w:sz w:val="18"/>
                <w:szCs w:val="18"/>
                <w:color w:val="auto"/>
              </w:rPr>
              <w:t>Governing Law; Waiver of Jury Trial; Consent to Jurisdiction</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10.11.</w:t>
            </w:r>
          </w:p>
        </w:tc>
        <w:tc>
          <w:tcPr>
            <w:tcW w:w="7220" w:type="dxa"/>
            <w:vAlign w:val="bottom"/>
          </w:tcPr>
          <w:p>
            <w:pPr>
              <w:ind w:left="360"/>
              <w:spacing w:after="0"/>
              <w:rPr>
                <w:sz w:val="20"/>
                <w:szCs w:val="20"/>
                <w:color w:val="auto"/>
              </w:rPr>
            </w:pPr>
            <w:r>
              <w:rPr>
                <w:rFonts w:ascii="Arial" w:cs="Arial" w:eastAsia="Arial" w:hAnsi="Arial"/>
                <w:sz w:val="18"/>
                <w:szCs w:val="18"/>
                <w:color w:val="auto"/>
              </w:rPr>
              <w:t>No Adverse Interpretation of Other Agreements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10.12.</w:t>
            </w:r>
          </w:p>
        </w:tc>
        <w:tc>
          <w:tcPr>
            <w:tcW w:w="7220" w:type="dxa"/>
            <w:vAlign w:val="bottom"/>
          </w:tcPr>
          <w:p>
            <w:pPr>
              <w:ind w:left="360"/>
              <w:spacing w:after="0"/>
              <w:rPr>
                <w:sz w:val="20"/>
                <w:szCs w:val="20"/>
                <w:color w:val="auto"/>
              </w:rPr>
            </w:pPr>
            <w:r>
              <w:rPr>
                <w:rFonts w:ascii="Arial" w:cs="Arial" w:eastAsia="Arial" w:hAnsi="Arial"/>
                <w:sz w:val="18"/>
                <w:szCs w:val="18"/>
                <w:color w:val="auto"/>
              </w:rPr>
              <w:t>Successors</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10.13.</w:t>
            </w:r>
          </w:p>
        </w:tc>
        <w:tc>
          <w:tcPr>
            <w:tcW w:w="722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10.14.</w:t>
            </w:r>
          </w:p>
        </w:tc>
        <w:tc>
          <w:tcPr>
            <w:tcW w:w="7220" w:type="dxa"/>
            <w:vAlign w:val="bottom"/>
          </w:tcPr>
          <w:p>
            <w:pPr>
              <w:ind w:left="360"/>
              <w:spacing w:after="0"/>
              <w:rPr>
                <w:sz w:val="20"/>
                <w:szCs w:val="20"/>
                <w:color w:val="auto"/>
              </w:rPr>
            </w:pPr>
            <w:r>
              <w:rPr>
                <w:rFonts w:ascii="Arial" w:cs="Arial" w:eastAsia="Arial" w:hAnsi="Arial"/>
                <w:sz w:val="18"/>
                <w:szCs w:val="18"/>
                <w:color w:val="auto"/>
              </w:rPr>
              <w:t>Table of Contents, Headings, Etc.</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10.15.</w:t>
            </w:r>
          </w:p>
        </w:tc>
        <w:tc>
          <w:tcPr>
            <w:tcW w:w="7220" w:type="dxa"/>
            <w:vAlign w:val="bottom"/>
          </w:tcPr>
          <w:p>
            <w:pPr>
              <w:ind w:left="360"/>
              <w:spacing w:after="0"/>
              <w:rPr>
                <w:sz w:val="20"/>
                <w:szCs w:val="20"/>
                <w:color w:val="auto"/>
              </w:rPr>
            </w:pPr>
            <w:r>
              <w:rPr>
                <w:rFonts w:ascii="Arial" w:cs="Arial" w:eastAsia="Arial" w:hAnsi="Arial"/>
                <w:sz w:val="18"/>
                <w:szCs w:val="18"/>
                <w:color w:val="auto"/>
              </w:rPr>
              <w:t>Securities in a Foreign Currency</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10.16.</w:t>
            </w:r>
          </w:p>
        </w:tc>
        <w:tc>
          <w:tcPr>
            <w:tcW w:w="7220" w:type="dxa"/>
            <w:vAlign w:val="bottom"/>
          </w:tcPr>
          <w:p>
            <w:pPr>
              <w:ind w:left="360"/>
              <w:spacing w:after="0"/>
              <w:rPr>
                <w:sz w:val="20"/>
                <w:szCs w:val="20"/>
                <w:color w:val="auto"/>
              </w:rPr>
            </w:pPr>
            <w:r>
              <w:rPr>
                <w:rFonts w:ascii="Arial" w:cs="Arial" w:eastAsia="Arial" w:hAnsi="Arial"/>
                <w:sz w:val="18"/>
                <w:szCs w:val="18"/>
                <w:color w:val="auto"/>
              </w:rPr>
              <w:t>Judgment Currency</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Section 10.17.</w:t>
            </w:r>
          </w:p>
        </w:tc>
        <w:tc>
          <w:tcPr>
            <w:tcW w:w="7220" w:type="dxa"/>
            <w:vAlign w:val="bottom"/>
          </w:tcPr>
          <w:p>
            <w:pPr>
              <w:ind w:left="360"/>
              <w:spacing w:after="0"/>
              <w:rPr>
                <w:sz w:val="20"/>
                <w:szCs w:val="20"/>
                <w:color w:val="auto"/>
              </w:rPr>
            </w:pPr>
            <w:r>
              <w:rPr>
                <w:rFonts w:ascii="Arial" w:cs="Arial" w:eastAsia="Arial" w:hAnsi="Arial"/>
                <w:sz w:val="18"/>
                <w:szCs w:val="18"/>
                <w:color w:val="auto"/>
              </w:rPr>
              <w:t>Force Majeure</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Section 10.18.</w:t>
            </w:r>
          </w:p>
        </w:tc>
        <w:tc>
          <w:tcPr>
            <w:tcW w:w="7220" w:type="dxa"/>
            <w:vAlign w:val="bottom"/>
          </w:tcPr>
          <w:p>
            <w:pPr>
              <w:ind w:left="360"/>
              <w:spacing w:after="0"/>
              <w:rPr>
                <w:sz w:val="20"/>
                <w:szCs w:val="20"/>
                <w:color w:val="auto"/>
              </w:rPr>
            </w:pPr>
            <w:r>
              <w:rPr>
                <w:rFonts w:ascii="Arial" w:cs="Arial" w:eastAsia="Arial" w:hAnsi="Arial"/>
                <w:sz w:val="18"/>
                <w:szCs w:val="18"/>
                <w:color w:val="auto"/>
              </w:rPr>
              <w:t>U.S.A. Patriot Act</w:t>
            </w:r>
          </w:p>
        </w:tc>
        <w:tc>
          <w:tcPr>
            <w:tcW w:w="23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960"/>
          </w:cols>
          <w:pgMar w:left="440" w:top="274" w:right="49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11.1.</w:t>
            </w:r>
          </w:p>
        </w:tc>
        <w:tc>
          <w:tcPr>
            <w:tcW w:w="6880" w:type="dxa"/>
            <w:vAlign w:val="bottom"/>
          </w:tcPr>
          <w:p>
            <w:pPr>
              <w:ind w:left="400"/>
              <w:spacing w:after="0"/>
              <w:rPr>
                <w:sz w:val="20"/>
                <w:szCs w:val="20"/>
                <w:color w:val="auto"/>
              </w:rPr>
            </w:pPr>
            <w:r>
              <w:rPr>
                <w:rFonts w:ascii="Arial" w:cs="Arial" w:eastAsia="Arial" w:hAnsi="Arial"/>
                <w:sz w:val="18"/>
                <w:szCs w:val="18"/>
                <w:color w:val="auto"/>
              </w:rPr>
              <w:t>Applicability of Article</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11.2.</w:t>
            </w:r>
          </w:p>
        </w:tc>
        <w:tc>
          <w:tcPr>
            <w:tcW w:w="6880" w:type="dxa"/>
            <w:vAlign w:val="bottom"/>
          </w:tcPr>
          <w:p>
            <w:pPr>
              <w:ind w:left="400"/>
              <w:spacing w:after="0"/>
              <w:rPr>
                <w:sz w:val="20"/>
                <w:szCs w:val="20"/>
                <w:color w:val="auto"/>
              </w:rPr>
            </w:pPr>
            <w:r>
              <w:rPr>
                <w:rFonts w:ascii="Arial" w:cs="Arial" w:eastAsia="Arial" w:hAnsi="Arial"/>
                <w:sz w:val="18"/>
                <w:szCs w:val="18"/>
                <w:color w:val="auto"/>
              </w:rPr>
              <w:t>Satisfaction of Sinking Fund Payments with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11.3.</w:t>
            </w:r>
          </w:p>
        </w:tc>
        <w:tc>
          <w:tcPr>
            <w:tcW w:w="6880" w:type="dxa"/>
            <w:vAlign w:val="bottom"/>
          </w:tcPr>
          <w:p>
            <w:pPr>
              <w:ind w:left="400"/>
              <w:spacing w:after="0"/>
              <w:rPr>
                <w:sz w:val="20"/>
                <w:szCs w:val="20"/>
                <w:color w:val="auto"/>
              </w:rPr>
            </w:pPr>
            <w:r>
              <w:rPr>
                <w:rFonts w:ascii="Arial" w:cs="Arial" w:eastAsia="Arial" w:hAnsi="Arial"/>
                <w:sz w:val="18"/>
                <w:szCs w:val="18"/>
                <w:color w:val="auto"/>
              </w:rPr>
              <w:t>Redemption of Securities for Sinking Fund</w:t>
            </w:r>
          </w:p>
        </w:tc>
        <w:tc>
          <w:tcPr>
            <w:tcW w:w="27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LARIMAR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and tie between Trust Indenture Act of 1939 and</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5320" w:type="dxa"/>
            <w:vAlign w:val="bottom"/>
          </w:tcPr>
          <w:p>
            <w:pPr>
              <w:ind w:left="840"/>
              <w:spacing w:after="0"/>
              <w:rPr>
                <w:sz w:val="20"/>
                <w:szCs w:val="20"/>
                <w:color w:val="auto"/>
              </w:rPr>
            </w:pPr>
            <w:r>
              <w:rPr>
                <w:rFonts w:ascii="Arial" w:cs="Arial" w:eastAsia="Arial" w:hAnsi="Arial"/>
                <w:sz w:val="18"/>
                <w:szCs w:val="18"/>
                <w:color w:val="auto"/>
              </w:rPr>
              <w:t>Indenture, dated as of [●], 20[●]</w:t>
            </w:r>
          </w:p>
        </w:tc>
      </w:tr>
      <w:tr>
        <w:trPr>
          <w:trHeight w:val="445"/>
        </w:trPr>
        <w:tc>
          <w:tcPr>
            <w:tcW w:w="1680" w:type="dxa"/>
            <w:vAlign w:val="bottom"/>
          </w:tcPr>
          <w:p>
            <w:pPr>
              <w:jc w:val="right"/>
              <w:ind w:right="770"/>
              <w:spacing w:after="0"/>
              <w:rPr>
                <w:sz w:val="20"/>
                <w:szCs w:val="20"/>
                <w:color w:val="auto"/>
              </w:rPr>
            </w:pPr>
            <w:r>
              <w:rPr>
                <w:rFonts w:ascii="Arial" w:cs="Arial" w:eastAsia="Arial" w:hAnsi="Arial"/>
                <w:sz w:val="18"/>
                <w:szCs w:val="18"/>
                <w:color w:val="auto"/>
                <w:w w:val="89"/>
              </w:rPr>
              <w:t>§ 310(a)(1)</w:t>
            </w:r>
          </w:p>
        </w:tc>
        <w:tc>
          <w:tcPr>
            <w:tcW w:w="5320" w:type="dxa"/>
            <w:vAlign w:val="bottom"/>
          </w:tcPr>
          <w:p>
            <w:pPr>
              <w:ind w:left="4220"/>
              <w:spacing w:after="0"/>
              <w:rPr>
                <w:sz w:val="20"/>
                <w:szCs w:val="20"/>
                <w:color w:val="auto"/>
              </w:rPr>
            </w:pPr>
            <w:r>
              <w:rPr>
                <w:rFonts w:ascii="Arial" w:cs="Arial" w:eastAsia="Arial" w:hAnsi="Arial"/>
                <w:sz w:val="18"/>
                <w:szCs w:val="18"/>
                <w:color w:val="auto"/>
              </w:rPr>
              <w:t>7.10</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(a)(2)</w:t>
            </w:r>
          </w:p>
        </w:tc>
        <w:tc>
          <w:tcPr>
            <w:tcW w:w="5320" w:type="dxa"/>
            <w:vAlign w:val="bottom"/>
          </w:tcPr>
          <w:p>
            <w:pPr>
              <w:ind w:left="4220"/>
              <w:spacing w:after="0"/>
              <w:rPr>
                <w:sz w:val="20"/>
                <w:szCs w:val="20"/>
                <w:color w:val="auto"/>
              </w:rPr>
            </w:pPr>
            <w:r>
              <w:rPr>
                <w:rFonts w:ascii="Arial" w:cs="Arial" w:eastAsia="Arial" w:hAnsi="Arial"/>
                <w:sz w:val="18"/>
                <w:szCs w:val="18"/>
                <w:color w:val="auto"/>
              </w:rPr>
              <w:t>7.10</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(a)(3)</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(a)(4)</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(a)(5)</w:t>
            </w:r>
          </w:p>
        </w:tc>
        <w:tc>
          <w:tcPr>
            <w:tcW w:w="5320" w:type="dxa"/>
            <w:vAlign w:val="bottom"/>
          </w:tcPr>
          <w:p>
            <w:pPr>
              <w:ind w:left="4220"/>
              <w:spacing w:after="0"/>
              <w:rPr>
                <w:sz w:val="20"/>
                <w:szCs w:val="20"/>
                <w:color w:val="auto"/>
              </w:rPr>
            </w:pPr>
            <w:r>
              <w:rPr>
                <w:rFonts w:ascii="Arial" w:cs="Arial" w:eastAsia="Arial" w:hAnsi="Arial"/>
                <w:sz w:val="18"/>
                <w:szCs w:val="18"/>
                <w:color w:val="auto"/>
              </w:rPr>
              <w:t>7.10</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rPr>
              <w:t>7.10</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311(a)</w:t>
            </w:r>
          </w:p>
        </w:tc>
        <w:tc>
          <w:tcPr>
            <w:tcW w:w="5320" w:type="dxa"/>
            <w:vAlign w:val="bottom"/>
          </w:tcPr>
          <w:p>
            <w:pPr>
              <w:ind w:left="4220"/>
              <w:spacing w:after="0"/>
              <w:rPr>
                <w:sz w:val="20"/>
                <w:szCs w:val="20"/>
                <w:color w:val="auto"/>
              </w:rPr>
            </w:pPr>
            <w:r>
              <w:rPr>
                <w:rFonts w:ascii="Arial" w:cs="Arial" w:eastAsia="Arial" w:hAnsi="Arial"/>
                <w:sz w:val="18"/>
                <w:szCs w:val="18"/>
                <w:color w:val="auto"/>
              </w:rPr>
              <w:t>7.11</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rPr>
              <w:t>7.11</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312(a)</w:t>
            </w:r>
          </w:p>
        </w:tc>
        <w:tc>
          <w:tcPr>
            <w:tcW w:w="5320" w:type="dxa"/>
            <w:vAlign w:val="bottom"/>
          </w:tcPr>
          <w:p>
            <w:pPr>
              <w:ind w:left="4220"/>
              <w:spacing w:after="0"/>
              <w:rPr>
                <w:sz w:val="20"/>
                <w:szCs w:val="20"/>
                <w:color w:val="auto"/>
              </w:rPr>
            </w:pPr>
            <w:r>
              <w:rPr>
                <w:rFonts w:ascii="Arial" w:cs="Arial" w:eastAsia="Arial" w:hAnsi="Arial"/>
                <w:sz w:val="18"/>
                <w:szCs w:val="18"/>
                <w:color w:val="auto"/>
              </w:rPr>
              <w:t>2.6</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w:t>
            </w:r>
          </w:p>
        </w:tc>
        <w:tc>
          <w:tcPr>
            <w:tcW w:w="5320" w:type="dxa"/>
            <w:vAlign w:val="bottom"/>
          </w:tcPr>
          <w:p>
            <w:pPr>
              <w:ind w:left="4220"/>
              <w:spacing w:after="0"/>
              <w:rPr>
                <w:sz w:val="20"/>
                <w:szCs w:val="20"/>
                <w:color w:val="auto"/>
              </w:rPr>
            </w:pPr>
            <w:r>
              <w:rPr>
                <w:rFonts w:ascii="Arial" w:cs="Arial" w:eastAsia="Arial" w:hAnsi="Arial"/>
                <w:sz w:val="18"/>
                <w:szCs w:val="18"/>
                <w:color w:val="auto"/>
              </w:rPr>
              <w:t>10.3</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313(a)</w:t>
            </w:r>
          </w:p>
        </w:tc>
        <w:tc>
          <w:tcPr>
            <w:tcW w:w="5320" w:type="dxa"/>
            <w:vAlign w:val="bottom"/>
          </w:tcPr>
          <w:p>
            <w:pPr>
              <w:ind w:left="4220"/>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(b)(1)</w:t>
            </w:r>
          </w:p>
        </w:tc>
        <w:tc>
          <w:tcPr>
            <w:tcW w:w="5320" w:type="dxa"/>
            <w:vAlign w:val="bottom"/>
          </w:tcPr>
          <w:p>
            <w:pPr>
              <w:ind w:left="4220"/>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(b)(2)</w:t>
            </w:r>
          </w:p>
        </w:tc>
        <w:tc>
          <w:tcPr>
            <w:tcW w:w="5320" w:type="dxa"/>
            <w:vAlign w:val="bottom"/>
          </w:tcPr>
          <w:p>
            <w:pPr>
              <w:ind w:left="4220"/>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(c)(1)</w:t>
            </w:r>
          </w:p>
        </w:tc>
        <w:tc>
          <w:tcPr>
            <w:tcW w:w="5320" w:type="dxa"/>
            <w:vAlign w:val="bottom"/>
          </w:tcPr>
          <w:p>
            <w:pPr>
              <w:ind w:left="4220"/>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(d)</w:t>
            </w:r>
          </w:p>
        </w:tc>
        <w:tc>
          <w:tcPr>
            <w:tcW w:w="5320" w:type="dxa"/>
            <w:vAlign w:val="bottom"/>
          </w:tcPr>
          <w:p>
            <w:pPr>
              <w:ind w:left="4220"/>
              <w:spacing w:after="0"/>
              <w:rPr>
                <w:sz w:val="20"/>
                <w:szCs w:val="20"/>
                <w:color w:val="auto"/>
              </w:rPr>
            </w:pPr>
            <w:r>
              <w:rPr>
                <w:rFonts w:ascii="Arial" w:cs="Arial" w:eastAsia="Arial" w:hAnsi="Arial"/>
                <w:sz w:val="18"/>
                <w:szCs w:val="18"/>
                <w:color w:val="auto"/>
              </w:rPr>
              <w:t>7.6</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314(a)</w:t>
            </w:r>
          </w:p>
        </w:tc>
        <w:tc>
          <w:tcPr>
            <w:tcW w:w="5320" w:type="dxa"/>
            <w:vAlign w:val="bottom"/>
          </w:tcPr>
          <w:p>
            <w:pPr>
              <w:ind w:left="4220"/>
              <w:spacing w:after="0"/>
              <w:rPr>
                <w:sz w:val="20"/>
                <w:szCs w:val="20"/>
                <w:color w:val="auto"/>
              </w:rPr>
            </w:pPr>
            <w:r>
              <w:rPr>
                <w:rFonts w:ascii="Arial" w:cs="Arial" w:eastAsia="Arial" w:hAnsi="Arial"/>
                <w:sz w:val="18"/>
                <w:szCs w:val="18"/>
                <w:color w:val="auto"/>
              </w:rPr>
              <w:t>4.2, 10.5</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(c)(1)</w:t>
            </w:r>
          </w:p>
        </w:tc>
        <w:tc>
          <w:tcPr>
            <w:tcW w:w="5320" w:type="dxa"/>
            <w:vAlign w:val="bottom"/>
          </w:tcPr>
          <w:p>
            <w:pPr>
              <w:ind w:left="4220"/>
              <w:spacing w:after="0"/>
              <w:rPr>
                <w:sz w:val="20"/>
                <w:szCs w:val="20"/>
                <w:color w:val="auto"/>
              </w:rPr>
            </w:pPr>
            <w:r>
              <w:rPr>
                <w:rFonts w:ascii="Arial" w:cs="Arial" w:eastAsia="Arial" w:hAnsi="Arial"/>
                <w:sz w:val="18"/>
                <w:szCs w:val="18"/>
                <w:color w:val="auto"/>
              </w:rPr>
              <w:t>10.4</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(c)(2)</w:t>
            </w:r>
          </w:p>
        </w:tc>
        <w:tc>
          <w:tcPr>
            <w:tcW w:w="5320" w:type="dxa"/>
            <w:vAlign w:val="bottom"/>
          </w:tcPr>
          <w:p>
            <w:pPr>
              <w:ind w:left="4220"/>
              <w:spacing w:after="0"/>
              <w:rPr>
                <w:sz w:val="20"/>
                <w:szCs w:val="20"/>
                <w:color w:val="auto"/>
              </w:rPr>
            </w:pPr>
            <w:r>
              <w:rPr>
                <w:rFonts w:ascii="Arial" w:cs="Arial" w:eastAsia="Arial" w:hAnsi="Arial"/>
                <w:sz w:val="18"/>
                <w:szCs w:val="18"/>
                <w:color w:val="auto"/>
              </w:rPr>
              <w:t>10.4</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(c)(3)</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(d)</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(e)</w:t>
            </w:r>
          </w:p>
        </w:tc>
        <w:tc>
          <w:tcPr>
            <w:tcW w:w="5320" w:type="dxa"/>
            <w:vAlign w:val="bottom"/>
          </w:tcPr>
          <w:p>
            <w:pPr>
              <w:ind w:left="4220"/>
              <w:spacing w:after="0"/>
              <w:rPr>
                <w:sz w:val="20"/>
                <w:szCs w:val="20"/>
                <w:color w:val="auto"/>
              </w:rPr>
            </w:pPr>
            <w:r>
              <w:rPr>
                <w:rFonts w:ascii="Arial" w:cs="Arial" w:eastAsia="Arial" w:hAnsi="Arial"/>
                <w:sz w:val="18"/>
                <w:szCs w:val="18"/>
                <w:color w:val="auto"/>
              </w:rPr>
              <w:t>10.5</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(f)</w:t>
            </w:r>
          </w:p>
        </w:tc>
        <w:tc>
          <w:tcPr>
            <w:tcW w:w="5320" w:type="dxa"/>
            <w:vAlign w:val="bottom"/>
          </w:tcPr>
          <w:p>
            <w:pPr>
              <w:ind w:left="4220"/>
              <w:spacing w:after="0"/>
              <w:rPr>
                <w:sz w:val="20"/>
                <w:szCs w:val="20"/>
                <w:color w:val="auto"/>
              </w:rPr>
            </w:pPr>
            <w:r>
              <w:rPr>
                <w:rFonts w:ascii="Arial" w:cs="Arial" w:eastAsia="Arial" w:hAnsi="Arial"/>
                <w:sz w:val="18"/>
                <w:szCs w:val="18"/>
                <w:color w:val="auto"/>
                <w:w w:val="93"/>
              </w:rPr>
              <w:t>Not Applicable</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315(a)</w:t>
            </w:r>
          </w:p>
        </w:tc>
        <w:tc>
          <w:tcPr>
            <w:tcW w:w="5320" w:type="dxa"/>
            <w:vAlign w:val="bottom"/>
          </w:tcPr>
          <w:p>
            <w:pPr>
              <w:ind w:left="4220"/>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rPr>
              <w:t>7.5</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(c)</w:t>
            </w:r>
          </w:p>
        </w:tc>
        <w:tc>
          <w:tcPr>
            <w:tcW w:w="5320" w:type="dxa"/>
            <w:vAlign w:val="bottom"/>
          </w:tcPr>
          <w:p>
            <w:pPr>
              <w:ind w:left="4220"/>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(d)</w:t>
            </w:r>
          </w:p>
        </w:tc>
        <w:tc>
          <w:tcPr>
            <w:tcW w:w="5320" w:type="dxa"/>
            <w:vAlign w:val="bottom"/>
          </w:tcPr>
          <w:p>
            <w:pPr>
              <w:ind w:left="4220"/>
              <w:spacing w:after="0"/>
              <w:rPr>
                <w:sz w:val="20"/>
                <w:szCs w:val="20"/>
                <w:color w:val="auto"/>
              </w:rPr>
            </w:pPr>
            <w:r>
              <w:rPr>
                <w:rFonts w:ascii="Arial" w:cs="Arial" w:eastAsia="Arial" w:hAnsi="Arial"/>
                <w:sz w:val="18"/>
                <w:szCs w:val="18"/>
                <w:color w:val="auto"/>
              </w:rPr>
              <w:t>7.1</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(e)</w:t>
            </w:r>
          </w:p>
        </w:tc>
        <w:tc>
          <w:tcPr>
            <w:tcW w:w="5320" w:type="dxa"/>
            <w:vAlign w:val="bottom"/>
          </w:tcPr>
          <w:p>
            <w:pPr>
              <w:ind w:left="4220"/>
              <w:spacing w:after="0"/>
              <w:rPr>
                <w:sz w:val="20"/>
                <w:szCs w:val="20"/>
                <w:color w:val="auto"/>
              </w:rPr>
            </w:pPr>
            <w:r>
              <w:rPr>
                <w:rFonts w:ascii="Arial" w:cs="Arial" w:eastAsia="Arial" w:hAnsi="Arial"/>
                <w:sz w:val="18"/>
                <w:szCs w:val="18"/>
                <w:color w:val="auto"/>
              </w:rPr>
              <w:t>6.14</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316(a)</w:t>
            </w:r>
          </w:p>
        </w:tc>
        <w:tc>
          <w:tcPr>
            <w:tcW w:w="5320" w:type="dxa"/>
            <w:vAlign w:val="bottom"/>
          </w:tcPr>
          <w:p>
            <w:pPr>
              <w:ind w:left="4220"/>
              <w:spacing w:after="0"/>
              <w:rPr>
                <w:sz w:val="20"/>
                <w:szCs w:val="20"/>
                <w:color w:val="auto"/>
              </w:rPr>
            </w:pPr>
            <w:r>
              <w:rPr>
                <w:rFonts w:ascii="Arial" w:cs="Arial" w:eastAsia="Arial" w:hAnsi="Arial"/>
                <w:sz w:val="18"/>
                <w:szCs w:val="18"/>
                <w:color w:val="auto"/>
              </w:rPr>
              <w:t>2.10</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(a)(1)(A)</w:t>
            </w:r>
          </w:p>
        </w:tc>
        <w:tc>
          <w:tcPr>
            <w:tcW w:w="5320" w:type="dxa"/>
            <w:vAlign w:val="bottom"/>
          </w:tcPr>
          <w:p>
            <w:pPr>
              <w:ind w:left="4220"/>
              <w:spacing w:after="0"/>
              <w:rPr>
                <w:sz w:val="20"/>
                <w:szCs w:val="20"/>
                <w:color w:val="auto"/>
              </w:rPr>
            </w:pPr>
            <w:r>
              <w:rPr>
                <w:rFonts w:ascii="Arial" w:cs="Arial" w:eastAsia="Arial" w:hAnsi="Arial"/>
                <w:sz w:val="18"/>
                <w:szCs w:val="18"/>
                <w:color w:val="auto"/>
              </w:rPr>
              <w:t>6.12</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(a)(1)(B)</w:t>
            </w:r>
          </w:p>
        </w:tc>
        <w:tc>
          <w:tcPr>
            <w:tcW w:w="5320" w:type="dxa"/>
            <w:vAlign w:val="bottom"/>
          </w:tcPr>
          <w:p>
            <w:pPr>
              <w:ind w:left="4220"/>
              <w:spacing w:after="0"/>
              <w:rPr>
                <w:sz w:val="20"/>
                <w:szCs w:val="20"/>
                <w:color w:val="auto"/>
              </w:rPr>
            </w:pPr>
            <w:r>
              <w:rPr>
                <w:rFonts w:ascii="Arial" w:cs="Arial" w:eastAsia="Arial" w:hAnsi="Arial"/>
                <w:sz w:val="18"/>
                <w:szCs w:val="18"/>
                <w:color w:val="auto"/>
              </w:rPr>
              <w:t>6.13</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rPr>
              <w:t>6.8</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w w:val="89"/>
              </w:rPr>
              <w:t>§ 317(a)(1)</w:t>
            </w:r>
          </w:p>
        </w:tc>
        <w:tc>
          <w:tcPr>
            <w:tcW w:w="5320" w:type="dxa"/>
            <w:vAlign w:val="bottom"/>
          </w:tcPr>
          <w:p>
            <w:pPr>
              <w:ind w:left="4220"/>
              <w:spacing w:after="0"/>
              <w:rPr>
                <w:sz w:val="20"/>
                <w:szCs w:val="20"/>
                <w:color w:val="auto"/>
              </w:rPr>
            </w:pPr>
            <w:r>
              <w:rPr>
                <w:rFonts w:ascii="Arial" w:cs="Arial" w:eastAsia="Arial" w:hAnsi="Arial"/>
                <w:sz w:val="18"/>
                <w:szCs w:val="18"/>
                <w:color w:val="auto"/>
              </w:rPr>
              <w:t>6.3</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(a)(2)</w:t>
            </w:r>
          </w:p>
        </w:tc>
        <w:tc>
          <w:tcPr>
            <w:tcW w:w="5320" w:type="dxa"/>
            <w:vAlign w:val="bottom"/>
          </w:tcPr>
          <w:p>
            <w:pPr>
              <w:ind w:left="4220"/>
              <w:spacing w:after="0"/>
              <w:rPr>
                <w:sz w:val="20"/>
                <w:szCs w:val="20"/>
                <w:color w:val="auto"/>
              </w:rPr>
            </w:pPr>
            <w:r>
              <w:rPr>
                <w:rFonts w:ascii="Arial" w:cs="Arial" w:eastAsia="Arial" w:hAnsi="Arial"/>
                <w:sz w:val="18"/>
                <w:szCs w:val="18"/>
                <w:color w:val="auto"/>
              </w:rPr>
              <w:t>6.4</w:t>
            </w:r>
          </w:p>
        </w:tc>
      </w:tr>
      <w:tr>
        <w:trPr>
          <w:trHeight w:val="216"/>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5320" w:type="dxa"/>
            <w:vAlign w:val="bottom"/>
          </w:tcPr>
          <w:p>
            <w:pPr>
              <w:ind w:left="4220"/>
              <w:spacing w:after="0"/>
              <w:rPr>
                <w:sz w:val="20"/>
                <w:szCs w:val="20"/>
                <w:color w:val="auto"/>
              </w:rPr>
            </w:pPr>
            <w:r>
              <w:rPr>
                <w:rFonts w:ascii="Arial" w:cs="Arial" w:eastAsia="Arial" w:hAnsi="Arial"/>
                <w:sz w:val="18"/>
                <w:szCs w:val="18"/>
                <w:color w:val="auto"/>
              </w:rPr>
              <w:t>2.5</w:t>
            </w:r>
          </w:p>
        </w:tc>
      </w:tr>
      <w:tr>
        <w:trPr>
          <w:trHeight w:val="230"/>
        </w:trPr>
        <w:tc>
          <w:tcPr>
            <w:tcW w:w="1680" w:type="dxa"/>
            <w:vAlign w:val="bottom"/>
          </w:tcPr>
          <w:p>
            <w:pPr>
              <w:jc w:val="right"/>
              <w:ind w:right="770"/>
              <w:spacing w:after="0"/>
              <w:rPr>
                <w:sz w:val="20"/>
                <w:szCs w:val="20"/>
                <w:color w:val="auto"/>
              </w:rPr>
            </w:pPr>
            <w:r>
              <w:rPr>
                <w:rFonts w:ascii="Arial" w:cs="Arial" w:eastAsia="Arial" w:hAnsi="Arial"/>
                <w:sz w:val="18"/>
                <w:szCs w:val="18"/>
                <w:color w:val="auto"/>
              </w:rPr>
              <w:t>§ 318(a)</w:t>
            </w:r>
          </w:p>
        </w:tc>
        <w:tc>
          <w:tcPr>
            <w:tcW w:w="5320" w:type="dxa"/>
            <w:vAlign w:val="bottom"/>
          </w:tcPr>
          <w:p>
            <w:pPr>
              <w:ind w:left="4220"/>
              <w:spacing w:after="0"/>
              <w:rPr>
                <w:sz w:val="20"/>
                <w:szCs w:val="20"/>
                <w:color w:val="auto"/>
              </w:rPr>
            </w:pPr>
            <w:r>
              <w:rPr>
                <w:rFonts w:ascii="Arial" w:cs="Arial" w:eastAsia="Arial" w:hAnsi="Arial"/>
                <w:sz w:val="18"/>
                <w:szCs w:val="18"/>
                <w:color w:val="auto"/>
              </w:rPr>
              <w:t>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Indenture dated as of [●], 20[●] between Larimar Therapeutics, Inc., a company incorporated under the laws of the State of Delaware (“</w:t>
      </w:r>
      <w:r>
        <w:rPr>
          <w:rFonts w:ascii="Arial" w:cs="Arial" w:eastAsia="Arial" w:hAnsi="Arial"/>
          <w:sz w:val="18"/>
          <w:szCs w:val="18"/>
          <w:i w:val="1"/>
          <w:iCs w:val="1"/>
          <w:color w:val="auto"/>
        </w:rPr>
        <w:t>Company</w:t>
      </w:r>
      <w:r>
        <w:rPr>
          <w:rFonts w:ascii="Arial" w:cs="Arial" w:eastAsia="Arial" w:hAnsi="Arial"/>
          <w:sz w:val="18"/>
          <w:szCs w:val="18"/>
          <w:color w:val="auto"/>
        </w:rPr>
        <w:t>”), and [●]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ectPr>
          <w:pgSz w:w="11900" w:h="16838" w:orient="portrait"/>
          <w:cols w:equalWidth="0" w:num="1">
            <w:col w:w="10960"/>
          </w:cols>
          <w:pgMar w:left="440" w:top="274" w:right="49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Stock</w:t>
      </w:r>
      <w:r>
        <w:rPr>
          <w:rFonts w:ascii="Arial" w:cs="Arial" w:eastAsia="Arial" w:hAnsi="Arial"/>
          <w:sz w:val="17"/>
          <w:szCs w:val="17"/>
          <w:color w:val="auto"/>
        </w:rPr>
        <w:t>” means any and all shares, interests, participations, rights or other equivalents (however designated) of corporate stock.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w:t>
      </w:r>
      <w:r>
        <w:rPr>
          <w:rFonts w:ascii="Arial" w:cs="Arial" w:eastAsia="Arial" w:hAnsi="Arial"/>
          <w:sz w:val="18"/>
          <w:szCs w:val="18"/>
          <w:color w:val="auto"/>
        </w:rPr>
        <w:t>” means any currency or currency unit issued by a government other than the government of The United States of America. 1</w:t>
      </w:r>
    </w:p>
    <w:p>
      <w:pPr>
        <w:sectPr>
          <w:pgSz w:w="11900" w:h="16838" w:orient="portrait"/>
          <w:cols w:equalWidth="0" w:num="1">
            <w:col w:w="10920"/>
          </w:cols>
          <w:pgMar w:left="440" w:top="274" w:right="539" w:bottom="1440" w:gutter="0" w:footer="0" w:header="0"/>
        </w:sectPr>
      </w:pPr>
    </w:p>
    <w:bookmarkStart w:id="112" w:name="page113"/>
    <w:bookmarkEnd w:id="112"/>
    <w:p>
      <w:pPr>
        <w:jc w:val="both"/>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13" w:name="page114"/>
    <w:bookmarkEnd w:id="113"/>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Arial" w:cs="Arial" w:eastAsia="Arial" w:hAnsi="Arial"/>
                <w:sz w:val="14"/>
                <w:szCs w:val="14"/>
                <w:color w:val="auto"/>
              </w:rPr>
              <w:t>TERM</w:t>
            </w:r>
          </w:p>
        </w:tc>
        <w:tc>
          <w:tcPr>
            <w:tcW w:w="800" w:type="dxa"/>
            <w:vAlign w:val="bottom"/>
          </w:tcPr>
          <w:p>
            <w:pPr>
              <w:jc w:val="center"/>
              <w:spacing w:after="0"/>
              <w:rPr>
                <w:sz w:val="20"/>
                <w:szCs w:val="20"/>
                <w:color w:val="auto"/>
              </w:rPr>
            </w:pPr>
            <w:r>
              <w:rPr>
                <w:rFonts w:ascii="Arial" w:cs="Arial" w:eastAsia="Arial" w:hAnsi="Arial"/>
                <w:sz w:val="14"/>
                <w:szCs w:val="14"/>
                <w:color w:val="auto"/>
              </w:rPr>
              <w:t>DEFINED IN</w:t>
            </w:r>
          </w:p>
        </w:tc>
        <w:tc>
          <w:tcPr>
            <w:tcW w:w="0" w:type="dxa"/>
            <w:vAlign w:val="bottom"/>
          </w:tcPr>
          <w:p>
            <w:pPr>
              <w:spacing w:after="0"/>
              <w:rPr>
                <w:sz w:val="1"/>
                <w:szCs w:val="1"/>
                <w:color w:val="auto"/>
              </w:rPr>
            </w:pPr>
          </w:p>
        </w:tc>
      </w:tr>
      <w:tr>
        <w:trPr>
          <w:trHeight w:val="154"/>
        </w:trPr>
        <w:tc>
          <w:tcPr>
            <w:tcW w:w="6680" w:type="dxa"/>
            <w:vAlign w:val="bottom"/>
            <w:gridSpan w:val="2"/>
            <w:vMerge w:val="continue"/>
          </w:tcPr>
          <w:p>
            <w:pPr>
              <w:spacing w:after="0"/>
              <w:rPr>
                <w:sz w:val="13"/>
                <w:szCs w:val="13"/>
                <w:color w:val="auto"/>
              </w:rPr>
            </w:pPr>
          </w:p>
        </w:tc>
        <w:tc>
          <w:tcPr>
            <w:tcW w:w="800" w:type="dxa"/>
            <w:vAlign w:val="bottom"/>
          </w:tcPr>
          <w:p>
            <w:pPr>
              <w:jc w:val="center"/>
              <w:spacing w:after="0" w:line="154" w:lineRule="exact"/>
              <w:rPr>
                <w:sz w:val="20"/>
                <w:szCs w:val="20"/>
                <w:color w:val="auto"/>
              </w:rPr>
            </w:pPr>
            <w:r>
              <w:rPr>
                <w:rFonts w:ascii="Arial" w:cs="Arial" w:eastAsia="Arial" w:hAnsi="Arial"/>
                <w:sz w:val="14"/>
                <w:szCs w:val="14"/>
                <w:color w:val="auto"/>
                <w:w w:val="96"/>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gridSpan w:val="2"/>
          </w:tcPr>
          <w:p>
            <w:pPr>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5.1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r>
        <w:rPr>
          <w:rFonts w:ascii="Arial" w:cs="Arial" w:eastAsia="Arial" w:hAnsi="Arial"/>
          <w:sz w:val="18"/>
          <w:szCs w:val="18"/>
          <w:color w:val="auto"/>
        </w:rPr>
        <w:t>.</w:t>
      </w:r>
    </w:p>
    <w:p>
      <w:pPr>
        <w:spacing w:after="0" w:line="11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4" w:name="page115"/>
    <w:bookmarkEnd w:id="1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9"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2.2.2. the price or prices (expressed as a percentage of the principal amount thereof) at which the Securities of the Series will be issued;</w:t>
      </w:r>
    </w:p>
    <w:p>
      <w:pPr>
        <w:spacing w:after="0" w:line="248"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15" w:name="page116"/>
    <w:bookmarkEnd w:id="11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2.2.4. the date or dates on which the principal of the Securities of the Series is payable;</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225" w:lineRule="exact"/>
        <w:rPr>
          <w:sz w:val="20"/>
          <w:szCs w:val="20"/>
          <w:color w:val="auto"/>
        </w:rPr>
      </w:pPr>
    </w:p>
    <w:p>
      <w:pPr>
        <w:jc w:val="both"/>
        <w:ind w:right="220" w:firstLine="99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225" w:lineRule="exact"/>
        <w:rPr>
          <w:sz w:val="20"/>
          <w:szCs w:val="20"/>
          <w:color w:val="auto"/>
        </w:rPr>
      </w:pPr>
    </w:p>
    <w:p>
      <w:pPr>
        <w:ind w:right="180" w:firstLine="991"/>
        <w:spacing w:after="0" w:line="342" w:lineRule="auto"/>
        <w:rPr>
          <w:sz w:val="20"/>
          <w:szCs w:val="20"/>
          <w:color w:val="auto"/>
        </w:rPr>
      </w:pPr>
      <w:r>
        <w:rPr>
          <w:rFonts w:ascii="Arial" w:cs="Arial" w:eastAsia="Arial" w:hAnsi="Arial"/>
          <w:sz w:val="16"/>
          <w:szCs w:val="16"/>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16" w:name="page117"/>
    <w:bookmarkEnd w:id="116"/>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2.2.19. any addition to, deletion of or change in the covenants set forth in Articles IV or V which applies to Securities of the Series;</w:t>
      </w:r>
    </w:p>
    <w:p>
      <w:pPr>
        <w:spacing w:after="0" w:line="23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jc w:val="both"/>
        <w:ind w:left="4" w:right="60" w:firstLine="991"/>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ind w:left="4" w:right="320" w:firstLine="99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left="4" w:right="620" w:firstLine="440"/>
        <w:spacing w:after="0" w:line="342" w:lineRule="auto"/>
        <w:rPr>
          <w:sz w:val="20"/>
          <w:szCs w:val="20"/>
          <w:color w:val="auto"/>
        </w:rPr>
      </w:pPr>
      <w:r>
        <w:rPr>
          <w:rFonts w:ascii="Arial" w:cs="Arial" w:eastAsia="Arial" w:hAnsi="Arial"/>
          <w:sz w:val="16"/>
          <w:szCs w:val="16"/>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2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w:t>
      </w:r>
    </w:p>
    <w:p>
      <w:pPr>
        <w:spacing w:after="0" w:line="46" w:lineRule="exact"/>
        <w:rPr>
          <w:sz w:val="20"/>
          <w:szCs w:val="20"/>
          <w:color w:val="auto"/>
        </w:rPr>
      </w:pPr>
    </w:p>
    <w:p>
      <w:pPr>
        <w:ind w:left="4" w:right="340" w:hanging="4"/>
        <w:spacing w:after="0" w:line="255" w:lineRule="auto"/>
        <w:tabs>
          <w:tab w:leader="none" w:pos="24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90" w:lineRule="exact"/>
        <w:rPr>
          <w:sz w:val="20"/>
          <w:szCs w:val="20"/>
          <w:color w:val="auto"/>
        </w:rPr>
      </w:pPr>
    </w:p>
    <w:p>
      <w:pPr>
        <w:jc w:val="both"/>
        <w:ind w:left="4" w:right="80" w:firstLine="440"/>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7"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Registrar and Paying Agent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serve as Registrar or Paying Agent.</w:t>
      </w:r>
    </w:p>
    <w:p>
      <w:pPr>
        <w:spacing w:after="0" w:line="19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8" w:name="page119"/>
    <w:bookmarkEnd w:id="11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2.7. </w:t>
      </w:r>
      <w:r>
        <w:rPr>
          <w:rFonts w:ascii="Arial" w:cs="Arial" w:eastAsia="Arial" w:hAnsi="Arial"/>
          <w:sz w:val="18"/>
          <w:szCs w:val="18"/>
          <w:u w:val="single" w:color="auto"/>
          <w:color w:val="auto"/>
        </w:rPr>
        <w:t>Transfer and Exchange</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left="4" w:right="200" w:firstLine="440"/>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2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w:t>
      </w:r>
    </w:p>
    <w:p>
      <w:pPr>
        <w:spacing w:after="0" w:line="117" w:lineRule="exact"/>
        <w:rPr>
          <w:sz w:val="20"/>
          <w:szCs w:val="20"/>
          <w:color w:val="auto"/>
        </w:rPr>
      </w:pPr>
    </w:p>
    <w:p>
      <w:pPr>
        <w:ind w:left="4" w:right="420" w:firstLine="440"/>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left="4" w:hanging="4"/>
        <w:spacing w:after="0" w:line="273" w:lineRule="auto"/>
        <w:tabs>
          <w:tab w:leader="none" w:pos="269"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19" w:name="page120"/>
    <w:bookmarkEnd w:id="119"/>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4"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2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20" w:name="page121"/>
    <w:bookmarkEnd w:id="1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ind w:right="120" w:firstLine="991"/>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Legends</w:t>
      </w:r>
      <w:r>
        <w:rPr>
          <w:rFonts w:ascii="Arial" w:cs="Arial" w:eastAsia="Arial" w:hAnsi="Arial"/>
          <w:sz w:val="18"/>
          <w:szCs w:val="18"/>
          <w:color w:val="auto"/>
        </w:rPr>
        <w:t>. Any Global Security issued hereunder shall bear a legend in substantially the following form:</w:t>
      </w:r>
    </w:p>
    <w:p>
      <w:pPr>
        <w:spacing w:after="0" w:line="225"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9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ind w:right="120" w:firstLine="991"/>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21" w:name="page122"/>
    <w:bookmarkEnd w:id="121"/>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the redemption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22" w:name="page123"/>
    <w:bookmarkEnd w:id="122"/>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jc w:val="both"/>
        <w:ind w:left="440" w:right="340" w:firstLine="419"/>
        <w:spacing w:after="0" w:line="286" w:lineRule="auto"/>
        <w:tabs>
          <w:tab w:leader="none" w:pos="1118"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57" w:lineRule="exact"/>
        <w:rPr>
          <w:rFonts w:ascii="Arial" w:cs="Arial" w:eastAsia="Arial" w:hAnsi="Arial"/>
          <w:sz w:val="17"/>
          <w:szCs w:val="17"/>
          <w:color w:val="auto"/>
        </w:rPr>
      </w:pPr>
    </w:p>
    <w:p>
      <w:pPr>
        <w:ind w:left="1100" w:hanging="241"/>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440" w:firstLine="419"/>
        <w:spacing w:after="0" w:line="277" w:lineRule="auto"/>
        <w:tabs>
          <w:tab w:leader="none" w:pos="10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8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23" w:name="page124"/>
    <w:bookmarkEnd w:id="1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8"/>
          <w:szCs w:val="18"/>
          <w:u w:val="single" w:color="auto"/>
          <w:color w:val="auto"/>
        </w:rPr>
        <w:t>SEC Reports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When Company May Merge, Etc</w:t>
      </w:r>
      <w:r>
        <w:rPr>
          <w:rFonts w:ascii="Arial" w:cs="Arial" w:eastAsia="Arial" w:hAnsi="Arial"/>
          <w:sz w:val="18"/>
          <w:szCs w:val="18"/>
          <w:color w:val="auto"/>
        </w:rPr>
        <w:t>.</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62" w:lineRule="exact"/>
        <w:rPr>
          <w:sz w:val="20"/>
          <w:szCs w:val="20"/>
          <w:color w:val="auto"/>
        </w:rPr>
      </w:pPr>
    </w:p>
    <w:p>
      <w:pPr>
        <w:ind w:left="440" w:right="380" w:firstLine="419"/>
        <w:spacing w:after="0" w:line="263" w:lineRule="auto"/>
        <w:tabs>
          <w:tab w:leader="none" w:pos="11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24" w:name="page125"/>
    <w:bookmarkEnd w:id="124"/>
    <w:p>
      <w:pPr>
        <w:ind w:right="6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wherever used herein with respect to Securities of any Series, means any one of the following events, unless in the establishing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Board Resolution, supplemental indenture or Officer’s Certificate, it is provided that such Series shall not have the benefit of said Event of Default:</w:t>
      </w:r>
    </w:p>
    <w:p>
      <w:pPr>
        <w:spacing w:after="0" w:line="114" w:lineRule="exact"/>
        <w:rPr>
          <w:sz w:val="20"/>
          <w:szCs w:val="20"/>
          <w:color w:val="auto"/>
        </w:rPr>
      </w:pPr>
    </w:p>
    <w:p>
      <w:pPr>
        <w:jc w:val="both"/>
        <w:ind w:left="440" w:right="200" w:firstLine="419"/>
        <w:spacing w:after="0" w:line="263" w:lineRule="auto"/>
        <w:tabs>
          <w:tab w:leader="none" w:pos="11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17" w:lineRule="exact"/>
        <w:rPr>
          <w:rFonts w:ascii="Arial" w:cs="Arial" w:eastAsia="Arial" w:hAnsi="Arial"/>
          <w:sz w:val="18"/>
          <w:szCs w:val="18"/>
          <w:color w:val="auto"/>
        </w:rPr>
      </w:pPr>
    </w:p>
    <w:p>
      <w:pPr>
        <w:ind w:left="440" w:right="100" w:firstLine="419"/>
        <w:spacing w:after="0" w:line="255" w:lineRule="auto"/>
        <w:tabs>
          <w:tab w:leader="none" w:pos="11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25" w:name="page126"/>
    <w:bookmarkEnd w:id="125"/>
    <w:p>
      <w:pPr>
        <w:ind w:left="1660" w:hanging="272"/>
        <w:spacing w:after="0"/>
        <w:tabs>
          <w:tab w:leader="none" w:pos="1660"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appoints a Custodian of the Company or for all or substantially all of its property, or</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60 days; or</w:t>
      </w:r>
    </w:p>
    <w:p>
      <w:pPr>
        <w:spacing w:after="0" w:line="117" w:lineRule="exact"/>
        <w:rPr>
          <w:rFonts w:ascii="Arial" w:cs="Arial" w:eastAsia="Arial" w:hAnsi="Arial"/>
          <w:sz w:val="18"/>
          <w:szCs w:val="18"/>
          <w:color w:val="auto"/>
        </w:rPr>
      </w:pPr>
    </w:p>
    <w:p>
      <w:pPr>
        <w:ind w:left="440" w:right="280" w:firstLine="419"/>
        <w:spacing w:after="0" w:line="277" w:lineRule="auto"/>
        <w:tabs>
          <w:tab w:leader="none" w:pos="10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6"/>
          <w:szCs w:val="16"/>
          <w:i w:val="1"/>
          <w:iCs w:val="1"/>
          <w:color w:val="auto"/>
        </w:rPr>
        <w:t xml:space="preserve">ipso facto </w:t>
      </w:r>
      <w:r>
        <w:rPr>
          <w:rFonts w:ascii="Arial" w:cs="Arial" w:eastAsia="Arial" w:hAnsi="Arial"/>
          <w:sz w:val="16"/>
          <w:szCs w:val="16"/>
          <w:color w:val="auto"/>
        </w:rPr>
        <w:t>become and be immediately due and payable without any declaration or other act on the part of the Trustee or any Holder.</w:t>
      </w:r>
    </w:p>
    <w:p>
      <w:pPr>
        <w:spacing w:after="0" w:line="165"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440" w:right="200" w:firstLine="419"/>
        <w:spacing w:after="0" w:line="277"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17" w:lineRule="exact"/>
        <w:rPr>
          <w:rFonts w:ascii="Arial" w:cs="Arial" w:eastAsia="Arial" w:hAnsi="Arial"/>
          <w:sz w:val="18"/>
          <w:szCs w:val="18"/>
          <w:color w:val="auto"/>
        </w:rPr>
      </w:pPr>
    </w:p>
    <w:p>
      <w:pPr>
        <w:ind w:left="440" w:right="60" w:firstLine="419"/>
        <w:spacing w:after="0" w:line="255" w:lineRule="auto"/>
        <w:tabs>
          <w:tab w:leader="none" w:pos="11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default is made in the deposit of any sinking fund payment, if any, when and as due by the terms of a Security, </w:t>
      </w:r>
      <w:r>
        <w:rPr>
          <w:rFonts w:ascii="Arial" w:cs="Arial" w:eastAsia="Arial" w:hAnsi="Arial"/>
          <w:sz w:val="18"/>
          <w:szCs w:val="18"/>
          <w:i w:val="1"/>
          <w:iCs w:val="1"/>
          <w:color w:val="auto"/>
        </w:rPr>
        <w:t>then,</w:t>
      </w:r>
      <w:r>
        <w:rPr>
          <w:rFonts w:ascii="Arial" w:cs="Arial" w:eastAsia="Arial" w:hAnsi="Arial"/>
          <w:sz w:val="18"/>
          <w:szCs w:val="18"/>
          <w:color w:val="auto"/>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26" w:name="page127"/>
    <w:bookmarkEnd w:id="126"/>
    <w:p>
      <w:pPr>
        <w:ind w:right="3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5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8" w:lineRule="exact"/>
        <w:rPr>
          <w:sz w:val="20"/>
          <w:szCs w:val="20"/>
          <w:color w:val="auto"/>
        </w:rPr>
      </w:pPr>
    </w:p>
    <w:p>
      <w:pPr>
        <w:ind w:left="440" w:right="100" w:firstLine="419"/>
        <w:spacing w:after="0" w:line="259"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78" w:lineRule="exact"/>
        <w:rPr>
          <w:rFonts w:ascii="Arial" w:cs="Arial" w:eastAsia="Arial" w:hAnsi="Arial"/>
          <w:sz w:val="18"/>
          <w:szCs w:val="18"/>
          <w:color w:val="auto"/>
        </w:rPr>
      </w:pPr>
    </w:p>
    <w:p>
      <w:pPr>
        <w:ind w:left="440" w:right="40" w:firstLine="419"/>
        <w:spacing w:after="0" w:line="275" w:lineRule="auto"/>
        <w:tabs>
          <w:tab w:leader="none" w:pos="111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76"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r>
        <w:rPr>
          <w:rFonts w:ascii="Arial" w:cs="Arial" w:eastAsia="Arial" w:hAnsi="Arial"/>
          <w:sz w:val="18"/>
          <w:szCs w:val="18"/>
          <w:color w:val="auto"/>
        </w:rPr>
        <w:t>.</w:t>
      </w:r>
    </w:p>
    <w:p>
      <w:pPr>
        <w:spacing w:after="0" w:line="11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27" w:name="page128"/>
    <w:bookmarkEnd w:id="12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principal or interest, upon presentation of the Securities and the notation thereon of the payment if only partially paid and upon surrender thereof if fully paid: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225"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To the Company.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100" w:hanging="241"/>
        <w:spacing w:after="0"/>
        <w:tabs>
          <w:tab w:leader="none" w:pos="11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Series;</w:t>
      </w:r>
    </w:p>
    <w:p>
      <w:pPr>
        <w:spacing w:after="0" w:line="102" w:lineRule="exact"/>
        <w:rPr>
          <w:rFonts w:ascii="Arial" w:cs="Arial" w:eastAsia="Arial" w:hAnsi="Arial"/>
          <w:sz w:val="17"/>
          <w:szCs w:val="17"/>
          <w:color w:val="auto"/>
        </w:rPr>
      </w:pPr>
    </w:p>
    <w:p>
      <w:pPr>
        <w:ind w:left="440" w:right="220" w:firstLine="419"/>
        <w:spacing w:after="0" w:line="277" w:lineRule="auto"/>
        <w:tabs>
          <w:tab w:leader="none" w:pos="11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1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40" w:lineRule="exact"/>
        <w:rPr>
          <w:rFonts w:ascii="Arial" w:cs="Arial" w:eastAsia="Arial" w:hAnsi="Arial"/>
          <w:sz w:val="16"/>
          <w:szCs w:val="16"/>
          <w:color w:val="auto"/>
        </w:rPr>
      </w:pPr>
    </w:p>
    <w:p>
      <w:pPr>
        <w:ind w:left="440" w:right="40" w:firstLine="419"/>
        <w:spacing w:after="0" w:line="273" w:lineRule="auto"/>
        <w:tabs>
          <w:tab w:leader="none" w:pos="11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no direction inconsistent with such written request has been given to the Trustee during such 60-day period by the Holders of a majority in principal amount of the outstanding Securities of that Series; 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1100" w:hanging="241"/>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117" w:lineRule="exact"/>
        <w:rPr>
          <w:rFonts w:ascii="Arial" w:cs="Arial" w:eastAsia="Arial" w:hAnsi="Arial"/>
          <w:sz w:val="18"/>
          <w:szCs w:val="18"/>
          <w:color w:val="auto"/>
        </w:rPr>
      </w:pPr>
    </w:p>
    <w:p>
      <w:pPr>
        <w:ind w:left="440" w:firstLine="419"/>
        <w:spacing w:after="0" w:line="342" w:lineRule="auto"/>
        <w:tabs>
          <w:tab w:leader="none" w:pos="11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5" w:lineRule="exact"/>
        <w:rPr>
          <w:rFonts w:ascii="Arial" w:cs="Arial" w:eastAsia="Arial" w:hAnsi="Arial"/>
          <w:sz w:val="16"/>
          <w:szCs w:val="16"/>
          <w:color w:val="auto"/>
        </w:rPr>
      </w:pPr>
    </w:p>
    <w:p>
      <w:pPr>
        <w:ind w:left="440" w:right="40" w:firstLine="419"/>
        <w:spacing w:after="0" w:line="277" w:lineRule="auto"/>
        <w:tabs>
          <w:tab w:leader="none" w:pos="11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All parties to this Indenture agree, and each Holder of any Security by his acceptance thereof shall be deemed to have agreed, that any court may in its discretion require, in any suit for the enforcement of any right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29" w:name="page130"/>
    <w:bookmarkEnd w:id="129"/>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r>
        <w:rPr>
          <w:rFonts w:ascii="Arial" w:cs="Arial" w:eastAsia="Arial" w:hAnsi="Arial"/>
          <w:sz w:val="18"/>
          <w:szCs w:val="18"/>
          <w:color w:val="auto"/>
        </w:rPr>
        <w:t>.</w:t>
      </w:r>
    </w:p>
    <w:p>
      <w:pPr>
        <w:spacing w:after="0" w:line="117" w:lineRule="exact"/>
        <w:rPr>
          <w:sz w:val="20"/>
          <w:szCs w:val="20"/>
          <w:color w:val="auto"/>
        </w:rPr>
      </w:pPr>
    </w:p>
    <w:p>
      <w:pPr>
        <w:ind w:left="440" w:right="200" w:firstLine="419"/>
        <w:spacing w:after="0" w:line="263" w:lineRule="auto"/>
        <w:tabs>
          <w:tab w:leader="none" w:pos="11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117" w:lineRule="exact"/>
        <w:rPr>
          <w:rFonts w:ascii="Arial" w:cs="Arial" w:eastAsia="Arial" w:hAnsi="Arial"/>
          <w:sz w:val="18"/>
          <w:szCs w:val="18"/>
          <w:color w:val="auto"/>
        </w:rPr>
      </w:pPr>
    </w:p>
    <w:p>
      <w:pPr>
        <w:ind w:left="980" w:right="240" w:firstLine="408"/>
        <w:spacing w:after="0" w:line="275" w:lineRule="auto"/>
        <w:tabs>
          <w:tab w:leader="none" w:pos="1646"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76" w:lineRule="exact"/>
        <w:rPr>
          <w:rFonts w:ascii="Arial" w:cs="Arial" w:eastAsia="Arial" w:hAnsi="Arial"/>
          <w:sz w:val="17"/>
          <w:szCs w:val="17"/>
          <w:color w:val="auto"/>
        </w:rPr>
      </w:pPr>
    </w:p>
    <w:p>
      <w:pPr>
        <w:ind w:left="440" w:right="80" w:firstLine="419"/>
        <w:spacing w:after="0" w:line="277" w:lineRule="auto"/>
        <w:tabs>
          <w:tab w:leader="none" w:pos="11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17" w:lineRule="exact"/>
        <w:rPr>
          <w:rFonts w:ascii="Arial" w:cs="Arial" w:eastAsia="Arial" w:hAnsi="Arial"/>
          <w:sz w:val="18"/>
          <w:szCs w:val="18"/>
          <w:color w:val="auto"/>
        </w:rPr>
      </w:pPr>
    </w:p>
    <w:p>
      <w:pPr>
        <w:ind w:left="980" w:right="120" w:firstLine="408"/>
        <w:spacing w:after="0" w:line="277" w:lineRule="auto"/>
        <w:tabs>
          <w:tab w:leader="none" w:pos="164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62" w:lineRule="exact"/>
        <w:rPr>
          <w:rFonts w:ascii="Arial" w:cs="Arial" w:eastAsia="Arial" w:hAnsi="Arial"/>
          <w:sz w:val="18"/>
          <w:szCs w:val="18"/>
          <w:color w:val="auto"/>
        </w:rPr>
      </w:pPr>
    </w:p>
    <w:p>
      <w:pPr>
        <w:ind w:left="980" w:right="60" w:firstLine="408"/>
        <w:spacing w:after="0" w:line="286" w:lineRule="auto"/>
        <w:tabs>
          <w:tab w:leader="none" w:pos="1696"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Section 6.12.</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62" w:lineRule="exact"/>
        <w:rPr>
          <w:rFonts w:ascii="Arial" w:cs="Arial" w:eastAsia="Arial" w:hAnsi="Arial"/>
          <w:sz w:val="18"/>
          <w:szCs w:val="18"/>
          <w:color w:val="auto"/>
        </w:rPr>
      </w:pPr>
    </w:p>
    <w:p>
      <w:pPr>
        <w:ind w:left="440" w:right="340" w:firstLine="419"/>
        <w:spacing w:after="0" w:line="277" w:lineRule="auto"/>
        <w:tabs>
          <w:tab w:leader="none" w:pos="10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30" w:name="page131"/>
    <w:bookmarkEnd w:id="130"/>
    <w:p>
      <w:pPr>
        <w:ind w:left="440" w:right="40" w:firstLine="419"/>
        <w:spacing w:after="0" w:line="263" w:lineRule="auto"/>
        <w:tabs>
          <w:tab w:leader="none" w:pos="11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75" w:lineRule="exact"/>
        <w:rPr>
          <w:rFonts w:ascii="Arial" w:cs="Arial" w:eastAsia="Arial" w:hAnsi="Arial"/>
          <w:sz w:val="18"/>
          <w:szCs w:val="18"/>
          <w:color w:val="auto"/>
        </w:rPr>
      </w:pPr>
    </w:p>
    <w:p>
      <w:pPr>
        <w:ind w:left="440" w:right="520" w:firstLine="419"/>
        <w:spacing w:after="0" w:line="277" w:lineRule="auto"/>
        <w:tabs>
          <w:tab w:leader="none" w:pos="11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r>
        <w:rPr>
          <w:rFonts w:ascii="Arial" w:cs="Arial" w:eastAsia="Arial" w:hAnsi="Arial"/>
          <w:sz w:val="18"/>
          <w:szCs w:val="18"/>
          <w:color w:val="auto"/>
        </w:rPr>
        <w:t>.</w:t>
      </w:r>
    </w:p>
    <w:p>
      <w:pPr>
        <w:spacing w:after="0" w:line="117" w:lineRule="exact"/>
        <w:rPr>
          <w:sz w:val="20"/>
          <w:szCs w:val="20"/>
          <w:color w:val="auto"/>
        </w:rPr>
      </w:pPr>
    </w:p>
    <w:p>
      <w:pPr>
        <w:ind w:left="440" w:right="100" w:firstLine="419"/>
        <w:spacing w:after="0" w:line="263"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75" w:lineRule="exact"/>
        <w:rPr>
          <w:rFonts w:ascii="Arial" w:cs="Arial" w:eastAsia="Arial" w:hAnsi="Arial"/>
          <w:sz w:val="18"/>
          <w:szCs w:val="18"/>
          <w:color w:val="auto"/>
        </w:rPr>
      </w:pPr>
    </w:p>
    <w:p>
      <w:pPr>
        <w:ind w:left="440" w:right="360" w:firstLine="419"/>
        <w:spacing w:after="0" w:line="342" w:lineRule="auto"/>
        <w:tabs>
          <w:tab w:leader="none" w:pos="111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 w:lineRule="exact"/>
        <w:rPr>
          <w:rFonts w:ascii="Arial" w:cs="Arial" w:eastAsia="Arial" w:hAnsi="Arial"/>
          <w:sz w:val="16"/>
          <w:szCs w:val="16"/>
          <w:color w:val="auto"/>
        </w:rPr>
      </w:pPr>
    </w:p>
    <w:p>
      <w:pPr>
        <w:ind w:left="440" w:right="100" w:firstLine="419"/>
        <w:spacing w:after="0" w:line="342" w:lineRule="auto"/>
        <w:tabs>
          <w:tab w:leader="none" w:pos="110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5" w:lineRule="exact"/>
        <w:rPr>
          <w:rFonts w:ascii="Arial" w:cs="Arial" w:eastAsia="Arial" w:hAnsi="Arial"/>
          <w:sz w:val="16"/>
          <w:szCs w:val="16"/>
          <w:color w:val="auto"/>
        </w:rPr>
      </w:pPr>
    </w:p>
    <w:p>
      <w:pPr>
        <w:ind w:left="440" w:right="120" w:firstLine="419"/>
        <w:spacing w:after="0" w:line="277" w:lineRule="auto"/>
        <w:tabs>
          <w:tab w:leader="none" w:pos="111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75" w:lineRule="exact"/>
        <w:rPr>
          <w:rFonts w:ascii="Arial" w:cs="Arial" w:eastAsia="Arial" w:hAnsi="Arial"/>
          <w:sz w:val="18"/>
          <w:szCs w:val="18"/>
          <w:color w:val="auto"/>
        </w:rPr>
      </w:pPr>
    </w:p>
    <w:p>
      <w:pPr>
        <w:ind w:left="440" w:firstLine="419"/>
        <w:spacing w:after="0" w:line="263" w:lineRule="auto"/>
        <w:tabs>
          <w:tab w:leader="none" w:pos="108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75" w:lineRule="exact"/>
        <w:rPr>
          <w:rFonts w:ascii="Arial" w:cs="Arial" w:eastAsia="Arial" w:hAnsi="Arial"/>
          <w:sz w:val="18"/>
          <w:szCs w:val="18"/>
          <w:color w:val="auto"/>
        </w:rPr>
      </w:pPr>
    </w:p>
    <w:p>
      <w:pPr>
        <w:ind w:left="440" w:right="440" w:firstLine="419"/>
        <w:spacing w:after="0" w:line="311" w:lineRule="auto"/>
        <w:tabs>
          <w:tab w:leader="none" w:pos="111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40" w:lineRule="exact"/>
        <w:rPr>
          <w:rFonts w:ascii="Arial" w:cs="Arial" w:eastAsia="Arial" w:hAnsi="Arial"/>
          <w:sz w:val="16"/>
          <w:szCs w:val="16"/>
          <w:color w:val="auto"/>
        </w:rPr>
      </w:pPr>
    </w:p>
    <w:p>
      <w:pPr>
        <w:ind w:left="440" w:right="40" w:firstLine="419"/>
        <w:spacing w:after="0" w:line="286" w:lineRule="auto"/>
        <w:tabs>
          <w:tab w:leader="none" w:pos="111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57" w:lineRule="exact"/>
        <w:rPr>
          <w:rFonts w:ascii="Arial" w:cs="Arial" w:eastAsia="Arial" w:hAnsi="Arial"/>
          <w:sz w:val="17"/>
          <w:szCs w:val="17"/>
          <w:color w:val="auto"/>
        </w:rPr>
      </w:pPr>
    </w:p>
    <w:p>
      <w:pPr>
        <w:ind w:left="440" w:right="60" w:firstLine="419"/>
        <w:spacing w:after="0" w:line="308" w:lineRule="auto"/>
        <w:tabs>
          <w:tab w:leader="none" w:pos="10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38" w:lineRule="exact"/>
        <w:rPr>
          <w:rFonts w:ascii="Arial" w:cs="Arial" w:eastAsia="Arial" w:hAnsi="Arial"/>
          <w:sz w:val="17"/>
          <w:szCs w:val="17"/>
          <w:color w:val="auto"/>
        </w:rPr>
      </w:pPr>
    </w:p>
    <w:p>
      <w:pPr>
        <w:ind w:left="1080" w:hanging="221"/>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w:t>
      </w:r>
    </w:p>
    <w:p>
      <w:pPr>
        <w:spacing w:after="0" w:line="117"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r>
        <w:rPr>
          <w:rFonts w:ascii="Arial" w:cs="Arial" w:eastAsia="Arial" w:hAnsi="Arial"/>
          <w:sz w:val="18"/>
          <w:szCs w:val="18"/>
          <w:color w:val="auto"/>
        </w:rPr>
        <w:t>.</w:t>
      </w:r>
    </w:p>
    <w:p>
      <w:pPr>
        <w:spacing w:after="0" w:line="117"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Within 60 days after each anniversary of the date of this Indenture,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7"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2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40" w:top="274" w:right="51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this Section shall survive the termination of this Indenture.</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w:t>
      </w:r>
    </w:p>
    <w:p>
      <w:pPr>
        <w:spacing w:after="0" w:line="117"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41" w:lineRule="exact"/>
        <w:rPr>
          <w:sz w:val="20"/>
          <w:szCs w:val="20"/>
          <w:color w:val="auto"/>
        </w:rPr>
      </w:pPr>
    </w:p>
    <w:p>
      <w:pPr>
        <w:ind w:left="1100" w:hanging="241"/>
        <w:spacing w:after="0"/>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00" w:hanging="241"/>
        <w:spacing w:after="0"/>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retiring Trustee shall transfer all property held by it as Trustee to the successor Trustee subject to the lien provided for in Section 7.7, the resignation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removal of the retiring Trustee shall become effective, and the successor Trustee shall have all the rights, powers and duties of the Trustee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each Series of Securities for which it is acting as Trustee under this Indenture. A successor Trustee shall mail a notice of its succession to each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Securityholder of each such Series. Notwithstanding replacement of the Trustee pursuant to this Section 7.8, the Company’s obligations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7.7 hereof shall continue for the benefit of the retiring Trustee with respect to expenses and liabilities incurred by it for actions taken or omitted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taken in accordance with its rights, powers and duties under this Indenture prior to such replacement.</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133" w:name="page134"/>
    <w:bookmarkEnd w:id="1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7.11.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76" w:lineRule="exact"/>
        <w:rPr>
          <w:sz w:val="20"/>
          <w:szCs w:val="20"/>
          <w:color w:val="auto"/>
        </w:rPr>
      </w:pPr>
    </w:p>
    <w:p>
      <w:pPr>
        <w:ind w:left="1100" w:hanging="241"/>
        <w:spacing w:after="0"/>
        <w:tabs>
          <w:tab w:leader="none" w:pos="11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980" w:right="80" w:firstLine="408"/>
        <w:spacing w:after="0" w:line="277" w:lineRule="auto"/>
        <w:tabs>
          <w:tab w:leader="none" w:pos="159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1420" w:right="160" w:firstLine="391"/>
        <w:spacing w:after="0" w:line="308" w:lineRule="auto"/>
        <w:tabs>
          <w:tab w:leader="none" w:pos="2058" w:val="left"/>
        </w:tabs>
        <w:numPr>
          <w:ilvl w:val="3"/>
          <w:numId w:val="109"/>
        </w:numPr>
        <w:rPr>
          <w:rFonts w:ascii="Arial" w:cs="Arial" w:eastAsia="Arial" w:hAnsi="Arial"/>
          <w:sz w:val="17"/>
          <w:szCs w:val="17"/>
          <w:color w:val="auto"/>
        </w:rPr>
      </w:pPr>
      <w:r>
        <w:rPr>
          <w:rFonts w:ascii="Arial" w:cs="Arial" w:eastAsia="Arial" w:hAnsi="Arial"/>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38" w:lineRule="exact"/>
        <w:rPr>
          <w:rFonts w:ascii="Arial" w:cs="Arial" w:eastAsia="Arial" w:hAnsi="Arial"/>
          <w:sz w:val="17"/>
          <w:szCs w:val="17"/>
          <w:color w:val="auto"/>
        </w:rPr>
      </w:pPr>
    </w:p>
    <w:p>
      <w:pPr>
        <w:ind w:left="2060" w:hanging="249"/>
        <w:spacing w:after="0"/>
        <w:tabs>
          <w:tab w:leader="none" w:pos="2060" w:val="left"/>
        </w:tabs>
        <w:numPr>
          <w:ilvl w:val="3"/>
          <w:numId w:val="109"/>
        </w:numPr>
        <w:rPr>
          <w:rFonts w:ascii="Arial" w:cs="Arial" w:eastAsia="Arial" w:hAnsi="Arial"/>
          <w:sz w:val="17"/>
          <w:szCs w:val="17"/>
          <w:color w:val="auto"/>
        </w:rPr>
      </w:pPr>
      <w:r>
        <w:rPr>
          <w:rFonts w:ascii="Arial" w:cs="Arial" w:eastAsia="Arial" w:hAnsi="Arial"/>
          <w:sz w:val="17"/>
          <w:szCs w:val="17"/>
          <w:color w:val="auto"/>
        </w:rPr>
        <w:t>are deemed paid and discharged pursuant to Section 8.3, as applicable; and the Company, in the case of (1), (2) or</w:t>
      </w:r>
    </w:p>
    <w:p>
      <w:pPr>
        <w:spacing w:after="0" w:line="34" w:lineRule="exact"/>
        <w:rPr>
          <w:rFonts w:ascii="Arial" w:cs="Arial" w:eastAsia="Arial" w:hAnsi="Arial"/>
          <w:sz w:val="17"/>
          <w:szCs w:val="17"/>
          <w:color w:val="auto"/>
        </w:rPr>
      </w:pPr>
    </w:p>
    <w:p>
      <w:pPr>
        <w:ind w:left="1420" w:right="80" w:firstLine="8"/>
        <w:spacing w:after="0" w:line="253" w:lineRule="auto"/>
        <w:tabs>
          <w:tab w:leader="none" w:pos="1675"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17" w:lineRule="exact"/>
        <w:rPr>
          <w:rFonts w:ascii="Arial" w:cs="Arial" w:eastAsia="Arial" w:hAnsi="Arial"/>
          <w:sz w:val="18"/>
          <w:szCs w:val="18"/>
          <w:color w:val="auto"/>
        </w:rPr>
      </w:pPr>
    </w:p>
    <w:p>
      <w:pPr>
        <w:ind w:left="440" w:right="420" w:firstLine="419"/>
        <w:spacing w:after="0" w:line="308" w:lineRule="auto"/>
        <w:tabs>
          <w:tab w:leader="none" w:pos="110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57" w:lineRule="auto"/>
        <w:tabs>
          <w:tab w:leader="none" w:pos="110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134" w:name="page135"/>
    <w:bookmarkEnd w:id="134"/>
    <w:p>
      <w:pPr>
        <w:ind w:left="440"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38" w:lineRule="exact"/>
        <w:rPr>
          <w:sz w:val="20"/>
          <w:szCs w:val="20"/>
          <w:color w:val="auto"/>
        </w:rPr>
      </w:pPr>
    </w:p>
    <w:p>
      <w:pPr>
        <w:ind w:left="440" w:firstLine="419"/>
        <w:spacing w:after="0" w:line="263" w:lineRule="auto"/>
        <w:tabs>
          <w:tab w:leader="none" w:pos="11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75" w:lineRule="exact"/>
        <w:rPr>
          <w:rFonts w:ascii="Arial" w:cs="Arial" w:eastAsia="Arial" w:hAnsi="Arial"/>
          <w:sz w:val="18"/>
          <w:szCs w:val="18"/>
          <w:color w:val="auto"/>
        </w:rPr>
      </w:pPr>
    </w:p>
    <w:p>
      <w:pPr>
        <w:ind w:left="440" w:right="40" w:firstLine="419"/>
        <w:spacing w:after="0" w:line="273" w:lineRule="auto"/>
        <w:tabs>
          <w:tab w:leader="none" w:pos="110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49" w:lineRule="exact"/>
        <w:rPr>
          <w:sz w:val="20"/>
          <w:szCs w:val="20"/>
          <w:color w:val="auto"/>
        </w:rPr>
      </w:pPr>
    </w:p>
    <w:p>
      <w:pPr>
        <w:ind w:left="440" w:right="60" w:firstLine="419"/>
        <w:spacing w:after="0" w:line="301" w:lineRule="auto"/>
        <w:tabs>
          <w:tab w:leader="none" w:pos="110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6"/>
          <w:szCs w:val="16"/>
          <w:color w:val="auto"/>
        </w:rPr>
      </w:pPr>
    </w:p>
    <w:p>
      <w:pPr>
        <w:ind w:left="1120" w:hanging="261"/>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ind w:left="440" w:right="40" w:firstLine="419"/>
        <w:spacing w:after="0" w:line="289" w:lineRule="auto"/>
        <w:tabs>
          <w:tab w:leader="none" w:pos="111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58" w:lineRule="exact"/>
        <w:rPr>
          <w:rFonts w:ascii="Arial" w:cs="Arial" w:eastAsia="Arial" w:hAnsi="Arial"/>
          <w:sz w:val="16"/>
          <w:szCs w:val="16"/>
          <w:color w:val="auto"/>
        </w:rPr>
      </w:pPr>
    </w:p>
    <w:p>
      <w:pPr>
        <w:ind w:left="440" w:right="140" w:firstLine="419"/>
        <w:spacing w:after="0" w:line="277" w:lineRule="auto"/>
        <w:tabs>
          <w:tab w:leader="none" w:pos="11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35" w:name="page136"/>
    <w:bookmarkEnd w:id="135"/>
    <w:p>
      <w:pPr>
        <w:ind w:left="440" w:right="360" w:firstLine="419"/>
        <w:spacing w:after="0" w:line="277" w:lineRule="auto"/>
        <w:tabs>
          <w:tab w:leader="none" w:pos="10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with respect to the Securities of such Series shall have occurred and be continuing on the date of such deposit or during the period ending on the 91st day after such date;</w:t>
      </w:r>
    </w:p>
    <w:p>
      <w:pPr>
        <w:spacing w:after="0" w:line="62" w:lineRule="exact"/>
        <w:rPr>
          <w:rFonts w:ascii="Arial" w:cs="Arial" w:eastAsia="Arial" w:hAnsi="Arial"/>
          <w:sz w:val="18"/>
          <w:szCs w:val="18"/>
          <w:color w:val="auto"/>
        </w:rPr>
      </w:pPr>
    </w:p>
    <w:p>
      <w:pPr>
        <w:ind w:left="440" w:firstLine="419"/>
        <w:spacing w:after="0" w:line="273" w:lineRule="auto"/>
        <w:tabs>
          <w:tab w:leader="none" w:pos="111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69"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480" w:firstLine="419"/>
        <w:spacing w:after="0" w:line="277" w:lineRule="auto"/>
        <w:tabs>
          <w:tab w:leader="none" w:pos="10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70" w:lineRule="exact"/>
        <w:rPr>
          <w:sz w:val="20"/>
          <w:szCs w:val="20"/>
          <w:color w:val="auto"/>
        </w:rPr>
      </w:pPr>
    </w:p>
    <w:p>
      <w:pPr>
        <w:ind w:left="440" w:right="20" w:firstLine="419"/>
        <w:spacing w:after="0" w:line="269" w:lineRule="auto"/>
        <w:tabs>
          <w:tab w:leader="none" w:pos="110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77"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36" w:name="page137"/>
    <w:bookmarkEnd w:id="136"/>
    <w:p>
      <w:pPr>
        <w:ind w:left="440" w:right="80" w:firstLine="419"/>
        <w:spacing w:after="0" w:line="259" w:lineRule="auto"/>
        <w:tabs>
          <w:tab w:leader="none" w:pos="11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78" w:lineRule="exact"/>
        <w:rPr>
          <w:rFonts w:ascii="Arial" w:cs="Arial" w:eastAsia="Arial" w:hAnsi="Arial"/>
          <w:sz w:val="18"/>
          <w:szCs w:val="18"/>
          <w:color w:val="auto"/>
        </w:rPr>
      </w:pPr>
    </w:p>
    <w:p>
      <w:pPr>
        <w:ind w:left="440" w:right="300" w:firstLine="419"/>
        <w:spacing w:after="0" w:line="277" w:lineRule="auto"/>
        <w:tabs>
          <w:tab w:leader="none" w:pos="11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62" w:lineRule="exact"/>
        <w:rPr>
          <w:rFonts w:ascii="Arial" w:cs="Arial" w:eastAsia="Arial" w:hAnsi="Arial"/>
          <w:sz w:val="18"/>
          <w:szCs w:val="18"/>
          <w:color w:val="auto"/>
        </w:rPr>
      </w:pPr>
    </w:p>
    <w:p>
      <w:pPr>
        <w:ind w:left="440" w:right="320" w:firstLine="419"/>
        <w:spacing w:after="0" w:line="308" w:lineRule="auto"/>
        <w:tabs>
          <w:tab w:leader="none" w:pos="108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and the Trustee may amend or supplement this Indenture or the Securities of one or more Series without the consent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103" w:lineRule="exact"/>
        <w:rPr>
          <w:sz w:val="20"/>
          <w:szCs w:val="20"/>
          <w:color w:val="auto"/>
        </w:rPr>
      </w:pPr>
    </w:p>
    <w:p>
      <w:pPr>
        <w:ind w:left="1100" w:hanging="241"/>
        <w:spacing w:after="0"/>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40" w:top="274" w:right="559" w:bottom="1440" w:gutter="0" w:footer="0" w:header="0"/>
        </w:sectPr>
      </w:pPr>
    </w:p>
    <w:bookmarkStart w:id="137" w:name="page138"/>
    <w:bookmarkEnd w:id="137"/>
    <w:p>
      <w:pPr>
        <w:ind w:left="1080" w:hanging="221"/>
        <w:spacing w:after="0"/>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for the issuance of and establish the form and terms and conditions of Securities of any Series as permitted by this Indenture;</w:t>
      </w:r>
    </w:p>
    <w:p>
      <w:pPr>
        <w:spacing w:after="0" w:line="140" w:lineRule="exact"/>
        <w:rPr>
          <w:rFonts w:ascii="Arial" w:cs="Arial" w:eastAsia="Arial" w:hAnsi="Arial"/>
          <w:sz w:val="16"/>
          <w:szCs w:val="16"/>
          <w:color w:val="auto"/>
        </w:rPr>
      </w:pPr>
    </w:p>
    <w:p>
      <w:pPr>
        <w:ind w:left="440" w:right="40" w:firstLine="419"/>
        <w:spacing w:after="0" w:line="263" w:lineRule="auto"/>
        <w:tabs>
          <w:tab w:leader="none" w:pos="107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75" w:lineRule="exact"/>
        <w:rPr>
          <w:rFonts w:ascii="Arial" w:cs="Arial" w:eastAsia="Arial" w:hAnsi="Arial"/>
          <w:sz w:val="18"/>
          <w:szCs w:val="18"/>
          <w:color w:val="auto"/>
        </w:rPr>
      </w:pPr>
    </w:p>
    <w:p>
      <w:pPr>
        <w:ind w:left="440" w:right="220" w:firstLine="419"/>
        <w:spacing w:after="0" w:line="263"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conform the terms of this indenture or the terms of the debt securities of any series issued under this indenture to the description thereof contained in any prospectus, prospectus supplement or similar offering document used in connection with the initial offering and sale of such debt securities to investors in a public or private offering; or</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117" w:lineRule="exact"/>
        <w:rPr>
          <w:sz w:val="20"/>
          <w:szCs w:val="20"/>
          <w:color w:val="auto"/>
        </w:rPr>
      </w:pPr>
    </w:p>
    <w:p>
      <w:pPr>
        <w:ind w:left="1100" w:hanging="241"/>
        <w:spacing w:after="0"/>
        <w:tabs>
          <w:tab w:leader="none" w:pos="11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17" w:lineRule="exact"/>
        <w:rPr>
          <w:rFonts w:ascii="Arial" w:cs="Arial" w:eastAsia="Arial" w:hAnsi="Arial"/>
          <w:sz w:val="18"/>
          <w:szCs w:val="18"/>
          <w:color w:val="auto"/>
        </w:rPr>
      </w:pPr>
    </w:p>
    <w:p>
      <w:pPr>
        <w:ind w:left="440" w:right="260" w:firstLine="419"/>
        <w:spacing w:after="0" w:line="263" w:lineRule="auto"/>
        <w:tabs>
          <w:tab w:leader="none" w:pos="110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38" w:name="page139"/>
    <w:bookmarkEnd w:id="138"/>
    <w:p>
      <w:pPr>
        <w:ind w:left="1080" w:hanging="221"/>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make the principal of or interest, if any, on any Security payable in any currency other than that stated in the Security;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 provided that such redemption is made at the Company’s option.</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Telephone: (844) 511-9056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Rachael M. Bushey and Jennifer L. Porter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Telephone: (215) 981-4331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Telephone: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Telephone: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248"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Company sends a notice or communication to Securityholders, it shall send a copy to the Trustee and each Agent at the same time.</w:t>
      </w:r>
    </w:p>
    <w:p>
      <w:pPr>
        <w:spacing w:after="0" w:line="237" w:lineRule="exact"/>
        <w:rPr>
          <w:sz w:val="20"/>
          <w:szCs w:val="20"/>
          <w:color w:val="auto"/>
        </w:rPr>
      </w:pPr>
    </w:p>
    <w:p>
      <w:pPr>
        <w:jc w:val="both"/>
        <w:ind w:right="480" w:firstLine="440"/>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spacing w:after="0" w:line="11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ectPr>
          <w:pgSz w:w="11900" w:h="16838" w:orient="portrait"/>
          <w:cols w:equalWidth="0" w:num="1">
            <w:col w:w="11020"/>
          </w:cols>
          <w:pgMar w:left="440" w:top="274" w:right="4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20"/>
          </w:cols>
          <w:pgMar w:left="440" w:top="274" w:right="439" w:bottom="1440" w:gutter="0" w:footer="0" w:header="0"/>
          <w:type w:val="continuous"/>
        </w:sectPr>
      </w:pPr>
    </w:p>
    <w:bookmarkStart w:id="140" w:name="page141"/>
    <w:bookmarkEnd w:id="1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left="440" w:firstLine="419"/>
        <w:spacing w:after="0" w:line="277" w:lineRule="auto"/>
        <w:tabs>
          <w:tab w:leader="none" w:pos="11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62" w:lineRule="exact"/>
        <w:rPr>
          <w:sz w:val="20"/>
          <w:szCs w:val="20"/>
          <w:color w:val="auto"/>
        </w:rPr>
      </w:pPr>
    </w:p>
    <w:p>
      <w:pPr>
        <w:ind w:left="1100" w:hanging="241"/>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1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w:t>
      </w:r>
    </w:p>
    <w:p>
      <w:pPr>
        <w:spacing w:after="0" w:line="11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w:t>
      </w:r>
    </w:p>
    <w:p>
      <w:pPr>
        <w:spacing w:after="0" w:line="117"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Governing Law; Waiver of Jury Trial; Consent to Jurisdiction</w:t>
      </w:r>
      <w:r>
        <w:rPr>
          <w:rFonts w:ascii="Arial" w:cs="Arial" w:eastAsia="Arial" w:hAnsi="Arial"/>
          <w:sz w:val="18"/>
          <w:szCs w:val="18"/>
          <w:color w:val="auto"/>
        </w:rPr>
        <w:t>.</w:t>
      </w:r>
    </w:p>
    <w:p>
      <w:pPr>
        <w:spacing w:after="0" w:line="113"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10.14. Table of Contents, Headings, Etc.</w:t>
      </w:r>
    </w:p>
    <w:p>
      <w:pPr>
        <w:spacing w:after="0" w:line="117"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42" w:name="page143"/>
    <w:bookmarkEnd w:id="14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7"/>
          <w:szCs w:val="17"/>
          <w:i w:val="1"/>
          <w:iCs w:val="1"/>
          <w:color w:val="auto"/>
        </w:rPr>
        <w:t>Required</w:t>
      </w:r>
      <w:r>
        <w:rPr>
          <w:rFonts w:ascii="Arial" w:cs="Arial" w:eastAsia="Arial" w:hAnsi="Arial"/>
          <w:sz w:val="17"/>
          <w:szCs w:val="17"/>
          <w:color w:val="auto"/>
        </w:rPr>
        <w:t xml:space="preserve"> </w:t>
      </w:r>
      <w:r>
        <w:rPr>
          <w:rFonts w:ascii="Arial" w:cs="Arial" w:eastAsia="Arial" w:hAnsi="Arial"/>
          <w:sz w:val="17"/>
          <w:szCs w:val="17"/>
          <w:i w:val="1"/>
          <w:iCs w:val="1"/>
          <w:color w:val="auto"/>
        </w:rPr>
        <w:t>Currency</w:t>
      </w:r>
      <w:r>
        <w:rPr>
          <w:rFonts w:ascii="Arial" w:cs="Arial" w:eastAsia="Arial" w:hAnsi="Arial"/>
          <w:sz w:val="17"/>
          <w:szCs w:val="17"/>
          <w:color w:val="auto"/>
        </w:rPr>
        <w:t>”) into a currency in which a judgment will be rendered (the “</w:t>
      </w:r>
      <w:r>
        <w:rPr>
          <w:rFonts w:ascii="Arial" w:cs="Arial" w:eastAsia="Arial" w:hAnsi="Arial"/>
          <w:sz w:val="17"/>
          <w:szCs w:val="17"/>
          <w:i w:val="1"/>
          <w:iCs w:val="1"/>
          <w:color w:val="auto"/>
        </w:rPr>
        <w:t>Judgment Currency</w:t>
      </w:r>
      <w:r>
        <w:rPr>
          <w:rFonts w:ascii="Arial" w:cs="Arial" w:eastAsia="Arial" w:hAnsi="Arial"/>
          <w:sz w:val="17"/>
          <w:szCs w:val="17"/>
          <w:color w:val="auto"/>
        </w:rPr>
        <w:t>”), the rate of exchange used shall be the rate at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7"/>
          <w:szCs w:val="17"/>
          <w:i w:val="1"/>
          <w:iCs w:val="1"/>
          <w:color w:val="auto"/>
        </w:rPr>
        <w:t>New York Banking Day</w:t>
      </w:r>
      <w:r>
        <w:rPr>
          <w:rFonts w:ascii="Arial" w:cs="Arial" w:eastAsia="Arial" w:hAnsi="Arial"/>
          <w:sz w:val="17"/>
          <w:szCs w:val="17"/>
          <w:color w:val="auto"/>
        </w:rPr>
        <w:t>” means any day except a Saturday, Sunday or a legal holiday in The City of New York on which banking institutions are authorized or required by law, regulation or executive order to close.</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Force Majeure</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11.2. Each sinking fund payment shall be applied to the redemption of Securities of any Series as provided for by the terms of the Securities of such Series.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82"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 33</w:t>
      </w:r>
    </w:p>
    <w:p>
      <w:pPr>
        <w:sectPr>
          <w:pgSz w:w="11900" w:h="16838" w:orient="portrait"/>
          <w:cols w:equalWidth="0" w:num="1">
            <w:col w:w="10980"/>
          </w:cols>
          <w:pgMar w:left="440" w:top="274" w:right="479" w:bottom="1440" w:gutter="0" w:footer="0" w:header="0"/>
        </w:sectPr>
      </w:pPr>
    </w:p>
    <w:bookmarkStart w:id="144" w:name="page145"/>
    <w:bookmarkEnd w:id="14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as Trustee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274"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-121920</wp:posOffset>
            </wp:positionV>
            <wp:extent cx="1294765" cy="548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3000 Two Logan Square, Eighteenth and Arch Streets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Philadelphia, PA 19103-2799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November 10,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Bala Cynwyd, PA 19004</w:t>
      </w:r>
    </w:p>
    <w:p>
      <w:pPr>
        <w:spacing w:after="0" w:line="23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4" w:right="20"/>
        <w:spacing w:after="0" w:line="285" w:lineRule="auto"/>
        <w:rPr>
          <w:sz w:val="20"/>
          <w:szCs w:val="20"/>
          <w:color w:val="auto"/>
        </w:rPr>
      </w:pPr>
      <w:r>
        <w:rPr>
          <w:rFonts w:ascii="Arial" w:cs="Arial" w:eastAsia="Arial" w:hAnsi="Arial"/>
          <w:sz w:val="16"/>
          <w:szCs w:val="16"/>
          <w:color w:val="auto"/>
        </w:rPr>
        <w:t>We have acted as counsel to Larimar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including the base prospectus that is part of the 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and the sales prospectus that is part of the Registration Statement (the “</w:t>
      </w:r>
      <w:r>
        <w:rPr>
          <w:rFonts w:ascii="Arial" w:cs="Arial" w:eastAsia="Arial" w:hAnsi="Arial"/>
          <w:sz w:val="16"/>
          <w:szCs w:val="16"/>
          <w:b w:val="1"/>
          <w:bCs w:val="1"/>
          <w:color w:val="auto"/>
        </w:rPr>
        <w:t>Sales Prospectus</w:t>
      </w:r>
      <w:r>
        <w:rPr>
          <w:rFonts w:ascii="Arial" w:cs="Arial" w:eastAsia="Arial" w:hAnsi="Arial"/>
          <w:sz w:val="16"/>
          <w:szCs w:val="16"/>
          <w:color w:val="auto"/>
        </w:rPr>
        <w:t>”), filed on the date hereof,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Base Prospectus provides that it may be supplemented in the future by one or more prospectus supplements (each, a “</w:t>
      </w:r>
      <w:r>
        <w:rPr>
          <w:rFonts w:ascii="Arial" w:cs="Arial" w:eastAsia="Arial" w:hAnsi="Arial"/>
          <w:sz w:val="16"/>
          <w:szCs w:val="16"/>
          <w:b w:val="1"/>
          <w:bCs w:val="1"/>
          <w:color w:val="auto"/>
        </w:rPr>
        <w:t>Prospectus Supplement</w:t>
      </w:r>
      <w:r>
        <w:rPr>
          <w:rFonts w:ascii="Arial" w:cs="Arial" w:eastAsia="Arial" w:hAnsi="Arial"/>
          <w:sz w:val="16"/>
          <w:szCs w:val="16"/>
          <w:color w:val="auto"/>
        </w:rPr>
        <w:t>”). The Base Prospectus, as supplemented by any applicable Prospectus Supplements, provides for the issuance and sale from time to time by the Company of up to an aggregate of $200,000,000 of</w:t>
      </w:r>
    </w:p>
    <w:p>
      <w:pPr>
        <w:spacing w:after="0" w:line="3" w:lineRule="exact"/>
        <w:rPr>
          <w:sz w:val="20"/>
          <w:szCs w:val="20"/>
          <w:color w:val="auto"/>
        </w:rPr>
      </w:pPr>
    </w:p>
    <w:p>
      <w:pPr>
        <w:ind w:left="4" w:right="60" w:hanging="4"/>
        <w:spacing w:after="0" w:line="285" w:lineRule="auto"/>
        <w:tabs>
          <w:tab w:leader="none" w:pos="2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shares of common stock, $0.001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(ii) shares of the Company’s preferred stock, $0.001 par value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 (iii) one or more series of debt securities of the Company, which may be convertible into or exchangeable for shares of Common Stock and/or Preferred Stock (the “</w:t>
      </w:r>
      <w:r>
        <w:rPr>
          <w:rFonts w:ascii="Arial" w:cs="Arial" w:eastAsia="Arial" w:hAnsi="Arial"/>
          <w:sz w:val="16"/>
          <w:szCs w:val="16"/>
          <w:b w:val="1"/>
          <w:bCs w:val="1"/>
          <w:color w:val="auto"/>
        </w:rPr>
        <w:t>Debt Securities</w:t>
      </w:r>
      <w:r>
        <w:rPr>
          <w:rFonts w:ascii="Arial" w:cs="Arial" w:eastAsia="Arial" w:hAnsi="Arial"/>
          <w:sz w:val="16"/>
          <w:szCs w:val="16"/>
          <w:color w:val="auto"/>
        </w:rPr>
        <w:t>”), (iv) warrants to purchase shares of Common Stock, shares of Preferred Stock and/or Debt Securities (the “</w:t>
      </w:r>
      <w:r>
        <w:rPr>
          <w:rFonts w:ascii="Arial" w:cs="Arial" w:eastAsia="Arial" w:hAnsi="Arial"/>
          <w:sz w:val="16"/>
          <w:szCs w:val="16"/>
          <w:b w:val="1"/>
          <w:bCs w:val="1"/>
          <w:color w:val="auto"/>
        </w:rPr>
        <w:t>Warrants</w:t>
      </w:r>
      <w:r>
        <w:rPr>
          <w:rFonts w:ascii="Arial" w:cs="Arial" w:eastAsia="Arial" w:hAnsi="Arial"/>
          <w:sz w:val="16"/>
          <w:szCs w:val="16"/>
          <w:color w:val="auto"/>
        </w:rPr>
        <w:t>”), (v) shares of Common Stock and/or Preferred Stock issuable upon exercise of the Warrants or upon conversion or exchange of the Debt Securities, (vi) units comprised of one or more shares of Common Stock, shares of Preferred Stock, Debt Securities and Warrants, in any combination (the “</w:t>
      </w:r>
      <w:r>
        <w:rPr>
          <w:rFonts w:ascii="Arial" w:cs="Arial" w:eastAsia="Arial" w:hAnsi="Arial"/>
          <w:sz w:val="16"/>
          <w:szCs w:val="16"/>
          <w:b w:val="1"/>
          <w:bCs w:val="1"/>
          <w:color w:val="auto"/>
        </w:rPr>
        <w:t>Units</w:t>
      </w:r>
      <w:r>
        <w:rPr>
          <w:rFonts w:ascii="Arial" w:cs="Arial" w:eastAsia="Arial" w:hAnsi="Arial"/>
          <w:sz w:val="16"/>
          <w:szCs w:val="16"/>
          <w:color w:val="auto"/>
        </w:rPr>
        <w:t>”), (vii) subscription rights to one or more shares of Common Stock, shares of Preferred Stock or other securities (the “</w:t>
      </w:r>
      <w:r>
        <w:rPr>
          <w:rFonts w:ascii="Arial" w:cs="Arial" w:eastAsia="Arial" w:hAnsi="Arial"/>
          <w:sz w:val="16"/>
          <w:szCs w:val="16"/>
          <w:b w:val="1"/>
          <w:bCs w:val="1"/>
          <w:color w:val="auto"/>
        </w:rPr>
        <w:t>Subscription Rights</w:t>
      </w:r>
      <w:r>
        <w:rPr>
          <w:rFonts w:ascii="Arial" w:cs="Arial" w:eastAsia="Arial" w:hAnsi="Arial"/>
          <w:sz w:val="16"/>
          <w:szCs w:val="16"/>
          <w:color w:val="auto"/>
        </w:rPr>
        <w:t>”), and/or (viii) any combination of the foregoing securities. The Common Stock (including the ATM Shares (as defined below)), the Preferred Stock, the Debt Securities, the Warrants, the Units and the Subscription Rights are collectively herein referred to as the “Registered Securities.” The Registered Securities may be offered and sold by the Company from time to time pursuant to Rule 415 under the Securities Act as set forth in the Base Prospectus, as supplemented by any applicable Prospectus Supplements that may be filed under the Securities Act. You have requested that we render the opinion set forth in this letter and we are furnishing this opinion to you pursuant to the requirements of Item 601(b)(5) of Regulation S-K, in connection with the filing of the Registration Statement.</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Sales Prospectus relates to the sale by the Company of shares of Common Stock having an aggregate offering price of up to $50,000,000 (the</w:t>
      </w:r>
    </w:p>
    <w:p>
      <w:pPr>
        <w:spacing w:after="0" w:line="46" w:lineRule="exact"/>
        <w:rPr>
          <w:sz w:val="20"/>
          <w:szCs w:val="20"/>
          <w:color w:val="auto"/>
        </w:rPr>
      </w:pPr>
    </w:p>
    <w:p>
      <w:pPr>
        <w:ind w:left="4" w:right="1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ATM Shares</w:t>
      </w:r>
      <w:r>
        <w:rPr>
          <w:rFonts w:ascii="Arial" w:cs="Arial" w:eastAsia="Arial" w:hAnsi="Arial"/>
          <w:sz w:val="18"/>
          <w:szCs w:val="18"/>
          <w:color w:val="auto"/>
        </w:rPr>
        <w:t>”) under a Sales Agreement, dated as of November 10, 2022, by and between the Company and Guggenheim Securities, LLC (the “</w:t>
      </w:r>
      <w:r>
        <w:rPr>
          <w:rFonts w:ascii="Arial" w:cs="Arial" w:eastAsia="Arial" w:hAnsi="Arial"/>
          <w:sz w:val="18"/>
          <w:szCs w:val="18"/>
          <w:b w:val="1"/>
          <w:bCs w:val="1"/>
          <w:color w:val="auto"/>
        </w:rPr>
        <w:t>Sales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bookmarkStart w:id="146" w:name="page147"/>
    <w:bookmarkEnd w:id="1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-121920</wp:posOffset>
            </wp:positionV>
            <wp:extent cx="1294765" cy="548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We have reviewed the corporate proceedings taken by the Company with respect to the registration of the Registered Securities. We have also examined and relied upon originals or copies of such corporate records, documents, agreements or other instruments of the Company, and such certificates and records of public officials, and such other papers, as we have deemed necessary or appropriate in connection herewith. As to all matters of fact, we have relied entirely upon certificates of officers of the Company, and have assumed, without independent inquiry, the accuracy of those certificates.</w:t>
      </w:r>
    </w:p>
    <w:p>
      <w:pPr>
        <w:spacing w:after="0" w:line="157"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opinion letter, we have assumed that:</w:t>
      </w:r>
    </w:p>
    <w:p>
      <w:pPr>
        <w:spacing w:after="0" w:line="225" w:lineRule="exact"/>
        <w:rPr>
          <w:sz w:val="20"/>
          <w:szCs w:val="20"/>
          <w:color w:val="auto"/>
        </w:rPr>
      </w:pPr>
    </w:p>
    <w:p>
      <w:pPr>
        <w:ind w:left="4" w:hanging="4"/>
        <w:spacing w:after="0" w:line="293" w:lineRule="auto"/>
        <w:tabs>
          <w:tab w:leader="none" w:pos="21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issuance, sale, amount, and terms of each of the Registered Securities to be offered from time to time by the Company will be duly authorized and established by proper action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(other than the ATM Shares which have been duly established by proper action of the Board), and in accordance with the Ninth Amended and Restated Certificate of Incorporation of the Company, as amended from time to time, the Amended and Restated Bylaws of the Company, as amended from time to time, and applicable Delaware and New York law, and that, at the time of each such issuance and sale of such Registered Securities, the Company will continue to be validly existing and in good standing under the laws of the State of Delaware, with the requisite corporate power and authority to issue and sell all such Registered Securities at such time;</w:t>
      </w:r>
    </w:p>
    <w:p>
      <w:pPr>
        <w:spacing w:after="0" w:line="164" w:lineRule="exact"/>
        <w:rPr>
          <w:rFonts w:ascii="Arial" w:cs="Arial" w:eastAsia="Arial" w:hAnsi="Arial"/>
          <w:sz w:val="16"/>
          <w:szCs w:val="16"/>
          <w:color w:val="auto"/>
        </w:rPr>
      </w:pPr>
    </w:p>
    <w:p>
      <w:pPr>
        <w:ind w:left="4" w:right="160" w:hanging="4"/>
        <w:spacing w:after="0" w:line="257" w:lineRule="auto"/>
        <w:tabs>
          <w:tab w:leader="none" w:pos="26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shares of Common Stock (including the ATM Shares and any such shares included in Units and Subscription Rights) issued by the Company pursuant to the Registration Statement, the Base Prospectus, the Sales Prospectus and the related Prospectus Supplement, if any, from time to time will not exceed the maximum authorized number of shares of Common Stock under the Ninth Amended and Restated Certificate of Incorporation of the Company, as the same may have been amended, minus that number of shares of Common Stock that may have been issued and are outstanding, or are reserved for issuance for other purposes, at such time;</w:t>
      </w:r>
    </w:p>
    <w:p>
      <w:pPr>
        <w:spacing w:after="0" w:line="187" w:lineRule="exact"/>
        <w:rPr>
          <w:rFonts w:ascii="Arial" w:cs="Arial" w:eastAsia="Arial" w:hAnsi="Arial"/>
          <w:sz w:val="18"/>
          <w:szCs w:val="18"/>
          <w:color w:val="auto"/>
        </w:rPr>
      </w:pPr>
    </w:p>
    <w:p>
      <w:pPr>
        <w:jc w:val="both"/>
        <w:ind w:left="4" w:right="120" w:hanging="4"/>
        <w:spacing w:after="0" w:line="301" w:lineRule="auto"/>
        <w:tabs>
          <w:tab w:leader="none" w:pos="31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shares of Preferred Stock (including any such shares included in Units and Subscription Rights) issued pursuant to the Registration Statement, the Base Prospectus and the related Prospectus Supplement, from time to time will not exceed the maximum authorized number of shares of Preferred Stock under the Ninth Amended and Restated Certificate of Incorporation of the Company, as the same may have been amended, minus that number of shares of Preferred Stock that may have been issued and are outstanding, or are reserved for issuance for other purposes, at such time;</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47" w:name="page148"/>
    <w:bookmarkEnd w:id="14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-121920</wp:posOffset>
            </wp:positionV>
            <wp:extent cx="1294765" cy="548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hanging="4"/>
        <w:spacing w:after="0" w:line="263" w:lineRule="auto"/>
        <w:tabs>
          <w:tab w:leader="none" w:pos="30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Warrants (including any Warrants included in Units and Subscription Rights) issued by the Company pursuant to the Registration Statement, the Base Prospectus and the related Prospectus Supplement, from time to time, will be issued under one or more valid, binding, and enforceable warrant agreements (each a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120" w:hanging="4"/>
        <w:spacing w:after="0" w:line="270" w:lineRule="auto"/>
        <w:tabs>
          <w:tab w:leader="none" w:pos="25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Debt Securities (including any Debt Securities included in Units and Subscription Rights) issued by the Company pursuant to the Registration Statement, the Base Prospectus and the related Prospectus Supplement, from time to time, will be issued under and in conformity with, a valid, binding and enforceable indenture in the form filed as an exhibit to the Registration Statement (each, an “</w:t>
      </w:r>
      <w:r>
        <w:rPr>
          <w:rFonts w:ascii="Arial" w:cs="Arial" w:eastAsia="Arial" w:hAnsi="Arial"/>
          <w:sz w:val="17"/>
          <w:szCs w:val="17"/>
          <w:b w:val="1"/>
          <w:bCs w:val="1"/>
          <w:color w:val="auto"/>
        </w:rPr>
        <w:t>Indenture</w:t>
      </w:r>
      <w:r>
        <w:rPr>
          <w:rFonts w:ascii="Arial" w:cs="Arial" w:eastAsia="Arial" w:hAnsi="Arial"/>
          <w:sz w:val="17"/>
          <w:szCs w:val="17"/>
          <w:color w:val="auto"/>
        </w:rPr>
        <w:t>”), which shall be delivered by a trustee chosen by the Company and qualified to act as such under the Trust Indenture Act of 1939, as amended (the “</w:t>
      </w:r>
      <w:r>
        <w:rPr>
          <w:rFonts w:ascii="Arial" w:cs="Arial" w:eastAsia="Arial" w:hAnsi="Arial"/>
          <w:sz w:val="17"/>
          <w:szCs w:val="17"/>
          <w:b w:val="1"/>
          <w:bCs w:val="1"/>
          <w:color w:val="auto"/>
        </w:rPr>
        <w:t>Trustee</w:t>
      </w:r>
      <w:r>
        <w:rPr>
          <w:rFonts w:ascii="Arial" w:cs="Arial" w:eastAsia="Arial" w:hAnsi="Arial"/>
          <w:sz w:val="17"/>
          <w:szCs w:val="17"/>
          <w:color w:val="auto"/>
        </w:rPr>
        <w:t>”) and the Trustee will have all requisite power and authority to effect the transactions contemplated by such Indenture, and the Trustee or an authenticating agent for the Trustee will duly authenticate the Debt Securities pursuant to the applicable Indenture, and the applicable Indenture will be the valid and binding obligation of the Trustee and will be enforceable against the Trustee in accordance with its terms. We are expressing no opinion herein as to the application of or compliance with any foreign, federal or state law or regulation to the power, authority or competence of any party, other than the Company, to the applicable Indenture;</w:t>
      </w:r>
    </w:p>
    <w:p>
      <w:pPr>
        <w:spacing w:after="0" w:line="180" w:lineRule="exact"/>
        <w:rPr>
          <w:rFonts w:ascii="Arial" w:cs="Arial" w:eastAsia="Arial" w:hAnsi="Arial"/>
          <w:sz w:val="17"/>
          <w:szCs w:val="17"/>
          <w:color w:val="auto"/>
        </w:rPr>
      </w:pPr>
    </w:p>
    <w:p>
      <w:pPr>
        <w:jc w:val="both"/>
        <w:ind w:left="4" w:right="20" w:hanging="4"/>
        <w:spacing w:after="0" w:line="342" w:lineRule="auto"/>
        <w:tabs>
          <w:tab w:leader="none" w:pos="30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Units issued by the Company pursuant to the Registration Statement, the Base Prospectus and the related Prospectus Supplement may be issued pursuant to a valid, binding, and enforceable Unit Agreement (the “</w:t>
      </w:r>
      <w:r>
        <w:rPr>
          <w:rFonts w:ascii="Arial" w:cs="Arial" w:eastAsia="Arial" w:hAnsi="Arial"/>
          <w:sz w:val="16"/>
          <w:szCs w:val="16"/>
          <w:b w:val="1"/>
          <w:bCs w:val="1"/>
          <w:color w:val="auto"/>
        </w:rPr>
        <w:t>Unit Agreement</w:t>
      </w:r>
      <w:r>
        <w:rPr>
          <w:rFonts w:ascii="Arial" w:cs="Arial" w:eastAsia="Arial" w:hAnsi="Arial"/>
          <w:sz w:val="16"/>
          <w:szCs w:val="16"/>
          <w:color w:val="auto"/>
        </w:rPr>
        <w:t>”) between the Company and a bank or trust company as unit agent;</w:t>
      </w:r>
    </w:p>
    <w:p>
      <w:pPr>
        <w:spacing w:after="0" w:line="123" w:lineRule="exact"/>
        <w:rPr>
          <w:rFonts w:ascii="Arial" w:cs="Arial" w:eastAsia="Arial" w:hAnsi="Arial"/>
          <w:sz w:val="16"/>
          <w:szCs w:val="16"/>
          <w:color w:val="auto"/>
        </w:rPr>
      </w:pPr>
    </w:p>
    <w:p>
      <w:pPr>
        <w:ind w:left="4" w:right="20" w:hanging="4"/>
        <w:spacing w:after="0" w:line="342" w:lineRule="auto"/>
        <w:tabs>
          <w:tab w:leader="none" w:pos="35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Subscription Rights issued by the Company pursuant to the Registration Statement, the Base Prospectus and the related Prospectus Supplement may be issued pursuant to a valid, binding, and enforceable Subscription Rights Agreement (the “</w:t>
      </w:r>
      <w:r>
        <w:rPr>
          <w:rFonts w:ascii="Arial" w:cs="Arial" w:eastAsia="Arial" w:hAnsi="Arial"/>
          <w:sz w:val="16"/>
          <w:szCs w:val="16"/>
          <w:b w:val="1"/>
          <w:bCs w:val="1"/>
          <w:color w:val="auto"/>
        </w:rPr>
        <w:t>Subscription Rights Agreement</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404" w:hanging="404"/>
        <w:spacing w:after="0"/>
        <w:tabs>
          <w:tab w:leader="none" w:pos="4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requisite third-party consents necessary to register and/or issue the Registered Securities have been obtained by the Company.</w:t>
      </w:r>
    </w:p>
    <w:p>
      <w:pPr>
        <w:spacing w:after="0" w:line="225" w:lineRule="exact"/>
        <w:rPr>
          <w:sz w:val="20"/>
          <w:szCs w:val="20"/>
          <w:color w:val="auto"/>
        </w:rPr>
      </w:pPr>
    </w:p>
    <w:p>
      <w:pPr>
        <w:ind w:left="4" w:right="140"/>
        <w:spacing w:after="0" w:line="301" w:lineRule="auto"/>
        <w:rPr>
          <w:sz w:val="20"/>
          <w:szCs w:val="20"/>
          <w:color w:val="auto"/>
        </w:rPr>
      </w:pPr>
      <w:r>
        <w:rPr>
          <w:rFonts w:ascii="Arial" w:cs="Arial" w:eastAsia="Arial" w:hAnsi="Arial"/>
          <w:sz w:val="16"/>
          <w:szCs w:val="16"/>
          <w:color w:val="auto"/>
        </w:rPr>
        <w:t>Subject to the limitations set forth below, we have made such examination of law as we have deemed necessary for the purposes of expressing the opinions set forth in this letter. We express no opinion herein as to the law of any state or jurisdiction other than the laws of the State of Delaware and the internal laws of the State of New York, including statutory provisions and all applicable provisions of the Constitution of the State of Delaware and reported judicial decisions interpreting such laws of the State of Delaware, and the federal laws of the United States of America.</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8"/>
          <w:szCs w:val="18"/>
          <w:color w:val="auto"/>
        </w:rPr>
        <w:t>Based upon the foregoing, we are of the opinion that: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48" w:name="page149"/>
    <w:bookmarkEnd w:id="14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-121920</wp:posOffset>
            </wp:positionV>
            <wp:extent cx="1294765" cy="548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right="560" w:hanging="4"/>
        <w:spacing w:after="0" w:line="308" w:lineRule="auto"/>
        <w:tabs>
          <w:tab w:leader="none" w:pos="18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Following effectiveness of the Registration Statement, the Common Stock, when duly authorized and issued against the full payment specified therefor, which must have a value not less than the par value thereof, will be validly issued, fully paid and nonassessable.</w:t>
      </w:r>
    </w:p>
    <w:p>
      <w:pPr>
        <w:spacing w:after="0" w:line="146" w:lineRule="exact"/>
        <w:rPr>
          <w:rFonts w:ascii="Arial" w:cs="Arial" w:eastAsia="Arial" w:hAnsi="Arial"/>
          <w:sz w:val="17"/>
          <w:szCs w:val="17"/>
          <w:color w:val="auto"/>
        </w:rPr>
      </w:pPr>
    </w:p>
    <w:p>
      <w:pPr>
        <w:ind w:left="4" w:right="360" w:hanging="4"/>
        <w:spacing w:after="0" w:line="263" w:lineRule="auto"/>
        <w:tabs>
          <w:tab w:leader="none" w:pos="1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Following effectiveness of the Registration Statement, the shares of Preferred Stock registered under the Registration Statement, when duly authorized and issued against the full payment specified therefor, which must have a value not less than the par value thereof, will be validly issued, fully paid and nonassessable.</w:t>
      </w:r>
    </w:p>
    <w:p>
      <w:pPr>
        <w:spacing w:after="0" w:line="183" w:lineRule="exact"/>
        <w:rPr>
          <w:rFonts w:ascii="Arial" w:cs="Arial" w:eastAsia="Arial" w:hAnsi="Arial"/>
          <w:sz w:val="18"/>
          <w:szCs w:val="18"/>
          <w:color w:val="auto"/>
        </w:rPr>
      </w:pPr>
    </w:p>
    <w:p>
      <w:pPr>
        <w:ind w:left="4" w:right="100" w:hanging="4"/>
        <w:spacing w:after="0" w:line="296" w:lineRule="auto"/>
        <w:tabs>
          <w:tab w:leader="none" w:pos="18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Following effectiveness of the Registration Statement, the Warrants registered under the Registration Statement, when duly authorized, executed and delivered against the payment specified therefor and pursuant to a Warrant Agreement or agreements duly authorized, executed and delivered by the Company and the holder of the Warrants,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61" w:lineRule="exact"/>
        <w:rPr>
          <w:rFonts w:ascii="Arial" w:cs="Arial" w:eastAsia="Arial" w:hAnsi="Arial"/>
          <w:sz w:val="16"/>
          <w:szCs w:val="16"/>
          <w:color w:val="auto"/>
        </w:rPr>
      </w:pPr>
    </w:p>
    <w:p>
      <w:pPr>
        <w:ind w:left="4" w:hanging="4"/>
        <w:spacing w:after="0" w:line="275" w:lineRule="auto"/>
        <w:tabs>
          <w:tab w:leader="none" w:pos="18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Following effectiveness of the Registration Statement, the Debt Securities registered under the Registration Statement, when duly authorized, executed and delivered against the payment specified therefor and pursuant to an Indenture duly authorized, executed and delivered by the Company and the Trustee,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76" w:lineRule="exact"/>
        <w:rPr>
          <w:rFonts w:ascii="Arial" w:cs="Arial" w:eastAsia="Arial" w:hAnsi="Arial"/>
          <w:sz w:val="17"/>
          <w:szCs w:val="17"/>
          <w:color w:val="auto"/>
        </w:rPr>
      </w:pPr>
    </w:p>
    <w:p>
      <w:pPr>
        <w:ind w:left="4" w:right="80" w:hanging="4"/>
        <w:spacing w:after="0" w:line="257" w:lineRule="auto"/>
        <w:tabs>
          <w:tab w:leader="none" w:pos="1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Following effectiveness of the Registration Statement, the Units registered under the Registration Statement, when duly authorized, executed and delivered against payment specified therefor and pursuant to a Unit Agreement, if applicable,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87" w:lineRule="exact"/>
        <w:rPr>
          <w:rFonts w:ascii="Arial" w:cs="Arial" w:eastAsia="Arial" w:hAnsi="Arial"/>
          <w:sz w:val="18"/>
          <w:szCs w:val="18"/>
          <w:color w:val="auto"/>
        </w:rPr>
      </w:pPr>
    </w:p>
    <w:p>
      <w:pPr>
        <w:ind w:left="4" w:right="40" w:hanging="4"/>
        <w:spacing w:after="0" w:line="257" w:lineRule="auto"/>
        <w:tabs>
          <w:tab w:leader="none" w:pos="1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Following effectiveness of the Registration Statement, the Subscription Rights registered under the Registration Statement, when duly authorized, executed and delivered against payment specified therefor and pursuant to a Subscription Rights Agreement, if applicable, will be legally issued binding obligations of the Company enforceable against the Company in accordance with their respective terms, except as such enforceability may be limited by bankruptcy, insolvency, reorganization or similar laws affecting creditors’ rights generally, and subject to general principles of equity (regardless of whether enforcement is sought in a proceeding in equity or at law).</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49" w:name="page150"/>
    <w:bookmarkEnd w:id="14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Larimar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5700395</wp:posOffset>
            </wp:positionH>
            <wp:positionV relativeFrom="paragraph">
              <wp:posOffset>-121920</wp:posOffset>
            </wp:positionV>
            <wp:extent cx="1294765" cy="548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1294765" cy="54864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hanging="4"/>
        <w:spacing w:after="0" w:line="259" w:lineRule="auto"/>
        <w:tabs>
          <w:tab w:leader="none" w:pos="1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ATM Shares have been duly authorized for issuance, and following effectiveness of the Registration Statement, when the ATM Shares have been issued and sold in accordance with the Sales Agreement, and as described in the Registration Statement and Sales Prospectus, and in accordance with resolutions duly adopted by the Board with respect to the offer, sale and issuance of the ATM Shares, the ATM Shares will be validly issued, fully paid and nonassessable.</w:t>
      </w:r>
    </w:p>
    <w:p>
      <w:pPr>
        <w:spacing w:after="0" w:line="187"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w:t>
      </w:r>
    </w:p>
    <w:p>
      <w:pPr>
        <w:spacing w:after="0" w:line="146"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under the heading “Legal Matters” in the Prospectus. In rendering this opinion and giving this consent, we do not admit that we are an “expert” within the meaning of the Securities Act.</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Troutman Pepper Hamilton Sanders LLP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Troutman Pepper Hamilton Sanders LLP</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4" w:right="5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Larimar Therapeutics, Inc. of our report dated March 25, 2022 relating to the financial statements, which appears in Larimar Therapeutics, Inc.’s Annual Report on Form 10-K for the year ended December 31, 2021.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2022</w:t>
      </w:r>
    </w:p>
    <w:p>
      <w:pPr>
        <w:sectPr>
          <w:pgSz w:w="11900" w:h="16838" w:orient="portrait"/>
          <w:cols w:equalWidth="0" w:num="1">
            <w:col w:w="11020"/>
          </w:cols>
          <w:pgMar w:left="440" w:top="121" w:right="4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Larimar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1140" w:type="dxa"/>
            <w:vAlign w:val="bottom"/>
            <w:tcBorders>
              <w:top w:val="single" w:sz="8" w:color="auto"/>
              <w:left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1"/>
              </w:rPr>
              <w:t>Filing Fee</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Paid In</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Proposed</w:t>
            </w:r>
          </w:p>
        </w:tc>
        <w:tc>
          <w:tcPr>
            <w:tcW w:w="11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Unsold</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or Carry</w:t>
            </w:r>
          </w:p>
        </w:tc>
        <w:tc>
          <w:tcPr>
            <w:tcW w:w="8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Amount of</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2"/>
              </w:rPr>
              <w:t>to be</w:t>
            </w: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840" w:type="dxa"/>
            <w:vAlign w:val="bottom"/>
            <w:tcBorders>
              <w:right w:val="single" w:sz="8" w:color="auto"/>
            </w:tcBorders>
          </w:tcPr>
          <w:p>
            <w:pPr>
              <w:jc w:val="right"/>
              <w:ind w:right="115"/>
              <w:spacing w:after="0" w:line="135" w:lineRule="exact"/>
              <w:rPr>
                <w:sz w:val="20"/>
                <w:szCs w:val="20"/>
                <w:color w:val="auto"/>
              </w:rPr>
            </w:pPr>
            <w:r>
              <w:rPr>
                <w:rFonts w:ascii="Arial" w:cs="Arial" w:eastAsia="Arial" w:hAnsi="Arial"/>
                <w:sz w:val="13"/>
                <w:szCs w:val="13"/>
                <w:color w:val="auto"/>
              </w:rPr>
              <w:t>Amount</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1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Form</w:t>
            </w:r>
          </w:p>
        </w:tc>
        <w:tc>
          <w:tcPr>
            <w:tcW w:w="6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5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r>
      <w:tr>
        <w:trPr>
          <w:trHeight w:val="170"/>
        </w:trPr>
        <w:tc>
          <w:tcPr>
            <w:tcW w:w="1140" w:type="dxa"/>
            <w:vAlign w:val="bottom"/>
            <w:tcBorders>
              <w:left w:val="single" w:sz="8" w:color="auto"/>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Type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w w:val="94"/>
              </w:rPr>
              <w:t>Registered (1)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Unit (2)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Number</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Forward</w:t>
            </w:r>
          </w:p>
        </w:tc>
      </w:tr>
      <w:tr>
        <w:trPr>
          <w:trHeight w:val="237"/>
        </w:trPr>
        <w:tc>
          <w:tcPr>
            <w:tcW w:w="114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8"/>
                <w:szCs w:val="18"/>
                <w:color w:val="auto"/>
                <w:w w:val="90"/>
              </w:rPr>
              <w:t>Newly Registered Securities</w:t>
            </w: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3220" w:type="dxa"/>
            <w:vAlign w:val="bottom"/>
            <w:tcBorders>
              <w:left w:val="single" w:sz="8" w:color="auto"/>
              <w:bottom w:val="single" w:sz="8" w:color="auto"/>
            </w:tcBorders>
            <w:gridSpan w:val="3"/>
          </w:tcPr>
          <w:p>
            <w:pPr>
              <w:ind w:left="920"/>
              <w:spacing w:after="0"/>
              <w:rPr>
                <w:sz w:val="20"/>
                <w:szCs w:val="20"/>
                <w:color w:val="auto"/>
              </w:rPr>
            </w:pPr>
            <w:r>
              <w:rPr>
                <w:rFonts w:ascii="Arial" w:cs="Arial" w:eastAsia="Arial" w:hAnsi="Arial"/>
                <w:sz w:val="18"/>
                <w:szCs w:val="18"/>
                <w:color w:val="auto"/>
                <w:w w:val="94"/>
              </w:rPr>
              <w:t>Primary Offering of Securities:</w:t>
            </w: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$0.001 per</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share (3)</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Preferred</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(4)</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Debt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Warrants (6)</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Units (7)</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Subscription</w:t>
            </w: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37"/>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Rights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Unallocated</w:t>
            </w:r>
          </w:p>
        </w:tc>
        <w:tc>
          <w:tcPr>
            <w:tcW w:w="10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7"/>
              </w:rPr>
              <w:t>Fees to Be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10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88"/>
              </w:rPr>
              <w:t>Paid</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$200,000,000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0.00011020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$22,040</w:t>
            </w:r>
          </w:p>
        </w:tc>
        <w:tc>
          <w:tcPr>
            <w:tcW w:w="60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r>
      <w:tr>
        <w:trPr>
          <w:trHeight w:val="237"/>
        </w:trPr>
        <w:tc>
          <w:tcPr>
            <w:tcW w:w="1140" w:type="dxa"/>
            <w:vAlign w:val="bottom"/>
            <w:tcBorders>
              <w:left w:val="single" w:sz="8" w:color="auto"/>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8"/>
                <w:szCs w:val="18"/>
                <w:color w:val="auto"/>
                <w:w w:val="91"/>
              </w:rPr>
              <w:t>Carry Forward Securities</w:t>
            </w: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15"/>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Carry</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16"/>
        </w:trPr>
        <w:tc>
          <w:tcPr>
            <w:tcW w:w="114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0"/>
              </w:rPr>
              <w:t>Forward</w:t>
            </w:r>
          </w:p>
        </w:tc>
        <w:tc>
          <w:tcPr>
            <w:tcW w:w="10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51"/>
        </w:trPr>
        <w:tc>
          <w:tcPr>
            <w:tcW w:w="11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8"/>
              </w:rPr>
              <w:t>Securities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Offering Amounts</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$200,000,000</w:t>
            </w: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$22,040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Fees Previously Paid</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6"/>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Total Fee Offsets</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r>
        <w:trPr>
          <w:trHeight w:val="237"/>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Net Fee Due</w:t>
            </w:r>
          </w:p>
        </w:tc>
        <w:tc>
          <w:tcPr>
            <w:tcW w:w="7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$22,040</w:t>
            </w:r>
          </w:p>
        </w:tc>
        <w:tc>
          <w:tcPr>
            <w:tcW w:w="60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r>
    </w:tbl>
    <w:p>
      <w:pPr>
        <w:spacing w:after="0" w:line="229" w:lineRule="exact"/>
        <w:rPr>
          <w:sz w:val="20"/>
          <w:szCs w:val="20"/>
          <w:color w:val="auto"/>
        </w:rPr>
      </w:pPr>
    </w:p>
    <w:p>
      <w:pPr>
        <w:ind w:left="424" w:right="20" w:hanging="424"/>
        <w:spacing w:after="0" w:line="267" w:lineRule="auto"/>
        <w:tabs>
          <w:tab w:leader="none" w:pos="42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amount to be registered consists of up to $200,000,000 of an indeterminate amount of common stock, preferred stock, debt securities, warrants, units and/or subscription rights.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 w:lineRule="exact"/>
        <w:rPr>
          <w:rFonts w:ascii="Arial" w:cs="Arial" w:eastAsia="Arial" w:hAnsi="Arial"/>
          <w:sz w:val="17"/>
          <w:szCs w:val="17"/>
          <w:color w:val="auto"/>
        </w:rPr>
      </w:pPr>
    </w:p>
    <w:p>
      <w:pPr>
        <w:ind w:left="424" w:right="200" w:hanging="424"/>
        <w:spacing w:after="0" w:line="281" w:lineRule="auto"/>
        <w:tabs>
          <w:tab w:leader="none" w:pos="42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w:t>
      </w:r>
    </w:p>
    <w:p>
      <w:pPr>
        <w:spacing w:after="0" w:line="1"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Form S-3 under the Securities Act of 1933, as amended.</w:t>
      </w:r>
    </w:p>
    <w:p>
      <w:pPr>
        <w:spacing w:after="0" w:line="9" w:lineRule="exact"/>
        <w:rPr>
          <w:rFonts w:ascii="Arial" w:cs="Arial" w:eastAsia="Arial" w:hAnsi="Arial"/>
          <w:sz w:val="16"/>
          <w:szCs w:val="16"/>
          <w:color w:val="auto"/>
        </w:rPr>
      </w:pPr>
    </w:p>
    <w:p>
      <w:pPr>
        <w:ind w:left="424" w:right="380" w:hanging="424"/>
        <w:spacing w:after="0" w:line="265" w:lineRule="auto"/>
        <w:tabs>
          <w:tab w:leader="none" w:pos="42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424" w:right="340" w:hanging="424"/>
        <w:spacing w:after="0" w:line="265" w:lineRule="auto"/>
        <w:tabs>
          <w:tab w:leader="none" w:pos="42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424" w:right="260" w:hanging="424"/>
        <w:spacing w:after="0" w:line="250"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Including such indeterminate principal amount of debt securities as may be issued from time to time at indeterminate prices or upon exercise of warrants registered hereby, as the case may be.</w:t>
      </w:r>
    </w:p>
    <w:p>
      <w:pPr>
        <w:jc w:val="both"/>
        <w:ind w:left="424" w:right="460" w:hanging="424"/>
        <w:spacing w:after="0" w:line="250"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1" w:lineRule="exact"/>
        <w:rPr>
          <w:rFonts w:ascii="Arial" w:cs="Arial" w:eastAsia="Arial" w:hAnsi="Arial"/>
          <w:sz w:val="18"/>
          <w:szCs w:val="18"/>
          <w:color w:val="auto"/>
        </w:rPr>
      </w:pPr>
    </w:p>
    <w:p>
      <w:pPr>
        <w:ind w:left="424" w:right="300" w:hanging="424"/>
        <w:spacing w:after="0" w:line="255"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sectPr>
      <w:pgSz w:w="11900" w:h="16838" w:orient="portrait"/>
      <w:cols w:equalWidth="0" w:num="1">
        <w:col w:w="11024"/>
      </w:cols>
      <w:pgMar w:left="436" w:top="121" w:right="4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decimal"/>
      <w:start w:val="844"/>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1)"/>
      <w:numFmt w:val="decimal"/>
      <w:start w:val="844"/>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1)"/>
      <w:numFmt w:val="decimal"/>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1"/>
      <w:numFmt w:val="decimal"/>
      <w:start w:val="107"/>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1)"/>
      <w:numFmt w:val="decimal"/>
      <w:start w:val="1"/>
    </w:lvl>
    <w:lvl w:ilvl="1">
      <w:lvlJc w:val="left"/>
      <w:lvlText w:val="(%2)"/>
      <w:numFmt w:val="lowerRoman"/>
      <w:start w:val="1"/>
    </w:lvl>
  </w:abstractNum>
  <w:abstractNum w:abstractNumId="40">
    <w:nsid w:val="7FB7E0AA"/>
    <w:multiLevelType w:val="hybridMultilevel"/>
    <w:lvl w:ilvl="0">
      <w:lvlJc w:val="left"/>
      <w:lvlText w:val="(%1)"/>
      <w:numFmt w:val="decimal"/>
      <w:start w:val="2"/>
    </w:lvl>
  </w:abstractNum>
  <w:abstractNum w:abstractNumId="41">
    <w:nsid w:val="6EB5BD4"/>
    <w:multiLevelType w:val="hybridMultilevel"/>
    <w:lvl w:ilvl="0">
      <w:lvlJc w:val="left"/>
      <w:lvlText w:val="(%1)"/>
      <w:numFmt w:val="decimal"/>
      <w:start w:val="5"/>
    </w:lvl>
    <w:lvl w:ilvl="1">
      <w:lvlJc w:val="left"/>
      <w:lvlText w:val="(%2)"/>
      <w:numFmt w:val="lowerRoman"/>
      <w:start w:val="1"/>
    </w:lvl>
  </w:abstractNum>
  <w:abstractNum w:abstractNumId="42">
    <w:nsid w:val="6F6DD9AC"/>
    <w:multiLevelType w:val="hybridMultilevel"/>
    <w:lvl w:ilvl="0">
      <w:lvlJc w:val="left"/>
      <w:lvlText w:val="(%1)"/>
      <w:numFmt w:val="decimal"/>
      <w:start w:val="6"/>
    </w:lvl>
    <w:lvl w:ilvl="1">
      <w:lvlJc w:val="left"/>
      <w:lvlText w:val="(%2)"/>
      <w:numFmt w:val="lowerRoman"/>
      <w:start w:val="1"/>
    </w:lvl>
  </w:abstractNum>
  <w:abstractNum w:abstractNumId="43">
    <w:nsid w:val="94211F2"/>
    <w:multiLevelType w:val="hybridMultilevel"/>
    <w:lvl w:ilvl="0">
      <w:lvlJc w:val="left"/>
      <w:lvlText w:val="(%1)"/>
      <w:numFmt w:val="lowerLetter"/>
      <w:start w:val="2"/>
    </w:lvl>
  </w:abstractNum>
  <w:abstractNum w:abstractNumId="44">
    <w:nsid w:val="885E1B"/>
    <w:multiLevelType w:val="hybridMultilevel"/>
    <w:lvl w:ilvl="0">
      <w:lvlJc w:val="left"/>
      <w:lvlText w:val="(%1)"/>
      <w:numFmt w:val="lowerLetter"/>
      <w:start w:val="8"/>
    </w:lvl>
  </w:abstractNum>
  <w:abstractNum w:abstractNumId="45">
    <w:nsid w:val="76272110"/>
    <w:multiLevelType w:val="hybridMultilevel"/>
    <w:lvl w:ilvl="0">
      <w:lvlJc w:val="left"/>
      <w:lvlText w:val="(%1)"/>
      <w:numFmt w:val="lowerLetter"/>
      <w:start w:val="10"/>
    </w:lvl>
  </w:abstractNum>
  <w:abstractNum w:abstractNumId="46">
    <w:nsid w:val="4C04A8AF"/>
    <w:multiLevelType w:val="hybridMultilevel"/>
    <w:lvl w:ilvl="0">
      <w:lvlJc w:val="left"/>
      <w:lvlText w:val="(%1)"/>
      <w:numFmt w:val="lowerLetter"/>
      <w:start w:val="1"/>
    </w:lvl>
  </w:abstractNum>
  <w:abstractNum w:abstractNumId="47">
    <w:nsid w:val="171670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8">
    <w:nsid w:val="14E17E33"/>
    <w:multiLevelType w:val="hybridMultilevel"/>
    <w:lvl w:ilvl="0">
      <w:lvlJc w:val="left"/>
      <w:lvlText w:val="(%1)"/>
      <w:numFmt w:val="lowerRoman"/>
      <w:start w:val="2"/>
    </w:lvl>
  </w:abstractNum>
  <w:abstractNum w:abstractNumId="49">
    <w:nsid w:val="3222E7CD"/>
    <w:multiLevelType w:val="hybridMultilevel"/>
    <w:lvl w:ilvl="0">
      <w:lvlJc w:val="left"/>
      <w:lvlText w:val="(%1)"/>
      <w:numFmt w:val="lowerRoman"/>
      <w:start w:val="4"/>
    </w:lvl>
  </w:abstractNum>
  <w:abstractNum w:abstractNumId="50">
    <w:nsid w:val="74DE0EE3"/>
    <w:multiLevelType w:val="hybridMultilevel"/>
    <w:lvl w:ilvl="0">
      <w:lvlJc w:val="left"/>
      <w:lvlText w:val="(%1)"/>
      <w:numFmt w:val="lowerRoman"/>
      <w:start w:val="8"/>
    </w:lvl>
  </w:abstractNum>
  <w:abstractNum w:abstractNumId="51">
    <w:nsid w:val="68EBC550"/>
    <w:multiLevelType w:val="hybridMultilevel"/>
    <w:lvl w:ilvl="0">
      <w:lvlJc w:val="left"/>
      <w:lvlText w:val="%1"/>
      <w:numFmt w:val="lowerRoman"/>
      <w:start w:val="1"/>
    </w:lvl>
    <w:lvl w:ilvl="1">
      <w:lvlJc w:val="left"/>
      <w:lvlText w:val="(%2)"/>
      <w:numFmt w:val="lowerRoman"/>
      <w:start w:val="11"/>
    </w:lvl>
  </w:abstractNum>
  <w:abstractNum w:abstractNumId="52">
    <w:nsid w:val="2DF6D648"/>
    <w:multiLevelType w:val="hybridMultilevel"/>
    <w:lvl w:ilvl="0">
      <w:lvlJc w:val="left"/>
      <w:lvlText w:val="(%1)"/>
      <w:numFmt w:val="lowerRoman"/>
      <w:start w:val="3"/>
    </w:lvl>
    <w:lvl w:ilvl="1">
      <w:lvlJc w:val="left"/>
      <w:lvlText w:val="(%2)"/>
      <w:numFmt w:val="lowerRoman"/>
      <w:start w:val="14"/>
    </w:lvl>
  </w:abstractNum>
  <w:abstractNum w:abstractNumId="53">
    <w:nsid w:val="46B7D447"/>
    <w:multiLevelType w:val="hybridMultilevel"/>
    <w:lvl w:ilvl="0">
      <w:lvlJc w:val="left"/>
      <w:lvlText w:val="(%1)"/>
      <w:numFmt w:val="lowerRoman"/>
      <w:start w:val="16"/>
    </w:lvl>
  </w:abstractNum>
  <w:abstractNum w:abstractNumId="54">
    <w:nsid w:val="4A2AC315"/>
    <w:multiLevelType w:val="hybridMultilevel"/>
    <w:lvl w:ilvl="0">
      <w:lvlJc w:val="left"/>
      <w:lvlText w:val="(%1)"/>
      <w:numFmt w:val="lowerRoman"/>
      <w:start w:val="18"/>
    </w:lvl>
  </w:abstractNum>
  <w:abstractNum w:abstractNumId="55">
    <w:nsid w:val="39EE015C"/>
    <w:multiLevelType w:val="hybridMultilevel"/>
    <w:lvl w:ilvl="0">
      <w:lvlJc w:val="left"/>
      <w:lvlText w:val="(%1)"/>
      <w:numFmt w:val="lowerRoman"/>
      <w:start w:val="22"/>
    </w:lvl>
  </w:abstractNum>
  <w:abstractNum w:abstractNumId="56">
    <w:nsid w:val="57FC4FBB"/>
    <w:multiLevelType w:val="hybridMultilevel"/>
    <w:lvl w:ilvl="0">
      <w:lvlJc w:val="left"/>
      <w:lvlText w:val="(%1)"/>
      <w:numFmt w:val="lowerRoman"/>
      <w:start w:val="24"/>
    </w:lvl>
  </w:abstractNum>
  <w:abstractNum w:abstractNumId="57">
    <w:nsid w:val="CC1016F"/>
    <w:multiLevelType w:val="hybridMultilevel"/>
    <w:lvl w:ilvl="0">
      <w:lvlJc w:val="left"/>
      <w:lvlText w:val="(%1)"/>
      <w:numFmt w:val="lowerRoman"/>
      <w:start w:val="28"/>
    </w:lvl>
  </w:abstractNum>
  <w:abstractNum w:abstractNumId="58">
    <w:nsid w:val="43F18422"/>
    <w:multiLevelType w:val="hybridMultilevel"/>
    <w:lvl w:ilvl="0">
      <w:lvlJc w:val="left"/>
      <w:lvlText w:val="%1"/>
      <w:numFmt w:val="lowerRoman"/>
      <w:start w:val="1"/>
    </w:lvl>
    <w:lvl w:ilvl="1">
      <w:lvlJc w:val="left"/>
      <w:lvlText w:val="(%2)"/>
      <w:numFmt w:val="lowerRoman"/>
      <w:start w:val="32"/>
    </w:lvl>
  </w:abstractNum>
  <w:abstractNum w:abstractNumId="59">
    <w:nsid w:val="60EF0119"/>
    <w:multiLevelType w:val="hybridMultilevel"/>
    <w:lvl w:ilvl="0">
      <w:lvlJc w:val="left"/>
      <w:lvlText w:val="(%1)"/>
      <w:numFmt w:val="lowerRoman"/>
      <w:start w:val="1"/>
    </w:lvl>
    <w:lvl w:ilvl="1">
      <w:lvlJc w:val="left"/>
      <w:lvlText w:val="(%2)"/>
      <w:numFmt w:val="lowerRoman"/>
      <w:start w:val="33"/>
    </w:lvl>
  </w:abstractNum>
  <w:abstractNum w:abstractNumId="60">
    <w:nsid w:val="26F324BA"/>
    <w:multiLevelType w:val="hybridMultilevel"/>
    <w:lvl w:ilvl="0">
      <w:lvlJc w:val="left"/>
      <w:lvlText w:val="(%1)"/>
      <w:numFmt w:val="lowerRoman"/>
      <w:start w:val="3"/>
    </w:lvl>
    <w:lvl w:ilvl="1">
      <w:lvlJc w:val="left"/>
      <w:lvlText w:val="%2"/>
      <w:numFmt w:val="lowerRoman"/>
      <w:start w:val="1"/>
    </w:lvl>
  </w:abstractNum>
  <w:abstractNum w:abstractNumId="61">
    <w:nsid w:val="7F01579B"/>
    <w:multiLevelType w:val="hybridMultilevel"/>
    <w:lvl w:ilvl="0">
      <w:lvlJc w:val="left"/>
      <w:lvlText w:val="(%1)"/>
      <w:numFmt w:val="upperLetter"/>
      <w:start w:val="4"/>
    </w:lvl>
    <w:lvl w:ilvl="1">
      <w:lvlJc w:val="left"/>
      <w:lvlText w:val="(%2)"/>
      <w:numFmt w:val="lowerRoman"/>
      <w:start w:val="35"/>
    </w:lvl>
  </w:abstractNum>
  <w:abstractNum w:abstractNumId="62">
    <w:nsid w:val="49DA307D"/>
    <w:multiLevelType w:val="hybridMultilevel"/>
    <w:lvl w:ilvl="0">
      <w:lvlJc w:val="left"/>
      <w:lvlText w:val="(%1)"/>
      <w:numFmt w:val="lowerRoman"/>
      <w:start w:val="39"/>
    </w:lvl>
  </w:abstractNum>
  <w:abstractNum w:abstractNumId="63">
    <w:nsid w:val="7055A5F5"/>
    <w:multiLevelType w:val="hybridMultilevel"/>
    <w:lvl w:ilvl="0">
      <w:lvlJc w:val="left"/>
      <w:lvlText w:val="(%1)"/>
      <w:numFmt w:val="upperLetter"/>
      <w:start w:val="1"/>
    </w:lvl>
    <w:lvl w:ilvl="1">
      <w:lvlJc w:val="left"/>
      <w:lvlText w:val="(%2)"/>
      <w:numFmt w:val="decimal"/>
      <w:start w:val="1"/>
    </w:lvl>
  </w:abstractNum>
  <w:abstractNum w:abstractNumId="64">
    <w:nsid w:val="5FB8370B"/>
    <w:multiLevelType w:val="hybridMultilevel"/>
    <w:lvl w:ilvl="0">
      <w:lvlJc w:val="left"/>
      <w:lvlText w:val="(%1)"/>
      <w:numFmt w:val="lowerLetter"/>
      <w:start w:val="12"/>
    </w:lvl>
  </w:abstractNum>
  <w:abstractNum w:abstractNumId="65">
    <w:nsid w:val="50801EE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6">
    <w:nsid w:val="488AC1A"/>
    <w:multiLevelType w:val="hybridMultilevel"/>
    <w:lvl w:ilvl="0">
      <w:lvlJc w:val="left"/>
      <w:lvlText w:val="%1"/>
      <w:numFmt w:val="lowerRoman"/>
      <w:start w:val="1"/>
    </w:lvl>
    <w:lvl w:ilvl="1">
      <w:lvlJc w:val="left"/>
      <w:lvlText w:val="(%2)"/>
      <w:numFmt w:val="lowerRoman"/>
      <w:start w:val="2"/>
    </w:lvl>
  </w:abstractNum>
  <w:abstractNum w:abstractNumId="67">
    <w:nsid w:val="5FB8011C"/>
    <w:multiLevelType w:val="hybridMultilevel"/>
    <w:lvl w:ilvl="0">
      <w:lvlJc w:val="left"/>
      <w:lvlText w:val="(%1)"/>
      <w:numFmt w:val="lowerRoman"/>
      <w:start w:val="3"/>
    </w:lvl>
    <w:lvl w:ilvl="1">
      <w:lvlJc w:val="left"/>
      <w:lvlText w:val="(%2)"/>
      <w:numFmt w:val="lowerRoman"/>
      <w:start w:val="4"/>
    </w:lvl>
  </w:abstractNum>
  <w:abstractNum w:abstractNumId="68">
    <w:nsid w:val="6AA78F7F"/>
    <w:multiLevelType w:val="hybridMultilevel"/>
    <w:lvl w:ilvl="0">
      <w:lvlJc w:val="left"/>
      <w:lvlText w:val="%1"/>
      <w:numFmt w:val="lowerLetter"/>
      <w:start w:val="1"/>
    </w:lvl>
    <w:lvl w:ilvl="1">
      <w:lvlJc w:val="left"/>
      <w:lvlText w:val="(%2)"/>
      <w:numFmt w:val="lowerRoman"/>
      <w:start w:val="7"/>
    </w:lvl>
  </w:abstractNum>
  <w:abstractNum w:abstractNumId="69">
    <w:nsid w:val="7672BD23"/>
    <w:multiLevelType w:val="hybridMultilevel"/>
    <w:lvl w:ilvl="0">
      <w:lvlJc w:val="left"/>
      <w:lvlText w:val="(%1)"/>
      <w:numFmt w:val="lowerLetter"/>
      <w:start w:val="2"/>
    </w:lvl>
    <w:lvl w:ilvl="1">
      <w:lvlJc w:val="left"/>
      <w:lvlText w:val="%2"/>
      <w:numFmt w:val="lowerRoman"/>
      <w:start w:val="1"/>
    </w:lvl>
  </w:abstractNum>
  <w:abstractNum w:abstractNumId="70">
    <w:nsid w:val="6FC75AF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71">
    <w:nsid w:val="6A5F702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72">
    <w:nsid w:val="7D5E18F8"/>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3">
    <w:nsid w:val="5F3534A4"/>
    <w:multiLevelType w:val="hybridMultilevel"/>
    <w:lvl w:ilvl="0">
      <w:lvlJc w:val="left"/>
      <w:lvlText w:val="(%1)"/>
      <w:numFmt w:val="lowerLetter"/>
      <w:start w:val="2"/>
    </w:lvl>
  </w:abstractNum>
  <w:abstractNum w:abstractNumId="74">
    <w:nsid w:val="73A1821B"/>
    <w:multiLevelType w:val="hybridMultilevel"/>
    <w:lvl w:ilvl="0">
      <w:lvlJc w:val="left"/>
      <w:lvlText w:val="%1"/>
      <w:numFmt w:val="lowerRoman"/>
      <w:start w:val="1"/>
    </w:lvl>
    <w:lvl w:ilvl="1">
      <w:lvlJc w:val="left"/>
      <w:lvlText w:val="(%2)"/>
      <w:numFmt w:val="lowerLetter"/>
      <w:start w:val="7"/>
    </w:lvl>
  </w:abstractNum>
  <w:abstractNum w:abstractNumId="75">
    <w:nsid w:val="7DE67713"/>
    <w:multiLevelType w:val="hybridMultilevel"/>
    <w:lvl w:ilvl="0">
      <w:lvlJc w:val="left"/>
      <w:lvlText w:val="(%1)"/>
      <w:numFmt w:val="lowerRoman"/>
      <w:start w:val="9"/>
    </w:lvl>
    <w:lvl w:ilvl="1">
      <w:lvlJc w:val="left"/>
      <w:lvlText w:val="(%2)"/>
      <w:numFmt w:val="lowerLetter"/>
      <w:start w:val="8"/>
    </w:lvl>
  </w:abstractNum>
  <w:abstractNum w:abstractNumId="76">
    <w:nsid w:val="555C55B5"/>
    <w:multiLevelType w:val="hybridMultilevel"/>
    <w:lvl w:ilvl="0">
      <w:lvlJc w:val="left"/>
      <w:lvlText w:val="(%1)"/>
      <w:numFmt w:val="lowerLetter"/>
      <w:start w:val="10"/>
    </w:lvl>
  </w:abstractNum>
  <w:abstractNum w:abstractNumId="77">
    <w:nsid w:val="3FA62ACA"/>
    <w:multiLevelType w:val="hybridMultilevel"/>
    <w:lvl w:ilvl="0">
      <w:lvlJc w:val="left"/>
      <w:lvlText w:val="(%1)"/>
      <w:numFmt w:val="lowerLetter"/>
      <w:start w:val="14"/>
    </w:lvl>
    <w:lvl w:ilvl="1">
      <w:lvlJc w:val="left"/>
      <w:lvlText w:val="(%2)"/>
      <w:numFmt w:val="lowerRoman"/>
      <w:start w:val="1"/>
    </w:lvl>
  </w:abstractNum>
  <w:abstractNum w:abstractNumId="78">
    <w:nsid w:val="14FCE74E"/>
    <w:multiLevelType w:val="hybridMultilevel"/>
    <w:lvl w:ilvl="0">
      <w:lvlJc w:val="left"/>
      <w:lvlText w:val="(%1)"/>
      <w:numFmt w:val="lowerLetter"/>
      <w:start w:val="16"/>
    </w:lvl>
  </w:abstractNum>
  <w:abstractNum w:abstractNumId="79">
    <w:nsid w:val="6A3DD3E8"/>
    <w:multiLevelType w:val="hybridMultilevel"/>
    <w:lvl w:ilvl="0">
      <w:lvlJc w:val="left"/>
      <w:lvlText w:val="%1."/>
      <w:numFmt w:val="decimal"/>
      <w:start w:val="4"/>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5"/>
    </w:lvl>
  </w:abstractNum>
  <w:abstractNum w:abstractNumId="82">
    <w:nsid w:val="532999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3">
    <w:nsid w:val="1FBFE8E0"/>
    <w:multiLevelType w:val="hybridMultilevel"/>
    <w:lvl w:ilvl="0">
      <w:lvlJc w:val="left"/>
      <w:lvlText w:val="(%1)"/>
      <w:numFmt w:val="lowerLetter"/>
      <w:start w:val="2"/>
    </w:lvl>
  </w:abstractNum>
  <w:abstractNum w:abstractNumId="84">
    <w:nsid w:val="5092CA79"/>
    <w:multiLevelType w:val="hybridMultilevel"/>
    <w:lvl w:ilvl="0">
      <w:lvlJc w:val="left"/>
      <w:lvlText w:val="%1"/>
      <w:numFmt w:val="lowerLetter"/>
      <w:start w:val="1"/>
    </w:lvl>
    <w:lvl w:ilvl="1">
      <w:lvlJc w:val="left"/>
      <w:lvlText w:val="(%2)"/>
      <w:numFmt w:val="lowerLetter"/>
      <w:start w:val="4"/>
    </w:lvl>
  </w:abstractNum>
  <w:abstractNum w:abstractNumId="85">
    <w:nsid w:val="1D545C4D"/>
    <w:multiLevelType w:val="hybridMultilevel"/>
    <w:lvl w:ilvl="0">
      <w:lvlJc w:val="left"/>
      <w:lvlText w:val="(%1)"/>
      <w:numFmt w:val="lowerLetter"/>
      <w:start w:val="35"/>
    </w:lvl>
    <w:lvl w:ilvl="1">
      <w:lvlJc w:val="left"/>
      <w:lvlText w:val="%2"/>
      <w:numFmt w:val="lowerLetter"/>
      <w:start w:val="1"/>
    </w:lvl>
  </w:abstractNum>
  <w:abstractNum w:abstractNumId="86">
    <w:nsid w:val="59ADEA3D"/>
    <w:multiLevelType w:val="hybridMultilevel"/>
    <w:lvl w:ilvl="0">
      <w:lvlJc w:val="left"/>
      <w:lvlText w:val="%1."/>
      <w:numFmt w:val="decimal"/>
      <w:start w:val="6"/>
    </w:lvl>
    <w:lvl w:ilvl="1">
      <w:lvlJc w:val="left"/>
      <w:lvlText w:val="(%2)"/>
      <w:numFmt w:val="lowerLetter"/>
      <w:start w:val="1"/>
    </w:lvl>
  </w:abstractNum>
  <w:abstractNum w:abstractNumId="87">
    <w:nsid w:val="288F1A34"/>
    <w:multiLevelType w:val="hybridMultilevel"/>
    <w:lvl w:ilvl="0">
      <w:lvlJc w:val="left"/>
      <w:lvlText w:val="%1."/>
      <w:numFmt w:val="decimal"/>
      <w:start w:val="8"/>
    </w:lvl>
  </w:abstractNum>
  <w:abstractNum w:abstractNumId="88">
    <w:nsid w:val="2A155DBC"/>
    <w:multiLevelType w:val="hybridMultilevel"/>
    <w:lvl w:ilvl="0">
      <w:lvlJc w:val="left"/>
      <w:lvlText w:val="(%1)"/>
      <w:numFmt w:val="lowerLetter"/>
      <w:start w:val="7"/>
    </w:lvl>
    <w:lvl w:ilvl="1">
      <w:lvlJc w:val="left"/>
      <w:lvlText w:val="%2."/>
      <w:numFmt w:val="decimal"/>
      <w:start w:val="12"/>
    </w:lvl>
    <w:lvl w:ilvl="2">
      <w:lvlJc w:val="left"/>
      <w:lvlText w:val="(%3)"/>
      <w:numFmt w:val="lowerLetter"/>
      <w:start w:val="1"/>
    </w:lvl>
  </w:abstractNum>
  <w:abstractNum w:abstractNumId="89">
    <w:nsid w:val="1D9F6E5F"/>
    <w:multiLevelType w:val="hybridMultilevel"/>
    <w:lvl w:ilvl="0">
      <w:lvlJc w:val="left"/>
      <w:lvlText w:val="%1."/>
      <w:numFmt w:val="decimal"/>
      <w:start w:val="13"/>
    </w:lvl>
  </w:abstractNum>
  <w:abstractNum w:abstractNumId="90">
    <w:nsid w:val="97E1B4E"/>
    <w:multiLevelType w:val="hybridMultilevel"/>
    <w:lvl w:ilvl="0">
      <w:lvlJc w:val="left"/>
      <w:lvlText w:val="(%1)"/>
      <w:numFmt w:val="lowerRoman"/>
      <w:start w:val="1"/>
    </w:lvl>
    <w:lvl w:ilvl="1">
      <w:lvlJc w:val="left"/>
      <w:lvlText w:val="(%2)"/>
      <w:numFmt w:val="upperLetter"/>
      <w:start w:val="1"/>
    </w:lvl>
  </w:abstractNum>
  <w:abstractNum w:abstractNumId="91">
    <w:nsid w:val="51088277"/>
    <w:multiLevelType w:val="hybridMultilevel"/>
    <w:lvl w:ilvl="0">
      <w:lvlJc w:val="left"/>
      <w:lvlText w:val="(%1)"/>
      <w:numFmt w:val="upperLetter"/>
      <w:start w:val="2"/>
    </w:lvl>
  </w:abstractNum>
  <w:abstractNum w:abstractNumId="92">
    <w:nsid w:val="1CA0C5FA"/>
    <w:multiLevelType w:val="hybridMultilevel"/>
    <w:lvl w:ilvl="0">
      <w:lvlJc w:val="left"/>
      <w:lvlText w:val="(%1)"/>
      <w:numFmt w:val="lowerLetter"/>
      <w:start w:val="1"/>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1)"/>
      <w:numFmt w:val="lowerRoman"/>
      <w:start w:val="2"/>
    </w:lvl>
  </w:abstractNum>
  <w:abstractNum w:abstractNumId="95">
    <w:nsid w:val="7C58FD05"/>
    <w:multiLevelType w:val="hybridMultilevel"/>
    <w:lvl w:ilvl="0">
      <w:lvlJc w:val="left"/>
      <w:lvlText w:val="(%1)"/>
      <w:numFmt w:val="lowerLetter"/>
      <w:start w:val="2"/>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1"/>
    </w:lvl>
    <w:lvl w:ilvl="1">
      <w:lvlJc w:val="left"/>
      <w:lvlText w:val="(%2)"/>
      <w:numFmt w:val="lowerRoman"/>
      <w:start w:val="1"/>
    </w:lvl>
  </w:abstractNum>
  <w:abstractNum w:abstractNumId="98">
    <w:nsid w:val="5C10FE21"/>
    <w:multiLevelType w:val="hybridMultilevel"/>
    <w:lvl w:ilvl="0">
      <w:lvlJc w:val="left"/>
      <w:lvlText w:val="%1"/>
      <w:numFmt w:val="lowerLetter"/>
      <w:start w:val="1"/>
    </w:lvl>
    <w:lvl w:ilvl="1">
      <w:lvlJc w:val="left"/>
      <w:lvlText w:val="(%2)"/>
      <w:numFmt w:val="lowerRoman"/>
      <w:start w:val="2"/>
    </w:lvl>
  </w:abstractNum>
  <w:abstractNum w:abstractNumId="99">
    <w:nsid w:val="E7FFA2B"/>
    <w:multiLevelType w:val="hybridMultilevel"/>
    <w:lvl w:ilvl="0">
      <w:lvlJc w:val="left"/>
      <w:lvlText w:val="(%1)"/>
      <w:numFmt w:val="lowerLetter"/>
      <w:start w:val="6"/>
    </w:lvl>
    <w:lvl w:ilvl="1">
      <w:lvlJc w:val="left"/>
      <w:lvlText w:val="%2"/>
      <w:numFmt w:val="lowerRoman"/>
      <w:start w:val="1"/>
    </w:lvl>
  </w:abstractNum>
  <w:abstractNum w:abstractNumId="100">
    <w:nsid w:val="3C5991AA"/>
    <w:multiLevelType w:val="hybridMultilevel"/>
    <w:lvl w:ilvl="0">
      <w:lvlJc w:val="left"/>
      <w:lvlText w:val="(%1)"/>
      <w:numFmt w:val="lowerLetter"/>
      <w:start w:val="1"/>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1"/>
    </w:lvl>
  </w:abstractNum>
  <w:abstractNum w:abstractNumId="104">
    <w:nsid w:val="2B0D8DBE"/>
    <w:multiLevelType w:val="hybridMultilevel"/>
    <w:lvl w:ilvl="0">
      <w:lvlJc w:val="left"/>
      <w:lvlText w:val="(%1)"/>
      <w:numFmt w:val="lowerLetter"/>
      <w:start w:val="1"/>
    </w:lvl>
    <w:lvl w:ilvl="1">
      <w:lvlJc w:val="left"/>
      <w:lvlText w:val="(%2)"/>
      <w:numFmt w:val="lowerRoman"/>
      <w:start w:val="1"/>
    </w:lvl>
  </w:abstractNum>
  <w:abstractNum w:abstractNumId="105">
    <w:nsid w:val="6C80EC70"/>
    <w:multiLevelType w:val="hybridMultilevel"/>
    <w:lvl w:ilvl="0">
      <w:lvlJc w:val="left"/>
      <w:lvlText w:val="(%1)"/>
      <w:numFmt w:val="lowerLetter"/>
      <w:start w:val="7"/>
    </w:lvl>
  </w:abstractNum>
  <w:abstractNum w:abstractNumId="106">
    <w:nsid w:val="379E21B5"/>
    <w:multiLevelType w:val="hybridMultilevel"/>
    <w:lvl w:ilvl="0">
      <w:lvlJc w:val="left"/>
      <w:lvlText w:val="(%1)"/>
      <w:numFmt w:val="lowerLetter"/>
      <w:start w:val="1"/>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decimal"/>
      <w:start w:val="1"/>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2"/>
    </w:lvl>
  </w:abstractNum>
  <w:abstractNum w:abstractNumId="111">
    <w:nsid w:val="1DF029D3"/>
    <w:multiLevelType w:val="hybridMultilevel"/>
    <w:lvl w:ilvl="0">
      <w:lvlJc w:val="left"/>
      <w:lvlText w:val="(%1)"/>
      <w:numFmt w:val="lowerLetter"/>
      <w:start w:val="1"/>
    </w:lvl>
  </w:abstractNum>
  <w:abstractNum w:abstractNumId="112">
    <w:nsid w:val="5675FF36"/>
    <w:multiLevelType w:val="hybridMultilevel"/>
    <w:lvl w:ilvl="0">
      <w:lvlJc w:val="left"/>
      <w:lvlText w:val="(%1)"/>
      <w:numFmt w:val="lowerLetter"/>
      <w:start w:val="4"/>
    </w:lvl>
  </w:abstractNum>
  <w:abstractNum w:abstractNumId="113">
    <w:nsid w:val="3DD15094"/>
    <w:multiLevelType w:val="hybridMultilevel"/>
    <w:lvl w:ilvl="0">
      <w:lvlJc w:val="left"/>
      <w:lvlText w:val="(%1)"/>
      <w:numFmt w:val="lowerLetter"/>
      <w:start w:val="6"/>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4"/>
    </w:lvl>
  </w:abstractNum>
  <w:abstractNum w:abstractNumId="116">
    <w:nsid w:val="5B25ACE2"/>
    <w:multiLevelType w:val="hybridMultilevel"/>
    <w:lvl w:ilvl="0">
      <w:lvlJc w:val="left"/>
      <w:lvlText w:val="(%1)"/>
      <w:numFmt w:val="lowerLetter"/>
      <w:start w:val="1"/>
    </w:lvl>
  </w:abstractNum>
  <w:abstractNum w:abstractNumId="117">
    <w:nsid w:val="175DFCF0"/>
    <w:multiLevelType w:val="hybridMultilevel"/>
    <w:lvl w:ilvl="0">
      <w:lvlJc w:val="left"/>
      <w:lvlText w:val="(%1)"/>
      <w:numFmt w:val="lowerLetter"/>
      <w:start w:val="9"/>
    </w:lvl>
  </w:abstractNum>
  <w:abstractNum w:abstractNumId="118">
    <w:nsid w:val="4F97E3E4"/>
    <w:multiLevelType w:val="hybridMultilevel"/>
    <w:lvl w:ilvl="0">
      <w:lvlJc w:val="left"/>
      <w:lvlText w:val="(%1)"/>
      <w:numFmt w:val="lowerLetter"/>
      <w:start w:val="1"/>
    </w:lvl>
  </w:abstractNum>
  <w:abstractNum w:abstractNumId="119">
    <w:nsid w:val="53B0A9E"/>
    <w:multiLevelType w:val="hybridMultilevel"/>
    <w:lvl w:ilvl="0">
      <w:lvlJc w:val="left"/>
      <w:lvlText w:val="(%1)"/>
      <w:numFmt w:val="lowerLetter"/>
      <w:start w:val="6"/>
    </w:lvl>
  </w:abstractNum>
  <w:abstractNum w:abstractNumId="120">
    <w:nsid w:val="34FD6B4F"/>
    <w:multiLevelType w:val="hybridMultilevel"/>
    <w:lvl w:ilvl="0">
      <w:lvlJc w:val="left"/>
      <w:lvlText w:val="(%1)"/>
      <w:numFmt w:val="lowerLetter"/>
      <w:start w:val="1"/>
    </w:lvl>
  </w:abstractNum>
  <w:abstractNum w:abstractNumId="121">
    <w:nsid w:val="5915FF32"/>
    <w:multiLevelType w:val="hybridMultilevel"/>
    <w:lvl w:ilvl="0">
      <w:lvlJc w:val="left"/>
      <w:lvlText w:val="(%1)"/>
      <w:numFmt w:val="lowerLetter"/>
      <w:start w:val="1"/>
    </w:lvl>
  </w:abstractNum>
  <w:abstractNum w:abstractNumId="122">
    <w:nsid w:val="56438D15"/>
    <w:multiLevelType w:val="hybridMultilevel"/>
    <w:lvl w:ilvl="0">
      <w:lvlJc w:val="left"/>
      <w:lvlText w:val="(%1)"/>
      <w:numFmt w:val="lowerRoman"/>
      <w:start w:val="1"/>
    </w:lvl>
  </w:abstractNum>
  <w:abstractNum w:abstractNumId="123">
    <w:nsid w:val="519E3149"/>
    <w:multiLevelType w:val="hybridMultilevel"/>
    <w:lvl w:ilvl="0">
      <w:lvlJc w:val="left"/>
      <w:lvlText w:val="(%1)"/>
      <w:numFmt w:val="lowerRoman"/>
      <w:start w:val="1"/>
    </w:lvl>
  </w:abstractNum>
  <w:abstractNum w:abstractNumId="124">
    <w:nsid w:val="2C6E4AFD"/>
    <w:multiLevelType w:val="hybridMultilevel"/>
    <w:lvl w:ilvl="0">
      <w:lvlJc w:val="left"/>
      <w:lvlText w:val="(%1)"/>
      <w:numFmt w:val="lowerRoman"/>
      <w:start w:val="4"/>
    </w:lvl>
  </w:abstractNum>
  <w:abstractNum w:abstractNumId="125">
    <w:nsid w:val="17A1B582"/>
    <w:multiLevelType w:val="hybridMultilevel"/>
    <w:lvl w:ilvl="0">
      <w:lvlJc w:val="left"/>
      <w:lvlText w:val="%1."/>
      <w:numFmt w:val="decimal"/>
      <w:start w:val="1"/>
    </w:lvl>
  </w:abstractNum>
  <w:abstractNum w:abstractNumId="126">
    <w:nsid w:val="4DF72E4E"/>
    <w:multiLevelType w:val="hybridMultilevel"/>
    <w:lvl w:ilvl="0">
      <w:lvlJc w:val="left"/>
      <w:lvlText w:val="%1."/>
      <w:numFmt w:val="decimal"/>
      <w:start w:val="7"/>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jpe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jpe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jpe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21"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jpe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jpe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jpe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jpe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jpeg"/><Relationship Id="rId229" Type="http://schemas.openxmlformats.org/officeDocument/2006/relationships/image" Target="media/image204.png"/><Relationship Id="rId28" Type="http://schemas.openxmlformats.org/officeDocument/2006/relationships/hyperlink" Target="http://www.sec.gov/ix?doc=/Archives/edgar/data/1374690/000095017022004637/lrmr-20211231.htm" TargetMode="External"/><Relationship Id="rId29" Type="http://schemas.openxmlformats.org/officeDocument/2006/relationships/hyperlink" Target="http://www.sec.gov/ix?doc=/Archives/edgar/data/1374690/000095017022009590/lrmr-20220331.htm" TargetMode="External"/><Relationship Id="rId30" Type="http://schemas.openxmlformats.org/officeDocument/2006/relationships/hyperlink" Target="http://www.sec.gov/ix?doc=/Archives/edgar/data/1374690/000095017022016917/lrmr-20220630.htm" TargetMode="External"/><Relationship Id="rId31" Type="http://schemas.openxmlformats.org/officeDocument/2006/relationships/hyperlink" Target="http://www.sec.gov/ix?doc=/Archives/edgar/data/0001374690/000095017022024223/lrmr-20220930.htm" TargetMode="External"/><Relationship Id="rId32" Type="http://schemas.openxmlformats.org/officeDocument/2006/relationships/hyperlink" Target="http://www.sec.gov/Archives/edgar/data/1374690/000119312522102289/d301043ddef14a.htm" TargetMode="External"/><Relationship Id="rId33" Type="http://schemas.openxmlformats.org/officeDocument/2006/relationships/hyperlink" Target="http://www.sec.gov/ix?doc=/Archives/edgar/data/1374690/000119312522148057/d348537d8k.htm" TargetMode="External"/><Relationship Id="rId34" Type="http://schemas.openxmlformats.org/officeDocument/2006/relationships/hyperlink" Target="http://www.sec.gov/ix?doc=/Archives/edgar/data/1374690/000119312522148643/d309018d8k.htm" TargetMode="External"/><Relationship Id="rId35" Type="http://schemas.openxmlformats.org/officeDocument/2006/relationships/hyperlink" Target="http://www.sec.gov/ix?doc=/Archives/edgar/data/1374690/000095017022016881/lrmr-20220811.htm" TargetMode="External"/><Relationship Id="rId36" Type="http://schemas.openxmlformats.org/officeDocument/2006/relationships/hyperlink" Target="http://www.sec.gov/ix?doc=/Archives/edgar/data/1374690/000119312522244248/d392070d8k.htm" TargetMode="External"/><Relationship Id="rId37" Type="http://schemas.openxmlformats.org/officeDocument/2006/relationships/hyperlink" Target="http://www.sec.gov/ix?doc=/Archives/edgar/data/1374690/000119312522244317/d404741d8k.htm" TargetMode="External"/><Relationship Id="rId38" Type="http://schemas.openxmlformats.org/officeDocument/2006/relationships/hyperlink" Target="http://www.sec.gov/ix?doc=/Archives/edgar/data/1374690/000095017022019769/lrmr-20221020.htm" TargetMode="External"/><Relationship Id="rId39" Type="http://schemas.openxmlformats.org/officeDocument/2006/relationships/hyperlink" Target="http://www.sec.gov/ix?doc=/Archives/edgar/data/0001374690/000095017022024139/lrmr-20221110.htm" TargetMode="External"/><Relationship Id="rId40" Type="http://schemas.openxmlformats.org/officeDocument/2006/relationships/hyperlink" Target="http://www.sec.gov/Archives/edgar/data/1374690/000119312514240257/d745277d8a12b.htm" TargetMode="External"/><Relationship Id="rId117" Type="http://schemas.openxmlformats.org/officeDocument/2006/relationships/hyperlink" Target="http://www.sec.gov/Archives/edgar/data/1374690/000119312514247362/d747935dex31.htm" TargetMode="External"/><Relationship Id="rId118" Type="http://schemas.openxmlformats.org/officeDocument/2006/relationships/hyperlink" Target="http://www.sec.gov/Archives/edgar/data/1374690/000119312520157924/d936040dex31.htm" TargetMode="External"/><Relationship Id="rId119" Type="http://schemas.openxmlformats.org/officeDocument/2006/relationships/hyperlink" Target="http://www.sec.gov/Archives/edgar/data/1374690/000119312520157924/d936040dex32.htm" TargetMode="External"/><Relationship Id="rId120" Type="http://schemas.openxmlformats.org/officeDocument/2006/relationships/hyperlink" Target="http://www.sec.gov/Archives/edgar/data/1374690/000119312514247362/d747935dex32.htm" TargetMode="External"/><Relationship Id="rId122" Type="http://schemas.openxmlformats.org/officeDocument/2006/relationships/hyperlink" Target="http://www.sec.gov/Archives/edgar/data/1374690/000119312514222253/d64272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2022-11-10T19:13:39Z</dcterms:created>
  <dcterms:modified xsi:type="dcterms:W3CDTF">2022-11-10T19:13:39Z</dcterms:modified>
</cp:coreProperties>
</file>