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337" w:lineRule="exact"/>
        <w:rPr>
          <w:sz w:val="24"/>
          <w:szCs w:val="24"/>
          <w:color w:val="auto"/>
        </w:rPr>
      </w:pPr>
    </w:p>
    <w:p>
      <w:pPr>
        <w:spacing w:after="0"/>
        <w:rPr>
          <w:sz w:val="20"/>
          <w:szCs w:val="20"/>
          <w:color w:val="auto"/>
        </w:rPr>
      </w:pPr>
      <w:r>
        <w:rPr>
          <w:rFonts w:ascii="Arial" w:cs="Arial" w:eastAsia="Arial" w:hAnsi="Arial"/>
          <w:sz w:val="18"/>
          <w:szCs w:val="18"/>
          <w:color w:val="auto"/>
        </w:rPr>
        <w:t>November 16,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Irene Paik</w:t>
      </w:r>
    </w:p>
    <w:p>
      <w:pPr>
        <w:spacing w:after="0" w:line="234" w:lineRule="exact"/>
        <w:rPr>
          <w:sz w:val="24"/>
          <w:szCs w:val="24"/>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Zafgen, Inc.</w:t>
      </w:r>
    </w:p>
    <w:p>
      <w:pPr>
        <w:spacing w:after="0" w:line="2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Acceleration Request for Registration Statement on Form S-3</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File No. 333-228328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Paik,</w:t>
      </w:r>
    </w:p>
    <w:p>
      <w:pPr>
        <w:spacing w:after="0" w:line="221" w:lineRule="exact"/>
        <w:rPr>
          <w:sz w:val="24"/>
          <w:szCs w:val="24"/>
          <w:color w:val="auto"/>
        </w:rPr>
      </w:pPr>
    </w:p>
    <w:p>
      <w:pPr>
        <w:ind w:firstLine="441"/>
        <w:spacing w:after="0" w:line="258" w:lineRule="auto"/>
        <w:rPr>
          <w:sz w:val="20"/>
          <w:szCs w:val="20"/>
          <w:color w:val="auto"/>
        </w:rPr>
      </w:pPr>
      <w:r>
        <w:rPr>
          <w:rFonts w:ascii="Arial" w:cs="Arial" w:eastAsia="Arial" w:hAnsi="Arial"/>
          <w:sz w:val="18"/>
          <w:szCs w:val="18"/>
          <w:color w:val="auto"/>
        </w:rPr>
        <w:t>Pursuant to Rule 461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Zafgen, Inc. (the “</w:t>
      </w:r>
      <w:r>
        <w:rPr>
          <w:rFonts w:ascii="Arial" w:cs="Arial" w:eastAsia="Arial" w:hAnsi="Arial"/>
          <w:sz w:val="18"/>
          <w:szCs w:val="18"/>
          <w:b w:val="1"/>
          <w:bCs w:val="1"/>
          <w:color w:val="auto"/>
        </w:rPr>
        <w:t>Company</w:t>
      </w:r>
      <w:r>
        <w:rPr>
          <w:rFonts w:ascii="Arial" w:cs="Arial" w:eastAsia="Arial" w:hAnsi="Arial"/>
          <w:sz w:val="18"/>
          <w:szCs w:val="18"/>
          <w:color w:val="auto"/>
        </w:rPr>
        <w:t>”) hereby requests that the effective date of the above-referenced registration statement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be accelerated to November 20, 2018, at 4:00 p.m., Eastern Time, or as soon thereafter as practicable, unless we or our outside counsel, Goodwin Procter LLP, request by telephone that such Registration Statement be declared effective at some other time. In making this acceleration request, the Company acknowledges that it is aware of its responsibilities under the Act.</w:t>
      </w:r>
    </w:p>
    <w:p>
      <w:pPr>
        <w:spacing w:after="0" w:line="188" w:lineRule="exact"/>
        <w:rPr>
          <w:sz w:val="24"/>
          <w:szCs w:val="24"/>
          <w:color w:val="auto"/>
        </w:rPr>
      </w:pPr>
    </w:p>
    <w:p>
      <w:pPr>
        <w:ind w:right="140" w:firstLine="441"/>
        <w:spacing w:after="0" w:line="259" w:lineRule="auto"/>
        <w:rPr>
          <w:sz w:val="20"/>
          <w:szCs w:val="20"/>
          <w:color w:val="auto"/>
        </w:rPr>
      </w:pPr>
      <w:r>
        <w:rPr>
          <w:rFonts w:ascii="Arial" w:cs="Arial" w:eastAsia="Arial" w:hAnsi="Arial"/>
          <w:sz w:val="18"/>
          <w:szCs w:val="18"/>
          <w:color w:val="auto"/>
        </w:rPr>
        <w:t>Once the Registration Statement is effective, please orally confirm the event with our counsel, Goodwin Procter LLP by calling Danielle Lauzon at (617) 570-1955. We also respectfully request that a copy of the written order from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verifying the effective time and date of the Registration Statement be sent to our counsel, Goodwin Procter LLP, by e-mail to Danielle Lauzon at DLauzon@goodwinlaw.com or by facsimile to (617) 649-1484 Attention: Danielle Lauzon.</w:t>
      </w:r>
    </w:p>
    <w:p>
      <w:pPr>
        <w:spacing w:after="0" w:line="187"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 connection with the foregoing, the Company hereby acknowledges the following:</w:t>
      </w:r>
    </w:p>
    <w:p>
      <w:pPr>
        <w:spacing w:after="0" w:line="131" w:lineRule="exact"/>
        <w:rPr>
          <w:sz w:val="24"/>
          <w:szCs w:val="24"/>
          <w:color w:val="auto"/>
        </w:rPr>
      </w:pPr>
    </w:p>
    <w:p>
      <w:pPr>
        <w:ind w:left="1420" w:right="280" w:hanging="430"/>
        <w:spacing w:after="0" w:line="308" w:lineRule="auto"/>
        <w:tabs>
          <w:tab w:leader="none" w:pos="1420" w:val="left"/>
        </w:tabs>
        <w:numPr>
          <w:ilvl w:val="0"/>
          <w:numId w:val="1"/>
        </w:numPr>
        <w:rPr>
          <w:rFonts w:ascii="Arial" w:cs="Arial" w:eastAsia="Arial" w:hAnsi="Arial"/>
          <w:sz w:val="17"/>
          <w:szCs w:val="17"/>
          <w:color w:val="auto"/>
        </w:rPr>
      </w:pPr>
      <w:r>
        <w:rPr>
          <w:rFonts w:ascii="Arial" w:cs="Arial" w:eastAsia="Arial" w:hAnsi="Arial"/>
          <w:sz w:val="17"/>
          <w:szCs w:val="17"/>
          <w:color w:val="auto"/>
        </w:rPr>
        <w:t>should the Commission or the staff of the Commission, acting pursuant to delegated authority, declare the Registration Statement effective, it does not foreclose the Commission from taking any action with respect to the Registration Statement;</w:t>
      </w:r>
    </w:p>
    <w:p>
      <w:pPr>
        <w:spacing w:after="0" w:line="51" w:lineRule="exact"/>
        <w:rPr>
          <w:rFonts w:ascii="Arial" w:cs="Arial" w:eastAsia="Arial" w:hAnsi="Arial"/>
          <w:sz w:val="17"/>
          <w:szCs w:val="17"/>
          <w:color w:val="auto"/>
        </w:rPr>
      </w:pPr>
    </w:p>
    <w:p>
      <w:pPr>
        <w:ind w:left="1420" w:right="100" w:hanging="430"/>
        <w:spacing w:after="0" w:line="264" w:lineRule="auto"/>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of the Commission, acting pursuant to delegated authority, in declaring the Registration Statement effective, does not relieve the Company from its full responsibility for the adequacy and accuracy of the disclosure in the Registration Statement; and</w:t>
      </w:r>
    </w:p>
    <w:p>
      <w:pPr>
        <w:spacing w:after="0" w:line="86" w:lineRule="exact"/>
        <w:rPr>
          <w:rFonts w:ascii="Arial" w:cs="Arial" w:eastAsia="Arial" w:hAnsi="Arial"/>
          <w:sz w:val="18"/>
          <w:szCs w:val="18"/>
          <w:color w:val="auto"/>
        </w:rPr>
      </w:pPr>
    </w:p>
    <w:p>
      <w:pPr>
        <w:ind w:left="1420" w:right="420" w:hanging="430"/>
        <w:spacing w:after="0" w:line="277" w:lineRule="auto"/>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If you have any questions regarding this request, please contact Danielle Lauzon of Goodwin Procter LLP at (617) 570-1955.</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52"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ZAFGEN, INC.</w:t>
      </w:r>
    </w:p>
    <w:p>
      <w:pPr>
        <w:spacing w:after="0" w:line="239"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 Jeffrey S. Hatfield</w:t>
      </w:r>
    </w:p>
    <w:p>
      <w:pPr>
        <w:spacing w:after="0" w:line="23"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Jeffrey S. Hatfield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4"/>
          <w:szCs w:val="24"/>
          <w:color w:val="auto"/>
        </w:rPr>
      </w:pPr>
    </w:p>
    <w:p>
      <w:pPr>
        <w:spacing w:after="0" w:line="294" w:lineRule="exact"/>
        <w:rPr>
          <w:sz w:val="24"/>
          <w:szCs w:val="24"/>
          <w:color w:val="auto"/>
        </w:rPr>
      </w:pPr>
    </w:p>
    <w:p>
      <w:pPr>
        <w:ind w:left="6620"/>
        <w:spacing w:after="0"/>
        <w:tabs>
          <w:tab w:leader="none" w:pos="6940" w:val="left"/>
        </w:tabs>
        <w:rPr>
          <w:sz w:val="20"/>
          <w:szCs w:val="20"/>
          <w:color w:val="auto"/>
        </w:rPr>
      </w:pPr>
      <w:r>
        <w:rPr>
          <w:rFonts w:ascii="Arial" w:cs="Arial" w:eastAsia="Arial" w:hAnsi="Arial"/>
          <w:sz w:val="18"/>
          <w:szCs w:val="18"/>
          <w:color w:val="auto"/>
        </w:rPr>
        <w:t>cc:</w:t>
      </w:r>
      <w:r>
        <w:rPr>
          <w:sz w:val="20"/>
          <w:szCs w:val="20"/>
          <w:color w:val="auto"/>
        </w:rPr>
        <w:tab/>
      </w:r>
      <w:r>
        <w:rPr>
          <w:rFonts w:ascii="Arial" w:cs="Arial" w:eastAsia="Arial" w:hAnsi="Arial"/>
          <w:sz w:val="16"/>
          <w:szCs w:val="16"/>
          <w:color w:val="auto"/>
        </w:rPr>
        <w:t xml:space="preserve">Patricia L. Allen, </w:t>
      </w:r>
      <w:r>
        <w:rPr>
          <w:rFonts w:ascii="Arial" w:cs="Arial" w:eastAsia="Arial" w:hAnsi="Arial"/>
          <w:sz w:val="16"/>
          <w:szCs w:val="16"/>
          <w:i w:val="1"/>
          <w:iCs w:val="1"/>
          <w:color w:val="auto"/>
        </w:rPr>
        <w:t>Zafgen, Inc.</w:t>
      </w:r>
    </w:p>
    <w:p>
      <w:pPr>
        <w:spacing w:after="0" w:line="23"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 xml:space="preserve">Mitchell S. Bloom, </w:t>
      </w:r>
      <w:r>
        <w:rPr>
          <w:rFonts w:ascii="Arial" w:cs="Arial" w:eastAsia="Arial" w:hAnsi="Arial"/>
          <w:sz w:val="18"/>
          <w:szCs w:val="18"/>
          <w:i w:val="1"/>
          <w:iCs w:val="1"/>
          <w:color w:val="auto"/>
        </w:rPr>
        <w:t>Goodwin Procter LLP</w:t>
      </w:r>
    </w:p>
    <w:p>
      <w:pPr>
        <w:spacing w:after="0" w:line="9"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 xml:space="preserve">Danielle Lauzon, </w:t>
      </w:r>
      <w:r>
        <w:rPr>
          <w:rFonts w:ascii="Arial" w:cs="Arial" w:eastAsia="Arial" w:hAnsi="Arial"/>
          <w:sz w:val="18"/>
          <w:szCs w:val="18"/>
          <w:i w:val="1"/>
          <w:iCs w:val="1"/>
          <w:color w:val="auto"/>
        </w:rPr>
        <w:t>Goodwin Procter LLP</w:t>
      </w:r>
    </w:p>
    <w:sectPr>
      <w:pgSz w:w="11900" w:h="16838" w:orient="portrait"/>
      <w:cols w:equalWidth="0" w:num="1">
        <w:col w:w="11000"/>
      </w:cols>
      <w:pgMar w:left="440" w:top="22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2019-12-07T06:11:04Z</dcterms:created>
  <dcterms:modified xsi:type="dcterms:W3CDTF">2019-12-07T06:11:04Z</dcterms:modified>
</cp:coreProperties>
</file>