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64770</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83820</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4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32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3460" w:type="dxa"/>
        <w:tblCellMar>
          <w:top w:w="0" w:type="dxa"/>
          <w:left w:w="0" w:type="dxa"/>
          <w:bottom w:w="0" w:type="dxa"/>
          <w:right w:w="0" w:type="dxa"/>
        </w:tblCellMar>
      </w:tblPr>
      <w:tr>
        <w:trPr>
          <w:trHeight w:val="204"/>
        </w:trPr>
        <w:tc>
          <w:tcPr>
            <w:tcW w:w="2380" w:type="dxa"/>
            <w:vAlign w:val="bottom"/>
          </w:tcPr>
          <w:p>
            <w:pPr>
              <w:spacing w:after="0" w:line="204" w:lineRule="exact"/>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w:t>
            </w:r>
          </w:p>
        </w:tc>
      </w:tr>
      <w:tr>
        <w:trPr>
          <w:trHeight w:val="345"/>
        </w:trPr>
        <w:tc>
          <w:tcPr>
            <w:tcW w:w="4420" w:type="dxa"/>
            <w:vAlign w:val="bottom"/>
            <w:gridSpan w:val="4"/>
          </w:tcPr>
          <w:p>
            <w:pPr>
              <w:ind w:left="860"/>
              <w:spacing w:after="0"/>
              <w:rPr>
                <w:sz w:val="20"/>
                <w:szCs w:val="20"/>
                <w:color w:val="auto"/>
              </w:rPr>
            </w:pPr>
            <w:r>
              <w:rPr>
                <w:rFonts w:ascii="Arial" w:cs="Arial" w:eastAsia="Arial" w:hAnsi="Arial"/>
                <w:sz w:val="18"/>
                <w:szCs w:val="18"/>
                <w:b w:val="1"/>
                <w:bCs w:val="1"/>
                <w:color w:val="auto"/>
              </w:rPr>
              <w:t>Commission File Number 001-36510</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68580</wp:posOffset>
            </wp:positionV>
            <wp:extent cx="1732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64770</wp:posOffset>
            </wp:positionV>
            <wp:extent cx="1732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p>
      <w:pPr>
        <w:spacing w:after="0" w:line="219"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7600" w:space="720"/>
            <w:col w:w="3040"/>
          </w:cols>
          <w:pgMar w:left="240" w:top="409" w:right="299" w:bottom="1440" w:gutter="0" w:footer="0" w:header="0"/>
          <w:type w:val="continuous"/>
        </w:sectPr>
      </w:pPr>
    </w:p>
    <w:p>
      <w:pPr>
        <w:spacing w:after="0" w:line="12" w:lineRule="exact"/>
        <w:rPr>
          <w:sz w:val="24"/>
          <w:szCs w:val="24"/>
          <w:color w:val="auto"/>
        </w:rPr>
      </w:pPr>
    </w:p>
    <w:p>
      <w:pPr>
        <w:ind w:left="2980"/>
        <w:spacing w:after="0"/>
        <w:rPr>
          <w:sz w:val="20"/>
          <w:szCs w:val="20"/>
          <w:color w:val="auto"/>
        </w:rPr>
      </w:pPr>
      <w:r>
        <w:rPr>
          <w:rFonts w:ascii="Arial" w:cs="Arial" w:eastAsia="Arial" w:hAnsi="Arial"/>
          <w:sz w:val="13"/>
          <w:szCs w:val="13"/>
          <w:b w:val="1"/>
          <w:bCs w:val="1"/>
          <w:color w:val="auto"/>
        </w:rPr>
        <w:t>(State or other jurisdiction of</w:t>
      </w:r>
    </w:p>
    <w:p>
      <w:pPr>
        <w:ind w:left="2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460" w:space="720"/>
            <w:col w:w="3180"/>
          </w:cols>
          <w:pgMar w:left="240" w:top="409"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Zafgen, Inc.</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 Center Plaza, Suite 610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Boston, Massachusetts 02108</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360"/>
          </w:cols>
          <w:pgMar w:left="240" w:top="409" w:right="299" w:bottom="1440" w:gutter="0" w:footer="0" w:header="0"/>
          <w:type w:val="continuous"/>
        </w:sectPr>
      </w:pPr>
    </w:p>
    <w:p>
      <w:pPr>
        <w:spacing w:after="0" w:line="10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77470</wp:posOffset>
            </wp:positionV>
            <wp:extent cx="1732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4"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710" w:type="dxa"/>
        <w:tblCellMar>
          <w:top w:w="0" w:type="dxa"/>
          <w:left w:w="0" w:type="dxa"/>
          <w:bottom w:w="0" w:type="dxa"/>
          <w:right w:w="0" w:type="dxa"/>
        </w:tblCellMar>
      </w:tblPr>
      <w:tr>
        <w:trPr>
          <w:trHeight w:val="253"/>
        </w:trPr>
        <w:tc>
          <w:tcPr>
            <w:tcW w:w="2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04"/>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Common Stock</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ZFGN</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NASDAQ Global Market</w:t>
            </w:r>
          </w:p>
        </w:tc>
      </w:tr>
    </w:tbl>
    <w:p>
      <w:pPr>
        <w:spacing w:after="0" w:line="98" w:lineRule="exact"/>
        <w:rPr>
          <w:sz w:val="24"/>
          <w:szCs w:val="24"/>
          <w:color w:val="auto"/>
        </w:rPr>
      </w:pPr>
    </w:p>
    <w:p>
      <w:pPr>
        <w:ind w:right="2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36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Smaller reporting company</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181" w:lineRule="exact"/>
        <w:rPr>
          <w:sz w:val="24"/>
          <w:szCs w:val="24"/>
          <w:color w:val="auto"/>
        </w:rPr>
      </w:pPr>
    </w:p>
    <w:p>
      <w:pPr>
        <w:ind w:right="18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2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2019, there were 37,370,301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309245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This Quarterly Report on Form 10-Q Report, or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85" w:lineRule="exact"/>
        <w:rPr>
          <w:sz w:val="20"/>
          <w:szCs w:val="20"/>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17" w:lineRule="exact"/>
        <w:rPr>
          <w:rFonts w:ascii="Arial" w:cs="Arial" w:eastAsia="Arial" w:hAnsi="Arial"/>
          <w:sz w:val="18"/>
          <w:szCs w:val="18"/>
          <w:color w:val="auto"/>
        </w:rPr>
      </w:pPr>
    </w:p>
    <w:p>
      <w:pPr>
        <w:ind w:left="1020" w:right="80" w:hanging="377"/>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file and have our investigational new drug application, or IND, for ZGN-1258, ZGN-1345 and/or ZGN-1061 go into effect, including our ability to overcome the full clinical hold placed on ZGN-1061 by the U.S. Food and Drug Administration, or FDA;</w:t>
      </w:r>
    </w:p>
    <w:p>
      <w:pPr>
        <w:spacing w:after="0" w:line="38" w:lineRule="exact"/>
        <w:rPr>
          <w:rFonts w:ascii="Arial" w:cs="Arial" w:eastAsia="Arial" w:hAnsi="Arial"/>
          <w:sz w:val="17"/>
          <w:szCs w:val="17"/>
          <w:color w:val="auto"/>
        </w:rPr>
      </w:pPr>
    </w:p>
    <w:p>
      <w:pPr>
        <w:ind w:left="1020" w:right="2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ability to advance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study designed in alignment with the FDA, establish acceptable safety margins on ZGN-1061 based on the results of such study and resolve the clinical hold on ZGN-1061 based on the results of such study;</w:t>
      </w:r>
    </w:p>
    <w:p>
      <w:pPr>
        <w:spacing w:after="0" w:line="62" w:lineRule="exact"/>
        <w:rPr>
          <w:rFonts w:ascii="Arial" w:cs="Arial" w:eastAsia="Arial" w:hAnsi="Arial"/>
          <w:sz w:val="18"/>
          <w:szCs w:val="18"/>
          <w:color w:val="auto"/>
        </w:rPr>
      </w:pPr>
    </w:p>
    <w:p>
      <w:pPr>
        <w:ind w:left="1020" w:right="36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evaluate ZGN-1258 and to advance the program in nonclinical and clinical development following an unexpected finding in muscle tissue in rodent toxicology studies;</w:t>
      </w:r>
    </w:p>
    <w:p>
      <w:pPr>
        <w:spacing w:after="0" w:line="62" w:lineRule="exact"/>
        <w:rPr>
          <w:rFonts w:ascii="Arial" w:cs="Arial" w:eastAsia="Arial" w:hAnsi="Arial"/>
          <w:sz w:val="18"/>
          <w:szCs w:val="18"/>
          <w:color w:val="auto"/>
        </w:rPr>
      </w:pPr>
    </w:p>
    <w:p>
      <w:pPr>
        <w:ind w:left="102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advance ZGN-1061 and our other product candidates into and through all clinical trials to enable submission of a new drug application, or NDA;</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gain regulatory approval and to successfully commercialize our product candidates;</w:t>
      </w:r>
    </w:p>
    <w:p>
      <w:pPr>
        <w:spacing w:after="0" w:line="117" w:lineRule="exact"/>
        <w:rPr>
          <w:rFonts w:ascii="Arial" w:cs="Arial" w:eastAsia="Arial" w:hAnsi="Arial"/>
          <w:sz w:val="18"/>
          <w:szCs w:val="18"/>
          <w:color w:val="auto"/>
        </w:rPr>
      </w:pPr>
    </w:p>
    <w:p>
      <w:pPr>
        <w:ind w:left="1020" w:right="4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supportive clinical and nonclinical data for partnering and to successfully partner ZGN-1061 before commencing Phase 3 clinical development;</w:t>
      </w:r>
    </w:p>
    <w:p>
      <w:pPr>
        <w:spacing w:after="0" w:line="62" w:lineRule="exact"/>
        <w:rPr>
          <w:rFonts w:ascii="Arial" w:cs="Arial" w:eastAsia="Arial" w:hAnsi="Arial"/>
          <w:sz w:val="18"/>
          <w:szCs w:val="18"/>
          <w:color w:val="auto"/>
        </w:rPr>
      </w:pPr>
    </w:p>
    <w:p>
      <w:pPr>
        <w:ind w:left="1020" w:right="320" w:hanging="377"/>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advance our earlier-stage product candidates, including ZGN-1258 (if our further evaluation of ZGN-1258 warrants continued development and potential commercialization) or ZGN-1345, into clinical development and successfully complete clinical trials;</w:t>
      </w:r>
    </w:p>
    <w:p>
      <w:pPr>
        <w:spacing w:after="0" w:line="15" w:lineRule="exact"/>
        <w:rPr>
          <w:rFonts w:ascii="Arial" w:cs="Arial" w:eastAsia="Arial" w:hAnsi="Arial"/>
          <w:sz w:val="16"/>
          <w:szCs w:val="16"/>
          <w:color w:val="auto"/>
        </w:rPr>
      </w:pPr>
    </w:p>
    <w:p>
      <w:pPr>
        <w:ind w:left="1020" w:right="38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dissociate effects of methionine aminopeptidase 2, or MetAP2, inhibitors from pro-thrombotic effects or other adverse events observed in clinical development of our first-generation compound, beloranib;</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distinguish ZGN-1061, ZGN-1258, ZGN-1345 and other novel MetAP2 inhibitors relative to our first-generation compound;</w:t>
      </w:r>
    </w:p>
    <w:p>
      <w:pPr>
        <w:spacing w:after="0" w:line="128" w:lineRule="exact"/>
        <w:rPr>
          <w:rFonts w:ascii="Arial" w:cs="Arial" w:eastAsia="Arial" w:hAnsi="Arial"/>
          <w:sz w:val="17"/>
          <w:szCs w:val="17"/>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our executive, medical and development teams;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5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5"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r>
      <w:tr>
        <w:trPr>
          <w:trHeight w:val="291"/>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40" w:type="dxa"/>
            <w:vAlign w:val="bottom"/>
            <w:gridSpan w:val="1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740" w:type="dxa"/>
            <w:vAlign w:val="bottom"/>
            <w:gridSpan w:val="12"/>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2019 and December 31, 2018</w:t>
              </w:r>
            </w:hyperlink>
          </w:p>
        </w:tc>
        <w:tc>
          <w:tcPr>
            <w:tcW w:w="2980" w:type="dxa"/>
            <w:vAlign w:val="bottom"/>
            <w:gridSpan w:val="5"/>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Operations and Comprehensive Loss for the Three and Six Months Ended June 30,</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and 2018</w:t>
              </w:r>
            </w:hyperlink>
          </w:p>
        </w:tc>
        <w:tc>
          <w:tcPr>
            <w:tcW w:w="28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Changes in Stockholders Equity for the Three and Six Months Ended June 30, 2019</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9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2018</w:t>
              </w:r>
            </w:hyperlink>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2019 and 2018</w:t>
              </w:r>
            </w:hyperlink>
          </w:p>
        </w:tc>
        <w:tc>
          <w:tcPr>
            <w:tcW w:w="1740" w:type="dxa"/>
            <w:vAlign w:val="bottom"/>
            <w:gridSpan w:val="3"/>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5120" w:type="dxa"/>
            <w:vAlign w:val="bottom"/>
            <w:gridSpan w:val="10"/>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4"/>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4760" w:type="dxa"/>
            <w:vAlign w:val="bottom"/>
            <w:gridSpan w:val="9"/>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50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Evaluation of our Disclosure Controls and Procedures</w:t>
              </w:r>
            </w:hyperlink>
          </w:p>
        </w:tc>
        <w:tc>
          <w:tcPr>
            <w:tcW w:w="4120" w:type="dxa"/>
            <w:vAlign w:val="bottom"/>
            <w:gridSpan w:val="8"/>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20" w:type="dxa"/>
            <w:vAlign w:val="bottom"/>
            <w:gridSpan w:val="11"/>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 OTHER INFORMATION</w:t>
              </w:r>
            </w:hyperlink>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1660" w:type="dxa"/>
            <w:vAlign w:val="bottom"/>
            <w:gridSpan w:val="3"/>
          </w:tcPr>
          <w:p>
            <w:pPr>
              <w:spacing w:after="0"/>
              <w:rPr>
                <w:sz w:val="24"/>
                <w:szCs w:val="24"/>
                <w:color w:val="auto"/>
              </w:rPr>
            </w:pPr>
          </w:p>
        </w:tc>
        <w:tc>
          <w:tcPr>
            <w:tcW w:w="2860" w:type="dxa"/>
            <w:vAlign w:val="bottom"/>
            <w:tcBorders>
              <w:top w:val="single" w:sz="8" w:color="0000EE"/>
            </w:tcBorders>
            <w:gridSpan w:val="5"/>
          </w:tcPr>
          <w:p>
            <w:pPr>
              <w:spacing w:after="0"/>
              <w:rPr>
                <w:sz w:val="24"/>
                <w:szCs w:val="24"/>
                <w:color w:val="auto"/>
              </w:rPr>
            </w:pPr>
          </w:p>
        </w:tc>
        <w:tc>
          <w:tcPr>
            <w:tcW w:w="3260" w:type="dxa"/>
            <w:vAlign w:val="bottom"/>
            <w:gridSpan w:val="6"/>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2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8220" w:type="dxa"/>
            <w:vAlign w:val="bottom"/>
            <w:gridSpan w:val="16"/>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318"/>
        </w:trPr>
        <w:tc>
          <w:tcPr>
            <w:tcW w:w="1280" w:type="dxa"/>
            <w:vAlign w:val="bottom"/>
            <w:gridSpan w:val="2"/>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Signatures</w:t>
              </w:r>
            </w:hyperlink>
          </w:p>
        </w:tc>
        <w:tc>
          <w:tcPr>
            <w:tcW w:w="6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898"/>
        </w:trPr>
        <w:tc>
          <w:tcPr>
            <w:tcW w:w="8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gridSpan w:val="10"/>
          </w:tcPr>
          <w:p>
            <w:pPr>
              <w:ind w:left="43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0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37,240</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incentive receivable</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Tax incentive receivable, net of current portion</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103,884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2,056</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80"/>
              <w:spacing w:after="0"/>
              <w:rPr>
                <w:sz w:val="20"/>
                <w:szCs w:val="20"/>
                <w:color w:val="auto"/>
              </w:rPr>
            </w:pPr>
            <w:r>
              <w:rPr>
                <w:rFonts w:ascii="Arial" w:cs="Arial" w:eastAsia="Arial" w:hAnsi="Arial"/>
                <w:sz w:val="18"/>
                <w:szCs w:val="18"/>
                <w:color w:val="auto"/>
              </w:rPr>
              <w:t>Operating lease liabilities, current</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payable, current</w:t>
            </w:r>
          </w:p>
        </w:tc>
        <w:tc>
          <w:tcPr>
            <w:tcW w:w="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payable, long-term</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8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60" w:type="dxa"/>
            <w:vAlign w:val="bottom"/>
          </w:tcPr>
          <w:p>
            <w:pPr>
              <w:ind w:left="380"/>
              <w:spacing w:after="0"/>
              <w:rPr>
                <w:sz w:val="20"/>
                <w:szCs w:val="20"/>
                <w:color w:val="auto"/>
              </w:rPr>
            </w:pPr>
            <w:r>
              <w:rPr>
                <w:rFonts w:ascii="Arial" w:cs="Arial" w:eastAsia="Arial" w:hAnsi="Arial"/>
                <w:sz w:val="18"/>
                <w:szCs w:val="18"/>
                <w:color w:val="auto"/>
              </w:rPr>
              <w:t>Preferred stock; $0.001 par value per share; 5,000,000 shares authorized as of</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520"/>
              <w:spacing w:after="0"/>
              <w:rPr>
                <w:sz w:val="20"/>
                <w:szCs w:val="20"/>
                <w:color w:val="auto"/>
              </w:rPr>
            </w:pPr>
            <w:r>
              <w:rPr>
                <w:rFonts w:ascii="Arial" w:cs="Arial" w:eastAsia="Arial" w:hAnsi="Arial"/>
                <w:sz w:val="18"/>
                <w:szCs w:val="18"/>
                <w:color w:val="auto"/>
              </w:rPr>
              <w:t>June 30, 2019 and December 31, 2018; no shares issued and outstanding as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20"/>
              <w:spacing w:after="0"/>
              <w:rPr>
                <w:sz w:val="20"/>
                <w:szCs w:val="20"/>
                <w:color w:val="auto"/>
              </w:rPr>
            </w:pPr>
            <w:r>
              <w:rPr>
                <w:rFonts w:ascii="Arial" w:cs="Arial" w:eastAsia="Arial" w:hAnsi="Arial"/>
                <w:sz w:val="18"/>
                <w:szCs w:val="18"/>
                <w:color w:val="auto"/>
              </w:rPr>
              <w:t>of June 30, 2019 and December 31, 2018</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$0.001 par value per share; 115,000,000 shares authorized as of</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June 30, 2019 and December 31, 2018; 37,326,895 and 37,287,221 shares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issued and outstanding as of June 30, 2019 and December 31, 2018,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448,258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444,212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(376,186)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(350,945)</w:t>
            </w:r>
          </w:p>
        </w:tc>
        <w:tc>
          <w:tcPr>
            <w:tcW w:w="0" w:type="dxa"/>
            <w:vAlign w:val="bottom"/>
          </w:tcPr>
          <w:p>
            <w:pPr>
              <w:spacing w:after="0"/>
              <w:rPr>
                <w:sz w:val="1"/>
                <w:szCs w:val="1"/>
                <w:color w:val="auto"/>
              </w:rPr>
            </w:pPr>
          </w:p>
        </w:tc>
      </w:tr>
      <w:tr>
        <w:trPr>
          <w:trHeight w:val="230"/>
        </w:trPr>
        <w:tc>
          <w:tcPr>
            <w:tcW w:w="706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ind w:left="760"/>
              <w:spacing w:after="0"/>
              <w:rPr>
                <w:sz w:val="20"/>
                <w:szCs w:val="20"/>
                <w:color w:val="auto"/>
              </w:rPr>
            </w:pPr>
            <w:r>
              <w:rPr>
                <w:rFonts w:ascii="Arial" w:cs="Arial" w:eastAsia="Arial" w:hAnsi="Arial"/>
                <w:sz w:val="18"/>
                <w:szCs w:val="18"/>
                <w:color w:val="auto"/>
              </w:rPr>
              <w:t>Total stockholders' equity</w:t>
            </w:r>
          </w:p>
        </w:tc>
        <w:tc>
          <w:tcPr>
            <w:tcW w:w="8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72,139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8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103,884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(978)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Foreign currency transaction (losses) gains, net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(15,775)</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(25,241)</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37,326,853</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27,565,064</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37,320,436</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27,553,394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(12,129)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(15,775)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(25,241)</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(31,731)</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(12,100)</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Balances as of December 31, 2017</w:t>
      </w:r>
    </w:p>
    <w:p>
      <w:pPr>
        <w:spacing w:after="0" w:line="27" w:lineRule="exact"/>
        <w:rPr>
          <w:sz w:val="20"/>
          <w:szCs w:val="20"/>
          <w:color w:val="auto"/>
        </w:rPr>
      </w:pPr>
    </w:p>
    <w:p>
      <w:pPr>
        <w:ind w:left="140" w:hanging="127"/>
        <w:spacing w:after="0" w:line="291" w:lineRule="auto"/>
        <w:rPr>
          <w:sz w:val="20"/>
          <w:szCs w:val="20"/>
          <w:color w:val="auto"/>
        </w:rPr>
      </w:pPr>
      <w:r>
        <w:rPr>
          <w:rFonts w:ascii="Arial" w:cs="Arial" w:eastAsia="Arial" w:hAnsi="Arial"/>
          <w:sz w:val="15"/>
          <w:szCs w:val="15"/>
          <w:color w:val="auto"/>
        </w:rPr>
        <w:t>Issuance of common stock upon exercise of stock options and employee stock purchase plan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Accumulated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Additional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Other</w:t>
            </w:r>
          </w:p>
        </w:tc>
        <w:tc>
          <w:tcPr>
            <w:tcW w:w="180" w:type="dxa"/>
            <w:vAlign w:val="bottom"/>
          </w:tcPr>
          <w:p>
            <w:pPr>
              <w:spacing w:after="0"/>
              <w:rPr>
                <w:sz w:val="18"/>
                <w:szCs w:val="18"/>
                <w:color w:val="auto"/>
              </w:rPr>
            </w:pPr>
          </w:p>
        </w:tc>
        <w:tc>
          <w:tcPr>
            <w:tcW w:w="880" w:type="dxa"/>
            <w:vAlign w:val="bottom"/>
          </w:tcPr>
          <w:p>
            <w:pPr>
              <w:jc w:val="center"/>
              <w:ind w:right="115"/>
              <w:spacing w:after="0"/>
              <w:rPr>
                <w:sz w:val="20"/>
                <w:szCs w:val="20"/>
                <w:color w:val="auto"/>
              </w:rPr>
            </w:pPr>
            <w:r>
              <w:rPr>
                <w:rFonts w:ascii="Arial" w:cs="Arial" w:eastAsia="Arial" w:hAnsi="Arial"/>
                <w:sz w:val="17"/>
                <w:szCs w:val="17"/>
                <w:b w:val="1"/>
                <w:bCs w:val="1"/>
                <w:color w:val="auto"/>
                <w:w w:val="88"/>
              </w:rPr>
              <w:t>Total</w:t>
            </w:r>
          </w:p>
        </w:tc>
      </w:tr>
      <w:tr>
        <w:trPr>
          <w:trHeight w:val="222"/>
        </w:trPr>
        <w:tc>
          <w:tcPr>
            <w:tcW w:w="2480" w:type="dxa"/>
            <w:vAlign w:val="bottom"/>
            <w:gridSpan w:val="5"/>
          </w:tcPr>
          <w:p>
            <w:pPr>
              <w:ind w:left="560"/>
              <w:spacing w:after="0"/>
              <w:rPr>
                <w:sz w:val="20"/>
                <w:szCs w:val="20"/>
                <w:color w:val="auto"/>
              </w:rPr>
            </w:pPr>
            <w:r>
              <w:rPr>
                <w:rFonts w:ascii="Arial" w:cs="Arial" w:eastAsia="Arial" w:hAnsi="Arial"/>
                <w:sz w:val="17"/>
                <w:szCs w:val="17"/>
                <w:b w:val="1"/>
                <w:bCs w:val="1"/>
                <w:color w:val="auto"/>
              </w:rPr>
              <w:t>Common Stock</w:t>
            </w:r>
          </w:p>
        </w:tc>
        <w:tc>
          <w:tcPr>
            <w:tcW w:w="1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Paid-in</w:t>
            </w:r>
          </w:p>
        </w:tc>
        <w:tc>
          <w:tcPr>
            <w:tcW w:w="12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9"/>
              </w:rPr>
              <w:t>Accumulated</w:t>
            </w:r>
          </w:p>
        </w:tc>
        <w:tc>
          <w:tcPr>
            <w:tcW w:w="13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89"/>
              </w:rPr>
              <w:t>Comprehensive</w:t>
            </w:r>
          </w:p>
        </w:tc>
        <w:tc>
          <w:tcPr>
            <w:tcW w:w="10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Stockholders'</w:t>
            </w:r>
          </w:p>
        </w:tc>
      </w:tr>
      <w:tr>
        <w:trPr>
          <w:trHeight w:val="214"/>
        </w:trPr>
        <w:tc>
          <w:tcPr>
            <w:tcW w:w="102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Shares</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92"/>
              </w:rPr>
              <w:t>Par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Capital</w:t>
            </w:r>
          </w:p>
        </w:tc>
        <w:tc>
          <w:tcPr>
            <w:tcW w:w="1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2"/>
              </w:rPr>
              <w:t>Deficit</w:t>
            </w:r>
          </w:p>
        </w:tc>
        <w:tc>
          <w:tcPr>
            <w:tcW w:w="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Loss</w:t>
            </w:r>
          </w:p>
        </w:tc>
        <w:tc>
          <w:tcPr>
            <w:tcW w:w="180" w:type="dxa"/>
            <w:vAlign w:val="bottom"/>
          </w:tcPr>
          <w:p>
            <w:pPr>
              <w:spacing w:after="0"/>
              <w:rPr>
                <w:sz w:val="18"/>
                <w:szCs w:val="18"/>
                <w:color w:val="auto"/>
              </w:rPr>
            </w:pPr>
          </w:p>
        </w:tc>
        <w:tc>
          <w:tcPr>
            <w:tcW w:w="880" w:type="dxa"/>
            <w:vAlign w:val="bottom"/>
          </w:tcPr>
          <w:p>
            <w:pPr>
              <w:jc w:val="center"/>
              <w:ind w:right="115"/>
              <w:spacing w:after="0"/>
              <w:rPr>
                <w:sz w:val="20"/>
                <w:szCs w:val="20"/>
                <w:color w:val="auto"/>
              </w:rPr>
            </w:pPr>
            <w:r>
              <w:rPr>
                <w:rFonts w:ascii="Arial" w:cs="Arial" w:eastAsia="Arial" w:hAnsi="Arial"/>
                <w:sz w:val="17"/>
                <w:szCs w:val="17"/>
                <w:b w:val="1"/>
                <w:bCs w:val="1"/>
                <w:color w:val="auto"/>
                <w:w w:val="92"/>
              </w:rPr>
              <w:t>Equity</w:t>
            </w:r>
          </w:p>
        </w:tc>
      </w:tr>
      <w:tr>
        <w:trPr>
          <w:trHeight w:val="210"/>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27,489,457</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367,825</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(289,577)</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78,217</w:t>
            </w:r>
          </w:p>
        </w:tc>
      </w:tr>
      <w:tr>
        <w:trPr>
          <w:trHeight w:val="306"/>
        </w:trPr>
        <w:tc>
          <w:tcPr>
            <w:tcW w:w="1020" w:type="dxa"/>
            <w:vAlign w:val="bottom"/>
          </w:tcPr>
          <w:p>
            <w:pPr>
              <w:jc w:val="right"/>
              <w:spacing w:after="0"/>
              <w:rPr>
                <w:sz w:val="20"/>
                <w:szCs w:val="20"/>
                <w:color w:val="auto"/>
              </w:rPr>
            </w:pPr>
            <w:r>
              <w:rPr>
                <w:rFonts w:ascii="Arial" w:cs="Arial" w:eastAsia="Arial" w:hAnsi="Arial"/>
                <w:sz w:val="17"/>
                <w:szCs w:val="17"/>
                <w:color w:val="auto"/>
              </w:rPr>
              <w:t>63,893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-339725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3400" w:space="500"/>
            <w:col w:w="75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Issuance of restricted stock units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Unrealized gain on marketable securities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 loss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Balances as of March 31, 2018</w:t>
      </w:r>
    </w:p>
    <w:p>
      <w:pPr>
        <w:spacing w:after="0" w:line="27" w:lineRule="exact"/>
        <w:rPr>
          <w:sz w:val="20"/>
          <w:szCs w:val="20"/>
          <w:color w:val="auto"/>
        </w:rPr>
      </w:pPr>
    </w:p>
    <w:p>
      <w:pPr>
        <w:ind w:left="140" w:hanging="127"/>
        <w:spacing w:after="0" w:line="305" w:lineRule="auto"/>
        <w:rPr>
          <w:sz w:val="20"/>
          <w:szCs w:val="20"/>
          <w:color w:val="auto"/>
        </w:rPr>
      </w:pPr>
      <w:r>
        <w:rPr>
          <w:rFonts w:ascii="Arial" w:cs="Arial" w:eastAsia="Arial" w:hAnsi="Arial"/>
          <w:sz w:val="15"/>
          <w:szCs w:val="15"/>
          <w:color w:val="auto"/>
        </w:rPr>
        <w:t>Issuance of common stock upon exercise of stock options and employee stock purchase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right"/>
              <w:spacing w:after="0"/>
              <w:rPr>
                <w:sz w:val="20"/>
                <w:szCs w:val="20"/>
                <w:color w:val="auto"/>
              </w:rPr>
            </w:pPr>
            <w:r>
              <w:rPr>
                <w:rFonts w:ascii="Arial" w:cs="Arial" w:eastAsia="Arial" w:hAnsi="Arial"/>
                <w:sz w:val="17"/>
                <w:szCs w:val="17"/>
                <w:color w:val="auto"/>
              </w:rPr>
              <w:t>5,533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6"/>
        </w:trPr>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2,466</w:t>
            </w:r>
          </w:p>
        </w:tc>
        <w:tc>
          <w:tcPr>
            <w:tcW w:w="40" w:type="dxa"/>
            <w:vAlign w:val="bottom"/>
          </w:tcPr>
          <w:p>
            <w:pPr>
              <w:spacing w:after="0"/>
              <w:rPr>
                <w:sz w:val="18"/>
                <w:szCs w:val="18"/>
                <w:color w:val="auto"/>
              </w:rPr>
            </w:pPr>
          </w:p>
        </w:tc>
      </w:tr>
      <w:tr>
        <w:trPr>
          <w:trHeight w:val="216"/>
        </w:trPr>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8"/>
                <w:szCs w:val="18"/>
                <w:color w:val="auto"/>
              </w:rPr>
            </w:pPr>
          </w:p>
        </w:tc>
      </w:tr>
      <w:tr>
        <w:trPr>
          <w:trHeight w:val="218"/>
        </w:trPr>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(15,956)</w:t>
            </w:r>
          </w:p>
        </w:tc>
        <w:tc>
          <w:tcPr>
            <w:tcW w:w="5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(15,956)</w:t>
            </w:r>
          </w:p>
        </w:tc>
      </w:tr>
      <w:tr>
        <w:trPr>
          <w:trHeight w:val="212"/>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27,558,883</w:t>
            </w:r>
          </w:p>
        </w:tc>
        <w:tc>
          <w:tcPr>
            <w:tcW w:w="220" w:type="dxa"/>
            <w:vAlign w:val="bottom"/>
          </w:tcPr>
          <w:p>
            <w:pPr>
              <w:spacing w:after="0"/>
              <w:rPr>
                <w:sz w:val="18"/>
                <w:szCs w:val="18"/>
                <w:color w:val="auto"/>
              </w:rPr>
            </w:pP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7"/>
                <w:szCs w:val="17"/>
                <w:color w:val="auto"/>
                <w:w w:val="84"/>
              </w:rPr>
              <w:t>28</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370,551</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(305,533)</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64,997</w:t>
            </w:r>
          </w:p>
        </w:tc>
        <w:tc>
          <w:tcPr>
            <w:tcW w:w="40" w:type="dxa"/>
            <w:vAlign w:val="bottom"/>
          </w:tcPr>
          <w:p>
            <w:pPr>
              <w:spacing w:after="0"/>
              <w:rPr>
                <w:sz w:val="18"/>
                <w:szCs w:val="18"/>
                <w:color w:val="auto"/>
              </w:rPr>
            </w:pPr>
          </w:p>
        </w:tc>
      </w:tr>
      <w:tr>
        <w:trPr>
          <w:trHeight w:val="306"/>
        </w:trPr>
        <w:tc>
          <w:tcPr>
            <w:tcW w:w="1020" w:type="dxa"/>
            <w:vAlign w:val="bottom"/>
          </w:tcPr>
          <w:p>
            <w:pPr>
              <w:jc w:val="right"/>
              <w:spacing w:after="0"/>
              <w:rPr>
                <w:sz w:val="20"/>
                <w:szCs w:val="20"/>
                <w:color w:val="auto"/>
              </w:rPr>
            </w:pPr>
            <w:r>
              <w:rPr>
                <w:rFonts w:ascii="Arial" w:cs="Arial" w:eastAsia="Arial" w:hAnsi="Arial"/>
                <w:sz w:val="17"/>
                <w:szCs w:val="17"/>
                <w:color w:val="auto"/>
              </w:rPr>
              <w:t>15,643</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86</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-889000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-614045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-339725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3400" w:space="500"/>
            <w:col w:w="75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Issuance of restricted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4,463</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ind w:left="3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Unrealized gain on marketable securities</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3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Net loss</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(15,775)</w:t>
            </w:r>
          </w:p>
        </w:tc>
        <w:tc>
          <w:tcPr>
            <w:tcW w:w="5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(15,775)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Balances as of June 30, 2018</w:t>
            </w: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27,578,989</w:t>
            </w:r>
          </w:p>
        </w:tc>
        <w:tc>
          <w:tcPr>
            <w:tcW w:w="220" w:type="dxa"/>
            <w:vAlign w:val="bottom"/>
            <w:vMerge w:val="continue"/>
            <w:shd w:val="clear" w:color="auto" w:fill="CFF0FC"/>
          </w:tcPr>
          <w:p>
            <w:pPr>
              <w:spacing w:after="0"/>
              <w:rPr>
                <w:sz w:val="18"/>
                <w:szCs w:val="18"/>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ind w:left="380"/>
              <w:spacing w:after="0"/>
              <w:rPr>
                <w:sz w:val="20"/>
                <w:szCs w:val="20"/>
                <w:color w:val="auto"/>
              </w:rPr>
            </w:pPr>
            <w:r>
              <w:rPr>
                <w:rFonts w:ascii="Arial" w:cs="Arial" w:eastAsia="Arial" w:hAnsi="Arial"/>
                <w:sz w:val="17"/>
                <w:szCs w:val="17"/>
                <w:color w:val="auto"/>
                <w:w w:val="84"/>
              </w:rPr>
              <w:t>28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373,308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(321,308)</w:t>
            </w:r>
          </w:p>
        </w:tc>
        <w:tc>
          <w:tcPr>
            <w:tcW w:w="220" w:type="dxa"/>
            <w:vAlign w:val="bottom"/>
            <w:vMerge w:val="continue"/>
            <w:shd w:val="clear" w:color="auto" w:fill="CFF0FC"/>
          </w:tcPr>
          <w:p>
            <w:pPr>
              <w:spacing w:after="0"/>
              <w:rPr>
                <w:sz w:val="18"/>
                <w:szCs w:val="18"/>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Balances as of December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37,287,221</w:t>
            </w:r>
          </w:p>
        </w:tc>
        <w:tc>
          <w:tcPr>
            <w:tcW w:w="680" w:type="dxa"/>
            <w:vAlign w:val="bottom"/>
            <w:gridSpan w:val="2"/>
            <w:shd w:val="clear" w:color="auto" w:fill="CFF0FC"/>
          </w:tcPr>
          <w:p>
            <w:pPr>
              <w:jc w:val="right"/>
              <w:ind w:right="305"/>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ind w:left="380"/>
              <w:spacing w:after="0"/>
              <w:rPr>
                <w:sz w:val="20"/>
                <w:szCs w:val="20"/>
                <w:color w:val="auto"/>
              </w:rPr>
            </w:pPr>
            <w:r>
              <w:rPr>
                <w:rFonts w:ascii="Arial" w:cs="Arial" w:eastAsia="Arial" w:hAnsi="Arial"/>
                <w:sz w:val="17"/>
                <w:szCs w:val="17"/>
                <w:color w:val="auto"/>
                <w:w w:val="84"/>
              </w:rPr>
              <w:t>37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444,212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(350,945)</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(33)</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93,271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Issuance of common stock upon exercise of stock</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31,391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2"/>
            <w:vMerge w:val="restart"/>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95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vMerge w:val="restart"/>
          </w:tcPr>
          <w:p>
            <w:pPr>
              <w:ind w:left="120"/>
              <w:spacing w:after="0"/>
              <w:rPr>
                <w:sz w:val="20"/>
                <w:szCs w:val="20"/>
                <w:color w:val="auto"/>
              </w:rPr>
            </w:pPr>
            <w:r>
              <w:rPr>
                <w:rFonts w:ascii="Arial" w:cs="Arial" w:eastAsia="Arial" w:hAnsi="Arial"/>
                <w:sz w:val="17"/>
                <w:szCs w:val="17"/>
                <w:color w:val="auto"/>
              </w:rPr>
              <w:t>options and employee stock purchase plan</w:t>
            </w: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Issuance of restricted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4,467</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3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Unrealized gain on marketable securities</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3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Net loss</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(13,112)</w:t>
            </w:r>
          </w:p>
        </w:tc>
        <w:tc>
          <w:tcPr>
            <w:tcW w:w="5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(13,112)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Balances as of March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37,323,079</w:t>
            </w:r>
          </w:p>
        </w:tc>
        <w:tc>
          <w:tcPr>
            <w:tcW w:w="2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7"/>
                <w:szCs w:val="17"/>
                <w:color w:val="auto"/>
                <w:w w:val="84"/>
              </w:rPr>
              <w:t>37</w:t>
            </w: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446,383</w:t>
            </w: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(364,057)</w:t>
            </w:r>
          </w:p>
        </w:tc>
        <w:tc>
          <w:tcPr>
            <w:tcW w:w="2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82,364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Issuance of restricted stock units</w:t>
            </w:r>
          </w:p>
        </w:tc>
        <w:tc>
          <w:tcPr>
            <w:tcW w:w="1020" w:type="dxa"/>
            <w:vAlign w:val="bottom"/>
          </w:tcPr>
          <w:p>
            <w:pPr>
              <w:jc w:val="right"/>
              <w:spacing w:after="0"/>
              <w:rPr>
                <w:sz w:val="20"/>
                <w:szCs w:val="20"/>
                <w:color w:val="auto"/>
              </w:rPr>
            </w:pPr>
            <w:r>
              <w:rPr>
                <w:rFonts w:ascii="Arial" w:cs="Arial" w:eastAsia="Arial" w:hAnsi="Arial"/>
                <w:sz w:val="17"/>
                <w:szCs w:val="17"/>
                <w:color w:val="auto"/>
              </w:rPr>
              <w:t>3,816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3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Unrealized gain on marketable securities</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3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(12,129)</w:t>
            </w:r>
          </w:p>
        </w:tc>
        <w:tc>
          <w:tcPr>
            <w:tcW w:w="5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(12,129)</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7"/>
                <w:szCs w:val="17"/>
                <w:b w:val="1"/>
                <w:bCs w:val="1"/>
                <w:color w:val="auto"/>
              </w:rPr>
              <w:t>Balances as of June 30,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37,326,895</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color w:val="auto"/>
                <w:w w:val="84"/>
              </w:rPr>
              <w:t>37</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448,258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(376,186)</w:t>
            </w: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(25,241)</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(31,731)</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expense</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Unrealized foreign currency transaction losses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Premium on marketable securities, net</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Amortization of discount on marketable securities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Tax incentive receivable</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0"/>
        </w:trPr>
        <w:tc>
          <w:tcPr>
            <w:tcW w:w="710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(23,247)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(26,577)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and maturities of marketable securities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(61,143)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(35,871)</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Payments for leasehold improvements on right-of-use assets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investing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Repayments of notes payable</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exercise of common stock options and employee stock purchase plan</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public offering costs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provided by financing activities</w:t>
            </w:r>
          </w:p>
        </w:tc>
        <w:tc>
          <w:tcPr>
            <w:tcW w:w="7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(10,752)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cash equivalents and restricted cash at beginning of period</w:t>
            </w:r>
          </w:p>
        </w:tc>
        <w:tc>
          <w:tcPr>
            <w:tcW w:w="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cash equivalents and restricted cash at end of period</w:t>
            </w:r>
          </w:p>
        </w:tc>
        <w:tc>
          <w:tcPr>
            <w:tcW w:w="7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172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Public offering costs included in accounts payable and accrued expenses and other</w:t>
            </w:r>
          </w:p>
        </w:tc>
        <w:tc>
          <w:tcPr>
            <w:tcW w:w="17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7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20"/>
                <w:szCs w:val="20"/>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48"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 xml:space="preserve">Zafgen, Inc., or the Company, was incorporated on November 22, 2005 under the laws of the State of Delaware. The Company is a clinical-stage biopharmaceutical company leveraging its proprietary knowledge of the methionine aminopeptidase 2 (“MetAP2”) pathway to develop novel therapies for patients affected by a range of complex metabolic diseases. Zafgen has pioneered the study of MetAP2 inhibitors in both common and rare metabolic disorders, and its current disease areas of focus are type 2 diabetes, Prader-Willi syndrome (“PWS”) and liver diseases. The Company’s lead product candidate, ZGN-1061, is a MetAP2 inhibitor in Phase 2 clinical development with unique properties that maximize impact on metabolic parameters relevant to the treatment of type 2 diabetes and other related metabolic disorders. In November 2018, the Company received a letter from the U.S. Food and Drug Administration (“FDA”) placing a full clinical hold on the investigational new drug application (“IND”) for the first U.S. clinical trial of ZGN-1061. The FDA cited the possibility of cardiovascular (“CV”) safety risk based on the Company’s prior compound. In July 2019, the Company reached agreement with the FDA 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study design and protocol to establish relevant safety margins for ZGN-1061. The study is designed to translate the data from the Company’s newly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of human endothelial cells and assessment of tissue factor expression with endothelial cells, along with other supportive assays, as it works toward resolving the full clinical hold. Topline data from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study are expected by the end of 2019. In January 2018, the Company announced advancement of its highly optimized MetAP2 development candidate ZGN-1258, and in the first quarter of 2018, initiated IND enabling nonclinical efforts for evaluation of ZGN-1258 in the treatment of people affected by PWS. In March 2019, the Company announced its decision to suspend plans to file an IND for ZGN-1258 in order to evaluate ZGN-1258 following an unexpected finding in muscle tissue in rodent toxicology studies. In the fourth quarter of 2018, the Company announced that ZGN-1345, an oral dosed MetAP2 inhibitor specifically targeting the liver, has been formally advanced to development candidate stage.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nonclinical and clinical testing and regulatory approval, prior to commercialization. These efforts require significant amounts of additional capital, adequate personnel infrastructure, and extensive compliance-reporting capabilities.</w:t>
      </w:r>
    </w:p>
    <w:p>
      <w:pPr>
        <w:spacing w:after="0" w:line="16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Each of the Company’s product candidates is in the research and development stage. There can be no assurance that the Company’s research and development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The Company has incurred losses and negative cash flows from operations since its inception. As of June 30, 2019, the Company had an accumulated deficit of $376.2 million. From its inception through June 30, 2019, the Company received net proceeds of $397.9 million from the sales of redeemable convertible preferred stock, the issuance of convertible promissory notes, the proceeds from its initial public offering (“IPO”) in June 2014 and its follow-on offerings in January 2015 and July 2018. On July 2, 2018, the Company completed a public offering of its common stock, which resulted in the sale of 9,200,000 shares at a price of $7.50 per share, resulting in net proceeds of approximately $64.6 million after deducting underwriting discounts and commissions, as well as offering costs. As disclosed in Note 5 to the condensed consolidated financial statements, the Company has a term loan with an aggregate principal balance of $18.2 million as of June 30, 2019. The loan agreement requires that the Company maintain certain minimum liquidity at all times, which as of June 30, 2019, was approximately $19.1 million. If the minimum liquidity covenant is not met, the Company may be required to repay the loan prior to scheduled maturity dates. Until such time, if ever, as the Company can generate substantial product revenue, the Company expects to finance its cash needs through a combination of equity offerings, debt financings, collaborations, strategic alliances, licensing arrangements and other sources of funding.</w:t>
      </w:r>
    </w:p>
    <w:p>
      <w:pPr>
        <w:spacing w:after="0" w:line="193"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Based on its current operating plans, the Company believes its cash, cash equivalents and marketable securities of $91.7 million as of June 30, 2019 will be sufficient to fund its anticipated level of operations, capital expenditures and satisfy debt repayments for a period of at least 12 months from the issuance date of this Quarterly Report. The Company expects to generate operating losses for the foreseeable future. If the Company is unable to raise additional funds through equity or debt financings,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8" w:name="page9"/>
    <w:bookmarkEnd w:id="8"/>
    <w:p>
      <w:pPr>
        <w:ind w:right="820" w:firstLine="518"/>
        <w:spacing w:after="0" w:line="342"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Zafgen Securities Corporation, Zafgen Australia Pty Limited, and Zafgen Animal Health, LLC. All intercompany balances and transactions have been eliminated.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condensed consolidated balance sheet as of December 31, 2018 was derived from the Company’s audited financial statements, but does not include all disclosures required by accounting principles generally accepted in the United States of America (“GAAP”). The accompanying unaudited condensed consolidated financial statements as of June 30, 2019 and for the three and six months ended June 30, 2019 and 2018,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2018, included in the Company’s Annual Report on Form 10-K, for the year ended December 31, 2018, on file with the SEC. In the opinion of management, all adjustments, consisting only of normal recurring adjustments necessary for a fair statement of the Company’s condensed consolidated financial position as of June 30, 2019 and condensed consolidated results of operations and cash flows for the three and six months ended June 30, 2019 and 2018 have been made. The results of operations for the three and six months ended June 30, 2019 are not necessarily indicative of the results of operations that may be expected for the year ending December 31, 2019.</w:t>
      </w:r>
    </w:p>
    <w:p>
      <w:pPr>
        <w:spacing w:after="0" w:line="273" w:lineRule="exact"/>
        <w:rPr>
          <w:sz w:val="20"/>
          <w:szCs w:val="20"/>
          <w:color w:val="auto"/>
        </w:rPr>
      </w:pPr>
    </w:p>
    <w:p>
      <w:pPr>
        <w:ind w:right="782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200" w:firstLine="51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classifies its marketable securities as available-for-sale. Accordingly, these investments are recorded at fair value, which is based on quoted market prices. Unrealized gains and losses are reported as a component of accumulated other comprehensive income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Basic net loss per share is computed by dividing the net loss attributable to common stockholders by the weighted average number of common shares outstanding for the period. 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 w:name="page10"/>
    <w:bookmarkEnd w:id="9"/>
    <w:p>
      <w:pPr>
        <w:ind w:right="140" w:firstLine="518"/>
        <w:spacing w:after="0" w:line="342" w:lineRule="auto"/>
        <w:rPr>
          <w:sz w:val="20"/>
          <w:szCs w:val="20"/>
          <w:color w:val="auto"/>
        </w:rPr>
      </w:pPr>
      <w:r>
        <w:rPr>
          <w:rFonts w:ascii="Arial" w:cs="Arial" w:eastAsia="Arial" w:hAnsi="Arial"/>
          <w:sz w:val="16"/>
          <w:szCs w:val="16"/>
          <w:color w:val="auto"/>
        </w:rPr>
        <w:t>The Company excluded the following common stock equivalents, outstanding as of June 30, 2019 and 2018, from the computation of diluted net loss per share for the three and six months ended June 30, 2019 and 2018 because they had an anti-dilutive impact due to the net loss incurred for the periods:</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6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0"/>
              </w:rPr>
              <w:t>As of June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6,717,144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6,261,528</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common stock</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322,381</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w:t>
            </w:r>
          </w:p>
        </w:tc>
        <w:tc>
          <w:tcPr>
            <w:tcW w:w="8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7,039,525</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6,270,457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the FASB issued ASU No. 2018-11, Leases (Topic 842): </w:t>
      </w:r>
      <w:r>
        <w:rPr>
          <w:rFonts w:ascii="Arial" w:cs="Arial" w:eastAsia="Arial" w:hAnsi="Arial"/>
          <w:sz w:val="18"/>
          <w:szCs w:val="18"/>
          <w:i w:val="1"/>
          <w:iCs w:val="1"/>
          <w:color w:val="auto"/>
        </w:rPr>
        <w:t>Targeted Improvements</w:t>
      </w:r>
      <w:r>
        <w:rPr>
          <w:rFonts w:ascii="Arial" w:cs="Arial" w:eastAsia="Arial" w:hAnsi="Arial"/>
          <w:sz w:val="18"/>
          <w:szCs w:val="18"/>
          <w:color w:val="auto"/>
        </w:rPr>
        <w:t>. The new leasing standards generally require lessees to recognize operating and financing lease liabilities and corresponding right-of-use assets on the consolidated balance sheet and to provide enhanced disclosures surrounding the amount, timing and uncertainty of cash flows arising from leasing arrangements.</w:t>
      </w:r>
    </w:p>
    <w:p>
      <w:pPr>
        <w:spacing w:after="0" w:line="79"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We adopted the new leasing standards using the modified retrospective transition approach, as of January 1, 2019, with no restatement of prior periods or cumulative adjustment to retained earnings. Upon adoption, we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In addition, the Company elected the hindsight practical expedient to determine the lease term for existing leases. The Company elected not to record leases with an initial term of 12 months or less on the balance sheet and recognize the associated lease payments in the consolidated statements of operations on a straight-line basis over the lease term. Upon adoption of the new leasing standards we recognized an operating lease asset of approximately $1.0 million and a corresponding operating lease liability of approximately $1.0 million, which are included in our condensed consolidated balance sheet. The adoption of the new leasing standards did not have an impact on our condensed consolidated statements of income or cash flows.</w:t>
      </w:r>
    </w:p>
    <w:p>
      <w:pPr>
        <w:spacing w:after="0" w:line="8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determine if an arrangement is a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We use the implicit rate when readily determinable and use our incremental borrowing rate when the implicit rate is not readily determinable based upon the information available at the commencement date in determining the present value of the lease payments. Our incremental borrowing rate is determined using a secured borrowing rate for the same currency and term as the associated lease.</w:t>
      </w:r>
    </w:p>
    <w:p>
      <w:pPr>
        <w:spacing w:after="0" w:line="81"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The lease payments used to determine our operating lease assets may include lease incentives, stated rent increases and escalation clauses linked to rates of inflation when determinable and are recognized in our operating lease assets in our condensed consolidated balance sheets.</w:t>
      </w:r>
    </w:p>
    <w:p>
      <w:pPr>
        <w:spacing w:after="0" w:line="16"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Our operating leases are reflected in operating lease right-of-use assets, accrued expenses and in long-term operating lease liabilities in our condensed consolidated balance sheets. Lease expense for minimum lease payments is recognized on a straight-line basis over the lease term.</w:t>
      </w:r>
    </w:p>
    <w:p>
      <w:pPr>
        <w:spacing w:after="0" w:line="38"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 xml:space="preserve">For additional information on the adoption of the new leasing standards, please read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these condensed consolidated financial statements.</w:t>
      </w:r>
    </w:p>
    <w:p>
      <w:pPr>
        <w:spacing w:after="0" w:line="170"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This ASU is intended to simplify aspects of share-based compensation issued to non-employees by making the guidance consistent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employee share-based compensation. This standard was effective for the Company in 2019. The adoption of this guidance had an immaterial impact on the Company’s consolidated financial statements as of and for the three and six months ended June 30, 2019.</w:t>
      </w:r>
    </w:p>
    <w:p>
      <w:pPr>
        <w:spacing w:after="0" w:line="276" w:lineRule="exact"/>
        <w:rPr>
          <w:sz w:val="20"/>
          <w:szCs w:val="20"/>
          <w:color w:val="auto"/>
        </w:rPr>
      </w:pPr>
    </w:p>
    <w:p>
      <w:pPr>
        <w:ind w:right="718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Securities Fair Value Measurements</w:t>
      </w:r>
    </w:p>
    <w:p>
      <w:pPr>
        <w:ind w:right="80" w:firstLine="518"/>
        <w:spacing w:after="0" w:line="259" w:lineRule="auto"/>
        <w:rPr>
          <w:sz w:val="20"/>
          <w:szCs w:val="20"/>
          <w:color w:val="auto"/>
        </w:rPr>
      </w:pPr>
      <w:r>
        <w:rPr>
          <w:rFonts w:ascii="Arial" w:cs="Arial" w:eastAsia="Arial" w:hAnsi="Arial"/>
          <w:sz w:val="18"/>
          <w:szCs w:val="18"/>
          <w:color w:val="auto"/>
        </w:rPr>
        <w:t>The following tables present information about the Company’s financial assets that have been measured at fair value as of June 30, 2019 and December 31, 2018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line="279" w:lineRule="auto"/>
        <w:rPr>
          <w:sz w:val="20"/>
          <w:szCs w:val="20"/>
          <w:color w:val="auto"/>
        </w:rPr>
      </w:pPr>
      <w:r>
        <w:rPr>
          <w:rFonts w:ascii="Arial" w:cs="Arial" w:eastAsia="Arial" w:hAnsi="Arial"/>
          <w:sz w:val="17"/>
          <w:szCs w:val="17"/>
          <w:color w:val="auto"/>
        </w:rPr>
        <w:t>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three and six months ended June 30, 2019 and the year ended December 31, 2018, there were no transfers between Level 1 and Level 2 financial assets.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Company’s cash equivalents and marketable securities as of June 30, 2019 and December 31, 2018:</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96"/>
              <w:spacing w:after="0"/>
              <w:rPr>
                <w:sz w:val="20"/>
                <w:szCs w:val="20"/>
                <w:color w:val="auto"/>
              </w:rPr>
            </w:pPr>
            <w:r>
              <w:rPr>
                <w:rFonts w:ascii="Arial" w:cs="Arial" w:eastAsia="Arial" w:hAnsi="Arial"/>
                <w:sz w:val="14"/>
                <w:szCs w:val="14"/>
                <w:b w:val="1"/>
                <w:bCs w:val="1"/>
                <w:color w:val="auto"/>
                <w:w w:val="92"/>
              </w:rPr>
              <w:t>June 30,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jc w:val="center"/>
              <w:ind w:right="9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1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18,578</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U.S. Government securities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Total cash equivalents</w:t>
            </w:r>
          </w:p>
        </w:tc>
        <w:tc>
          <w:tcPr>
            <w:tcW w:w="8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31,795</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18,578</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Total marketable securities</w:t>
            </w:r>
          </w:p>
        </w:tc>
        <w:tc>
          <w:tcPr>
            <w:tcW w:w="8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54,418</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86,213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18,578</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67,635</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center"/>
              <w:ind w:right="96"/>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equivalents: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6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Money market funds</w:t>
            </w:r>
          </w:p>
        </w:tc>
        <w:tc>
          <w:tcPr>
            <w:tcW w:w="11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40,231</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40,231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cash equivalents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45,210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marketable securities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113,945</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40,231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73,714</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carrying amounts reflected in the condensed consolidated balance sheets for tax incentive receivable, accounts payable, and accrued expenses and other approximate fair value due to their short-term maturities. The carrying value of the Company’s outstanding notes payable approximates fair value (a Level 2 fair value measurement), reflecting interest rates currently available to the Company.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marketable securities as of June 30, 2019 and December 31, 2018:</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208"/>
              <w:spacing w:after="0"/>
              <w:rPr>
                <w:sz w:val="20"/>
                <w:szCs w:val="20"/>
                <w:color w:val="auto"/>
              </w:rPr>
            </w:pPr>
            <w:r>
              <w:rPr>
                <w:rFonts w:ascii="Arial" w:cs="Arial" w:eastAsia="Arial" w:hAnsi="Arial"/>
                <w:sz w:val="14"/>
                <w:szCs w:val="14"/>
                <w:b w:val="1"/>
                <w:bCs w:val="1"/>
                <w:color w:val="auto"/>
                <w:w w:val="92"/>
              </w:rPr>
              <w:t>June 30, 2019</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88"/>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left="207"/>
              <w:spacing w:after="0" w:line="147"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left="187"/>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4"/>
          </w:tcPr>
          <w:p>
            <w:pPr>
              <w:jc w:val="center"/>
              <w:ind w:left="208"/>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 (due within 1 year)</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20,211</w:t>
            </w:r>
          </w:p>
        </w:tc>
        <w:tc>
          <w:tcPr>
            <w:tcW w:w="106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96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Corporate bonds (due within 1 year)</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15,930</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20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bonds (due after 1 year)</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U.S. Government securities (due within 1 year)</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16,738</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left="208"/>
              <w:spacing w:after="0"/>
              <w:rPr>
                <w:sz w:val="20"/>
                <w:szCs w:val="20"/>
                <w:color w:val="auto"/>
              </w:rPr>
            </w:pPr>
            <w:r>
              <w:rPr>
                <w:rFonts w:ascii="Arial" w:cs="Arial" w:eastAsia="Arial" w:hAnsi="Arial"/>
                <w:sz w:val="14"/>
                <w:szCs w:val="14"/>
                <w:b w:val="1"/>
                <w:bCs w:val="1"/>
                <w:color w:val="auto"/>
                <w:w w:val="91"/>
              </w:rPr>
              <w:t>December 31, 2018</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88"/>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left="207"/>
              <w:spacing w:after="0" w:line="147"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left="187"/>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4"/>
          </w:tcPr>
          <w:p>
            <w:pPr>
              <w:jc w:val="center"/>
              <w:ind w:left="20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Commercial paper (due within 1 year)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38,921</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96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bonds (due within 1 year)</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U.S. Government securities (due within 1 year)</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3,995</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consisted of the following as of June 30, 2019 and December 31, 2018:</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4"/>
          </w:tcPr>
          <w:p>
            <w:pPr>
              <w:jc w:val="right"/>
              <w:ind w:right="715"/>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On December 29, 2017, the Company entered into a loan and security agreement with Silicon Valley Bank (the “Term Loan”). The Term Loan provided for borrowings of $20.0 million. On December 29, 2017, the Company received proceeds of $20.0 million from the issuance of a promissory note. The promissory note issued under the Term Loan is collateralized by substantially all of the Company’s personal property, other than its intellectual property.</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Upon entering into the Term Loan, the Company became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at June 30, 2019 was 5.5%. In addition, a final payment equal to 8.0% of the Term Loan is due upon the earlier of the maturity date, acceleration of the Term Loan or prepayment of all or part of the Term Loan. The Company accrues the final payment amount of $1.6 million, to outstanding debt by charges to interest expense using the effective-interest method from the date of issuance through the maturity date.</w:t>
      </w:r>
    </w:p>
    <w:p>
      <w:pPr>
        <w:spacing w:after="0" w:line="19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Additionally, the Company, as borrower, is required to maintain a minimum cash, cash equivalents and marketable securities balance at Silicon Valley Bank of no less than 105% of the total outstanding principal balance of the Term Loan, which was $19.1 million and $21.0 million as of June 30, 2019 and December 31, 2018,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ind w:right="80" w:firstLine="518"/>
        <w:spacing w:after="0" w:line="279" w:lineRule="auto"/>
        <w:rPr>
          <w:sz w:val="20"/>
          <w:szCs w:val="20"/>
          <w:color w:val="auto"/>
        </w:rPr>
      </w:pPr>
      <w:r>
        <w:rPr>
          <w:rFonts w:ascii="Arial" w:cs="Arial" w:eastAsia="Arial" w:hAnsi="Arial"/>
          <w:sz w:val="17"/>
          <w:szCs w:val="17"/>
          <w:color w:val="auto"/>
        </w:rPr>
        <w:t>Further, from 45 days after the Term Loan was entered in, the Company has met its obligation to maintain a balance of unrestricted cash, cash equivalents and marketable securities at Silicon Valley Bank in an amount not less than the greater of (i) $55.0 million and (ii) sixty-five percent (65%) of all the Company’s cash, cash equivalents and marketable securities. If the Company does not meet this requirement it will not be considered an event of default provided it immediately secures 87.5% of the principal balance in a restricted cash account.</w:t>
      </w:r>
    </w:p>
    <w:p>
      <w:pPr>
        <w:spacing w:after="0" w:line="171"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There are negative covenants restricting the Company’s activities, including limitations on dispositions, mergers or acquisitions; encumbering or granting a security interest in its intellectual property; incurring indebtedness or liens; paying dividends; making certain investments; limiting the aggregate value of cash maintained by its Australian subsidiary not to exceed $4.0 million and certain other business transactions.</w:t>
      </w:r>
    </w:p>
    <w:p>
      <w:pPr>
        <w:spacing w:after="0" w:line="166"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Term Loan also includes events of default, the occurrence and continuation of any of which provides the lenders the right to exercise remedies against the Company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2019 and December 31, 2018, notes payable consist of the following:</w:t>
      </w:r>
    </w:p>
    <w:p>
      <w:pPr>
        <w:spacing w:after="0" w:line="325"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20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00" w:type="dxa"/>
            <w:vAlign w:val="bottom"/>
            <w:vMerge w:val="continue"/>
          </w:tcPr>
          <w:p>
            <w:pPr>
              <w:spacing w:after="0"/>
              <w:rPr>
                <w:sz w:val="19"/>
                <w:szCs w:val="19"/>
                <w:color w:val="auto"/>
              </w:rPr>
            </w:pPr>
          </w:p>
        </w:tc>
        <w:tc>
          <w:tcPr>
            <w:tcW w:w="46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Notes payable</w:t>
            </w:r>
          </w:p>
        </w:tc>
        <w:tc>
          <w:tcPr>
            <w:tcW w:w="3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auto"/>
              </w:rPr>
              <w:t>Less: current portion</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4"/>
          </w:tcPr>
          <w:p>
            <w:pPr>
              <w:jc w:val="right"/>
              <w:ind w:right="230"/>
              <w:spacing w:after="0"/>
              <w:rPr>
                <w:sz w:val="20"/>
                <w:szCs w:val="20"/>
                <w:color w:val="auto"/>
              </w:rPr>
            </w:pPr>
            <w:r>
              <w:rPr>
                <w:rFonts w:ascii="Arial" w:cs="Arial" w:eastAsia="Arial" w:hAnsi="Arial"/>
                <w:sz w:val="18"/>
                <w:szCs w:val="18"/>
                <w:color w:val="auto"/>
              </w:rPr>
              <w:t>(7,273)</w:t>
            </w:r>
          </w:p>
        </w:tc>
        <w:tc>
          <w:tcPr>
            <w:tcW w:w="28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64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10,908</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14,545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640" w:type="dxa"/>
            <w:vAlign w:val="bottom"/>
            <w:tcBorders>
              <w:bottom w:val="single" w:sz="8" w:color="CFF0FC"/>
            </w:tcBorders>
            <w:gridSpan w:val="5"/>
          </w:tcPr>
          <w:p>
            <w:pPr>
              <w:spacing w:after="0"/>
              <w:rPr>
                <w:sz w:val="20"/>
                <w:szCs w:val="20"/>
                <w:color w:val="auto"/>
              </w:rPr>
            </w:pPr>
            <w:r>
              <w:rPr>
                <w:rFonts w:ascii="Arial" w:cs="Arial" w:eastAsia="Arial" w:hAnsi="Arial"/>
                <w:sz w:val="18"/>
                <w:szCs w:val="18"/>
                <w:color w:val="auto"/>
              </w:rPr>
              <w:t>Accretion related to final payment</w:t>
            </w: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64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Notes payable, long term</w:t>
            </w: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11,853</w:t>
            </w: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15,185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6"/>
            <w:vMerge w:val="restart"/>
          </w:tcPr>
          <w:p>
            <w:pPr>
              <w:spacing w:after="0"/>
              <w:rPr>
                <w:sz w:val="20"/>
                <w:szCs w:val="20"/>
                <w:color w:val="auto"/>
              </w:rPr>
            </w:pPr>
            <w:r>
              <w:rPr>
                <w:rFonts w:ascii="Arial" w:cs="Arial" w:eastAsia="Arial" w:hAnsi="Arial"/>
                <w:sz w:val="18"/>
                <w:szCs w:val="18"/>
                <w:color w:val="auto"/>
                <w:w w:val="91"/>
              </w:rPr>
              <w:t>As of June 30, 2019, the estimated future principal payments due are as follows:</w:t>
            </w: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gridSpan w:val="6"/>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Year Ending December 31,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2019 (July - December)</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gridSpan w:val="4"/>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3,636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7,273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8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7,272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spacing w:after="0"/>
              <w:rPr>
                <w:sz w:val="19"/>
                <w:szCs w:val="19"/>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18,181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During the three and six months ended June 30, 2019, the Company recognized $0.5 million and $1.0 million, respectively, of interest expense related to the Term Loan. During the three and six months ended June 30, 2018, the Company recognized $0.5 million and $0.9 million, respectively, of interest expense related to the Term Loan. The effective annual interest rate as of June 30, 2019 on the outstanding debt under the Term Loan was approximately 9.9%.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Awards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Company’s 2014 Stock Option and Incentive Plan, as amended (the “2014 Plan”) provides for the grant of stock options, stock appreciation rights, restricted stock awards, restricted stock units, unrestricted stock awards, performance-share awards, cash-based awards and dividend equivalent rights to employees, members of the board of directors and consultants of the Company. The Company has outstanding stock-based awards under its Amended and Restated 2006 Stock Option Plan but is no longer granting awards under this plan. The Company also issues common stock under its 2014 Employee Stock Purchase Plan (the “ESPP”). As of June 30, 2019, 2,332,985 shares are available for grant under the 2014 Plan, including 1,491,488 shares automatically added to the 2014 Plan on January 1, 2019, and 109,120 shares are available for issuance to participating employees under the ESPP.</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220" w:firstLine="518"/>
        <w:spacing w:after="0" w:line="342" w:lineRule="auto"/>
        <w:rPr>
          <w:sz w:val="20"/>
          <w:szCs w:val="20"/>
          <w:color w:val="auto"/>
        </w:rPr>
      </w:pPr>
      <w:r>
        <w:rPr>
          <w:rFonts w:ascii="Arial" w:cs="Arial" w:eastAsia="Arial" w:hAnsi="Arial"/>
          <w:sz w:val="16"/>
          <w:szCs w:val="16"/>
          <w:color w:val="auto"/>
        </w:rPr>
        <w:t>The Company recorded stock-based compensation expense related to stock options, restricted common stock and the ESPP in the following expense categories within its condensed consolidated statements of operations for the three and six months ended June 30, 2019 and 2018 as follows:</w:t>
      </w:r>
    </w:p>
    <w:p>
      <w:pPr>
        <w:spacing w:after="0" w:line="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137"/>
              <w:spacing w:after="0"/>
              <w:rPr>
                <w:sz w:val="20"/>
                <w:szCs w:val="20"/>
                <w:color w:val="auto"/>
              </w:rPr>
            </w:pPr>
            <w:r>
              <w:rPr>
                <w:rFonts w:ascii="Arial" w:cs="Arial" w:eastAsia="Arial" w:hAnsi="Arial"/>
                <w:sz w:val="14"/>
                <w:szCs w:val="14"/>
                <w:b w:val="1"/>
                <w:bCs w:val="1"/>
                <w:color w:val="auto"/>
                <w:w w:val="94"/>
              </w:rPr>
              <w:t>Three Months Ended June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5"/>
          </w:tcPr>
          <w:p>
            <w:pPr>
              <w:ind w:left="460"/>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w:t>
            </w:r>
          </w:p>
        </w:tc>
        <w:tc>
          <w:tcPr>
            <w:tcW w:w="60" w:type="dxa"/>
            <w:vAlign w:val="bottom"/>
            <w:shd w:val="clear" w:color="auto" w:fill="CFF0FC"/>
          </w:tcPr>
          <w:p>
            <w:pPr>
              <w:spacing w:after="0"/>
              <w:rPr>
                <w:sz w:val="19"/>
                <w:szCs w:val="19"/>
                <w:color w:val="auto"/>
              </w:rPr>
            </w:pPr>
          </w:p>
        </w:tc>
      </w:tr>
      <w:tr>
        <w:trPr>
          <w:trHeight w:val="230"/>
        </w:trPr>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60" w:type="dxa"/>
            <w:vAlign w:val="bottom"/>
            <w:tcBorders>
              <w:bottom w:val="single" w:sz="8" w:color="CFF0FC"/>
            </w:tcBorders>
          </w:tcPr>
          <w:p>
            <w:pPr>
              <w:spacing w:after="0"/>
              <w:rPr>
                <w:sz w:val="19"/>
                <w:szCs w:val="19"/>
                <w:color w:val="auto"/>
              </w:rPr>
            </w:pPr>
          </w:p>
        </w:tc>
      </w:tr>
      <w:tr>
        <w:trPr>
          <w:trHeight w:val="223"/>
        </w:trPr>
        <w:tc>
          <w:tcPr>
            <w:tcW w:w="3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70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40" w:firstLine="518"/>
        <w:spacing w:after="0" w:line="257" w:lineRule="auto"/>
        <w:rPr>
          <w:sz w:val="20"/>
          <w:szCs w:val="20"/>
          <w:color w:val="auto"/>
        </w:rPr>
      </w:pPr>
      <w:r>
        <w:rPr>
          <w:rFonts w:ascii="Arial" w:cs="Arial" w:eastAsia="Arial" w:hAnsi="Arial"/>
          <w:sz w:val="18"/>
          <w:szCs w:val="18"/>
          <w:color w:val="auto"/>
        </w:rPr>
        <w:t>On February 12, 2019, the Company entered into a lease with Shigo Center Plaza Owners, LLC, for approximately 17,705 square feet of office space for a new headquarters located at 3 Center Plaza, Boston, Massachusetts. The lease has a term of 124 months with an option to extend the lease for 60 additional months. As part of the agreement the Company is required to maintain a letter of credit, which upon signing was $1.3 million and is classified as restricted cash within the condensed consolidated financial statements. Under the lease agreement, the Company will pay monthly rent beginning four months after June 21, 2019 with total lease payments over the initial term of $10.7 million.</w:t>
      </w:r>
    </w:p>
    <w:p>
      <w:pPr>
        <w:spacing w:after="0" w:line="8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also had a lease for office space in Boston, Massachusetts, effective as of July 28, 2014, with a term expiring July 31, 2020. On June 28, 2019, the Company amended the lease to terminate the lease effective as of June 30, 2019.</w:t>
      </w:r>
    </w:p>
    <w:p>
      <w:pPr>
        <w:spacing w:after="0" w:line="62"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In March 2015, the Company entered into an operating lease for additional office space in Boston, Massachusetts, effective as of April 15, 2015, with a term expiring on July 31, 2020, and an option to extend this lease for three additional years. In addition, with the landlord’s consent, the Company has subleased 2,976 square feet of office space in Boston, Massachusetts to an unrelated third party beginning on January 1, 2017 and expiring on June 30, 2020, and the Company expects to receive approximately $0.1 million in sublease rental income from July 1, 2019 through the end of the sublease term.</w:t>
      </w:r>
    </w:p>
    <w:p>
      <w:pPr>
        <w:spacing w:after="0" w:line="46"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October 2015, the Company entered into an operating lease for office space in San Diego, California, effective as of October 1, 2015, with a term extended to expire on December 31, 2024.</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future minimum lease payments for the next five years and thereafter as of June 30, 2019, are as follows:</w:t>
      </w:r>
    </w:p>
    <w:p>
      <w:pPr>
        <w:spacing w:after="0" w:line="22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Operating</w:t>
            </w:r>
          </w:p>
        </w:tc>
      </w:tr>
      <w:tr>
        <w:trPr>
          <w:trHeight w:val="156"/>
        </w:trPr>
        <w:tc>
          <w:tcPr>
            <w:tcW w:w="16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2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Leases</w:t>
            </w:r>
          </w:p>
        </w:tc>
      </w:tr>
      <w:tr>
        <w:trPr>
          <w:trHeight w:val="230"/>
        </w:trPr>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2019 (July - December)</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2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19"/>
                <w:szCs w:val="19"/>
                <w:color w:val="auto"/>
              </w:rPr>
            </w:pPr>
          </w:p>
        </w:tc>
      </w:tr>
      <w:tr>
        <w:trPr>
          <w:trHeight w:val="230"/>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8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2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9"/>
                <w:szCs w:val="19"/>
                <w:color w:val="auto"/>
              </w:rPr>
            </w:pPr>
          </w:p>
        </w:tc>
      </w:tr>
      <w:tr>
        <w:trPr>
          <w:trHeight w:val="230"/>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8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80" w:type="dxa"/>
            <w:vAlign w:val="bottom"/>
            <w:tcBorders>
              <w:bottom w:val="single" w:sz="8" w:color="CFF0FC"/>
            </w:tcBorders>
          </w:tcPr>
          <w:p>
            <w:pPr>
              <w:spacing w:after="0"/>
              <w:rPr>
                <w:sz w:val="19"/>
                <w:szCs w:val="19"/>
                <w:color w:val="auto"/>
              </w:rPr>
            </w:pPr>
          </w:p>
        </w:tc>
      </w:tr>
      <w:tr>
        <w:trPr>
          <w:trHeight w:val="223"/>
        </w:trPr>
        <w:tc>
          <w:tcPr>
            <w:tcW w:w="4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11,611</w:t>
            </w:r>
          </w:p>
        </w:tc>
        <w:tc>
          <w:tcPr>
            <w:tcW w:w="80" w:type="dxa"/>
            <w:vAlign w:val="bottom"/>
            <w:shd w:val="clear" w:color="auto" w:fill="CFF0FC"/>
          </w:tcPr>
          <w:p>
            <w:pPr>
              <w:spacing w:after="0"/>
              <w:rPr>
                <w:sz w:val="19"/>
                <w:szCs w:val="19"/>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(4,564)</w:t>
            </w:r>
          </w:p>
        </w:tc>
      </w:tr>
      <w:tr>
        <w:trPr>
          <w:trHeight w:val="223"/>
        </w:trPr>
        <w:tc>
          <w:tcPr>
            <w:tcW w:w="40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Under the prior lease guidance minimum rental commitments under non-cancelable leases for each of the next five years and thereafter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Operating</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6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Leases</w:t>
            </w: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900" w:type="dxa"/>
            <w:vAlign w:val="bottom"/>
            <w:shd w:val="clear" w:color="auto" w:fill="CFF0FC"/>
          </w:tcPr>
          <w:p>
            <w:pPr>
              <w:spacing w:after="0"/>
              <w:rPr>
                <w:sz w:val="19"/>
                <w:szCs w:val="19"/>
                <w:color w:val="auto"/>
              </w:rPr>
            </w:pPr>
          </w:p>
        </w:tc>
        <w:tc>
          <w:tcPr>
            <w:tcW w:w="3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9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90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90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5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40" w:type="dxa"/>
            <w:vAlign w:val="bottom"/>
            <w:vMerge w:val="restart"/>
          </w:tcPr>
          <w:p>
            <w:pPr>
              <w:jc w:val="right"/>
              <w:ind w:right="199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4" w:name="page15"/>
    <w:bookmarkEnd w:id="14"/>
    <w:p>
      <w:pPr>
        <w:ind w:firstLine="476"/>
        <w:spacing w:after="0" w:line="259" w:lineRule="auto"/>
        <w:rPr>
          <w:sz w:val="20"/>
          <w:szCs w:val="20"/>
          <w:color w:val="auto"/>
        </w:rPr>
      </w:pPr>
      <w:r>
        <w:rPr>
          <w:rFonts w:ascii="Arial" w:cs="Arial" w:eastAsia="Arial" w:hAnsi="Arial"/>
          <w:sz w:val="18"/>
          <w:szCs w:val="18"/>
          <w:color w:val="auto"/>
        </w:rPr>
        <w:t>During the three months ended June 30, 2019 we incurred $0.1 million of lease expense associated with research and development and less than $0.1 million of lease expense associated with general and administrative activities. During the six months ended June 30, 2019 we incurred $0.2 million of lease expense associated with research and development and $0.1 million of lease expense associated with general and administrative activities. The components of lease expense are as follows:</w:t>
      </w:r>
    </w:p>
    <w:p>
      <w:pPr>
        <w:spacing w:after="0" w:line="287"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r>
      <w:tr>
        <w:trPr>
          <w:trHeight w:val="162"/>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Ended 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Ended June 30,</w:t>
            </w:r>
          </w:p>
        </w:tc>
      </w:tr>
      <w:tr>
        <w:trPr>
          <w:trHeight w:val="171"/>
        </w:trPr>
        <w:tc>
          <w:tcPr>
            <w:tcW w:w="4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3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Short-term lease cost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r>
      <w:tr>
        <w:trPr>
          <w:trHeight w:val="223"/>
        </w:trPr>
        <w:tc>
          <w:tcPr>
            <w:tcW w:w="424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During the three months ended June 30, 2018 the Company recognized $0.1 million of rental expense related to office space. During the six months ended June 30, 2018 the Company recognized $0.2 million of rental expense related to office space.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presentation in our condensed consolidated balance sheet information related to our operating leases:</w:t>
      </w:r>
    </w:p>
    <w:p>
      <w:pPr>
        <w:spacing w:after="0" w:line="336"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As of June 30,</w:t>
            </w:r>
          </w:p>
        </w:tc>
      </w:tr>
      <w:tr>
        <w:trPr>
          <w:trHeight w:val="171"/>
        </w:trPr>
        <w:tc>
          <w:tcPr>
            <w:tcW w:w="5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7,342</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ind w:left="120"/>
              <w:spacing w:after="0"/>
              <w:rPr>
                <w:sz w:val="20"/>
                <w:szCs w:val="20"/>
                <w:color w:val="auto"/>
              </w:rPr>
            </w:pPr>
            <w:r>
              <w:rPr>
                <w:rFonts w:ascii="Arial" w:cs="Arial" w:eastAsia="Arial" w:hAnsi="Arial"/>
                <w:sz w:val="18"/>
                <w:szCs w:val="18"/>
                <w:color w:val="auto"/>
              </w:rPr>
              <w:t>Operating lease liabilities, short-term</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 long-term</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6,429</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remaining lease term and weighted average discount rate of our operating leases are as follows:</w:t>
      </w:r>
    </w:p>
    <w:p>
      <w:pPr>
        <w:spacing w:after="0" w:line="325"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As of June 30,</w:t>
      </w:r>
    </w:p>
    <w:p>
      <w:pPr>
        <w:spacing w:after="0" w:line="11"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2019</w:t>
      </w:r>
    </w:p>
    <w:tbl>
      <w:tblPr>
        <w:tblLayout w:type="fixed"/>
        <w:tblInd w:w="520" w:type="dxa"/>
        <w:tblCellMar>
          <w:top w:w="0" w:type="dxa"/>
          <w:left w:w="0" w:type="dxa"/>
          <w:bottom w:w="0" w:type="dxa"/>
          <w:right w:w="0" w:type="dxa"/>
        </w:tblCellMar>
      </w:tblPr>
      <w:tr>
        <w:trPr>
          <w:trHeight w:val="223"/>
        </w:trPr>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w w:val="85"/>
              </w:rPr>
              <w:t>9.97</w:t>
            </w:r>
          </w:p>
        </w:tc>
        <w:tc>
          <w:tcPr>
            <w:tcW w:w="180" w:type="dxa"/>
            <w:vAlign w:val="bottom"/>
            <w:tcBorders>
              <w:top w:val="single" w:sz="8" w:color="CFF0FC"/>
            </w:tcBorders>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gridSpan w:val="3"/>
          </w:tcPr>
          <w:p>
            <w:pPr>
              <w:ind w:left="180"/>
              <w:spacing w:after="0"/>
              <w:rPr>
                <w:sz w:val="20"/>
                <w:szCs w:val="20"/>
                <w:color w:val="auto"/>
              </w:rPr>
            </w:pPr>
            <w:r>
              <w:rPr>
                <w:rFonts w:ascii="Arial" w:cs="Arial" w:eastAsia="Arial" w:hAnsi="Arial"/>
                <w:sz w:val="18"/>
                <w:szCs w:val="18"/>
                <w:color w:val="auto"/>
                <w:w w:val="93"/>
              </w:rPr>
              <w:t>11.1%</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6080" w:type="dxa"/>
            <w:vAlign w:val="bottom"/>
            <w:gridSpan w:val="3"/>
          </w:tcPr>
          <w:p>
            <w:pPr>
              <w:spacing w:after="0"/>
              <w:rPr>
                <w:sz w:val="20"/>
                <w:szCs w:val="20"/>
                <w:color w:val="auto"/>
              </w:rPr>
            </w:pPr>
            <w:r>
              <w:rPr>
                <w:rFonts w:ascii="Arial" w:cs="Arial" w:eastAsia="Arial" w:hAnsi="Arial"/>
                <w:sz w:val="18"/>
                <w:szCs w:val="18"/>
                <w:color w:val="auto"/>
              </w:rPr>
              <w:t>Supplemental cash flow information related to leases was as follow:</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3"/>
        </w:trPr>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r>
      <w:tr>
        <w:trPr>
          <w:trHeight w:val="162"/>
        </w:trPr>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 June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Ended June 30,</w:t>
            </w:r>
          </w:p>
        </w:tc>
      </w:tr>
      <w:tr>
        <w:trPr>
          <w:trHeight w:val="171"/>
        </w:trPr>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r>
      <w:tr>
        <w:trPr>
          <w:trHeight w:val="156"/>
        </w:trPr>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r>
      <w:tr>
        <w:trPr>
          <w:trHeight w:val="230"/>
        </w:trPr>
        <w:tc>
          <w:tcPr>
            <w:tcW w:w="64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440" w:type="dxa"/>
            <w:vAlign w:val="bottom"/>
            <w:gridSpan w:val="2"/>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Investing cash flows from operating leases</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6,518</w:t>
            </w:r>
          </w:p>
        </w:tc>
        <w:tc>
          <w:tcPr>
            <w:tcW w:w="80" w:type="dxa"/>
            <w:vAlign w:val="bottom"/>
            <w:shd w:val="clear" w:color="auto" w:fill="CFF0FC"/>
          </w:tcPr>
          <w:p>
            <w:pPr>
              <w:spacing w:after="0"/>
              <w:rPr>
                <w:sz w:val="19"/>
                <w:szCs w:val="19"/>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147" w:lineRule="exact"/>
        <w:rPr>
          <w:sz w:val="20"/>
          <w:szCs w:val="20"/>
          <w:color w:val="auto"/>
        </w:rPr>
      </w:pPr>
    </w:p>
    <w:p>
      <w:pPr>
        <w:ind w:right="1080" w:firstLine="518"/>
        <w:spacing w:after="0" w:line="277" w:lineRule="auto"/>
        <w:rPr>
          <w:sz w:val="20"/>
          <w:szCs w:val="20"/>
          <w:color w:val="auto"/>
        </w:rPr>
      </w:pPr>
      <w:r>
        <w:rPr>
          <w:rFonts w:ascii="Arial" w:cs="Arial" w:eastAsia="Arial" w:hAnsi="Arial"/>
          <w:sz w:val="18"/>
          <w:szCs w:val="18"/>
          <w:color w:val="auto"/>
        </w:rPr>
        <w:t>As of June 30, 2019, the Company is obligated to make additional milestone payments of up to $12.3 million upon reaching certain pre-commercialization milestones, such as clinical trials and government approvals (including the FDA, approval of a New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ind w:right="80"/>
        <w:spacing w:after="0" w:line="259" w:lineRule="auto"/>
        <w:rPr>
          <w:sz w:val="20"/>
          <w:szCs w:val="20"/>
          <w:color w:val="auto"/>
        </w:rPr>
      </w:pPr>
      <w:r>
        <w:rPr>
          <w:rFonts w:ascii="Arial" w:cs="Arial" w:eastAsia="Arial" w:hAnsi="Arial"/>
          <w:sz w:val="18"/>
          <w:szCs w:val="18"/>
          <w:color w:val="auto"/>
        </w:rPr>
        <w:t>Drug application (“NDA”), and up to $12.5 million upon reaching certain product commercialization milestones related to the development of beloranib. Under one of the license agreements, the Company is also obligated to pay up to $1.3 million with respect to each subsequent licensed product, if any, that is a new chemical entity. In addition, the Company will owe single-digit royalties on sales of commercial products developed using these licensed technologies, if any.</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were no milestones achieved during the three and six months ended June 30, 2019 and 2018 and the development related to this technology is no longer active. The Company is also obligated to pay to the licensors a percentage of fees received if and when the Company sublicenses the technology. As of June 30, 2019, the Company has not yet developed a commercial product using the licensed technologies and it has not entered into any sublicense agreements for the technologies.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June 30,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The Company is not aware of any material claims as of June 30,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Plan</w:t>
      </w:r>
    </w:p>
    <w:p>
      <w:pPr>
        <w:spacing w:after="0" w:line="121"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Effective January 1, 2018, the Company adopted a 401(k) plan for its employees. Under the terms of the plan, the Company contributes 3% of an employee’s annual base salary, up to a maximum of the annual Internal Revenue Service compensation limits, for all full-time employees.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three and six months ended June 30, 2019, the Company recognized $0.1 million of expense related to its contributions to the 401(k) plan.</w:t>
      </w:r>
    </w:p>
    <w:p>
      <w:pPr>
        <w:spacing w:after="0" w:line="24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During the three and six months ended June 30, 2018 the Company recognized $0.1 million and $0.2 million, respectively, of expense related to its contributions to the 401(k)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color w:val="auto"/>
        </w:rPr>
        <w:t>The Company’s wholly owned subsidiary, Zafgen Australia Pty Limited, which conducts core research and development activities on behalf of the Company, is eligible to receive a 43.5% refundable tax incentive for qualified research and development activities through December 31, 2018 and 41% beginning January 1, 2019. For the three months ended June 30, 2019 and 2018, $0.1 million and $0.4 million, respectively, were recorded as a reduction to research and development expenses in the condensed consolidated statements of operations. For the six months ended June 30, 2019 and 2018, $0.2 million and $1.0 million, respectively, were recorded as a reduction to research and development expenses in the condensed consolidated statements of operations. These amounts represented 41% and 43.5%, respectively, of the Company’s qualified research and development spending in Australia. The refund is denominated in Australian dollars and, therefore, the related receivable is re-measured into U.S. dollars as of each reporting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180"/>
        <w:spacing w:after="0" w:line="276" w:lineRule="auto"/>
        <w:rPr>
          <w:sz w:val="20"/>
          <w:szCs w:val="20"/>
          <w:color w:val="auto"/>
        </w:rPr>
      </w:pPr>
      <w:r>
        <w:rPr>
          <w:rFonts w:ascii="Arial" w:cs="Arial" w:eastAsia="Arial" w:hAnsi="Arial"/>
          <w:sz w:val="17"/>
          <w:szCs w:val="17"/>
          <w:color w:val="auto"/>
        </w:rPr>
        <w:t>date. For the three months ended June 30, 2019 and 2018, the Company recorded in its condensed consolidated statements of operations unrealized foreign currency exchange losses of less than $0.1 million and $0.1 million, respectively, related to this tax incentive receivable. For the six months ended June 30, 2019 and 2018, the Company recorded in its condensed consolidated statements of operations unrealized foreign currency exchange losses of less than $0.1 million and $0.1 million, respectively, related to this tax incentive receivable. As of June 30, 2019 and December 31, 2018, the Company’s tax incentive receivable from the Australian government was $1.7 million and $1.5 million,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8"/>
          <w:szCs w:val="18"/>
          <w:color w:val="auto"/>
        </w:rPr>
        <w:t>On July 24, 2019, the Company implemented plans to reduce its operating expenses and prioritize key resources, with an immediate corporate restructuring as well as other strategies to preserve resources. This restructuring includes a workforce reduction of approximately 25%, in addition to other attrition in 2019. The restructuring charges associated with this restructuring are not expected to be material to the Company's financial position and results of operations.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7" w:name="page18"/>
    <w:bookmarkEnd w:id="17"/>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2018 included in our Annual Report on Form 10-K for the year ended December 31, 2018, or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in our Annual Report, our actual results could differ materially from the results described, in or implied, by these forward-looking statements.</w:t>
      </w:r>
    </w:p>
    <w:p>
      <w:pPr>
        <w:spacing w:after="0" w:line="19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9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including those risks identified under the “Risk Factors” section and in our Annual Report.</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We are a clinical-stage biopharmaceutical company leveraging our proprietary methionine aminopeptidase 2, or MetAP2, biology platform to develop novel therapies for patients affected by complex metabolic diseases. We have pioneered the study of MetAP2 inhibitors in both common and rare metabolic disorders and we are currently advancing programs for type 2 diabetes, Prader-Willi syndrome, or PWS, and liver diseases.</w:t>
      </w:r>
    </w:p>
    <w:p>
      <w:pPr>
        <w:spacing w:after="0" w:line="166"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disease that leads to increased microvascular and macrovascular disease, and as such, increases risk of death from cardiovascular disease, stroke, and kidney failure. Type 2 diabetes is also a leading cause of lower-limb amputation and blindness. Existing treatments, while effective in reducing blood glucose levels, fail to reduce progression of the disease, which is driven by loss of function of insulin-producing beta cells and by loss of sensitivity to insulin action. It is estimated that approximately one-third of patients with type 2 diabetes progress to needing insulin (recently estimated to be a $20.0 billion market based on annual sales). New therapies are needed to improve glycemic control and reduce comorbidities of type 2 diabetes.</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conducted a Phase 2 clinical trial for ZGN-1061 in Australia and New Zealand, which was designed to evaluate safety, tolerability, and glucose-lowering efficacy in patients with type 2 diabetes otherwise poorly controlled with non-insulin agents. The clinical trial met all of its primary objectives at the 1.8 mg dose, which included glycemic control, or change in A1C, and safety and tolerability. The 12-week data demonstrated that treatment with the 1.8 mg dose of ZGN-1061 produced substantially more improvement in A1C than a placebo dose. Progressive and notable reduction in body weight also occurred in patients treated with the highest dose tested (1.8 mg) versus placebo. The data showed a favorable tolerability profile for ZGN-1061, with no treatment-related serious adverse events and no cardiovascular, or CV, safety signals observed. Adverse events were primarily mild or moderate in severity, with no noted trends by dose or type of adverse event reported. In June, we presented the positive full results of our Phase 2 clinical trial for ZGN-1061 in an oral presentation at the American Diabetes Association's 79th Scientific Sessions.</w:t>
      </w:r>
    </w:p>
    <w:p>
      <w:pPr>
        <w:spacing w:after="0" w:line="179"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 xml:space="preserve">In November 2018, we received a letter from the U.S. Food and Drug Administration, or FDA, placing a full clinical hold on the investigational new drug application, or IND, for the first U.S. clinical trial of ZGN-1061. The FDA cited the possibility of CV safety risk based on our prior compound. The ex-U.S. Phase 1 and Phase 2 clinical trials of ZGN-1061 have been completed with no CV safety signals. In July 2019, we reached agreement with the FDA on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study design and protocol to establish relevant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8" w:name="page19"/>
    <w:bookmarkEnd w:id="18"/>
    <w:p>
      <w:pPr>
        <w:jc w:val="both"/>
        <w:ind w:right="20"/>
        <w:spacing w:after="0" w:line="264" w:lineRule="auto"/>
        <w:rPr>
          <w:sz w:val="20"/>
          <w:szCs w:val="20"/>
          <w:color w:val="auto"/>
        </w:rPr>
      </w:pPr>
      <w:r>
        <w:rPr>
          <w:rFonts w:ascii="Arial" w:cs="Arial" w:eastAsia="Arial" w:hAnsi="Arial"/>
          <w:sz w:val="18"/>
          <w:szCs w:val="18"/>
          <w:color w:val="auto"/>
        </w:rPr>
        <w:t xml:space="preserve">safety margins for ZGN-1061. The study is designed to translate the data from our newly developed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of human endothelial cells and assessment of tissue factor expression with endothelial cells, along with other supportive assays, as we work toward resolving the previously announced clinical hold. We expect topline data from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study by the end of 2019.</w:t>
      </w:r>
    </w:p>
    <w:p>
      <w:pPr>
        <w:spacing w:after="0" w:line="181"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We have also initiated development of a second MetAP2 development candidate, ZGN-1258, which is administered by subcutaneous injection. We initiated IND enabling nonclinical activities in the first quarter of 2018, in preparation for filing an IND with the FDA. However, in March 2019, we announced our decision to suspend plans to file an IND for ZGN-1258 in order to evaluate an unexpected finding in muscle tissue in four- and six-month long-term rodent toxicology studies. Nonclinical data showed degeneration in rat muscle tissue to different degrees in both vehicle and dose arms of the studies. The effects were absent from other animal species in long term models, and importantly, this finding is specific to ZGN-1258 and is not related to effects seen with ZGN-1061 or our prior compound. We are taking the necessary steps to assess the unexpected effects we observed. We continue to have a commitment to patients with PWS as well as their families and we will continue to evaluate ZGN-1258, as well as explore other potential options within our portfolio of MetAP2 inhibitors, to address the devastating hyperphagia experienced by those with PWS.</w:t>
      </w:r>
    </w:p>
    <w:p>
      <w:pPr>
        <w:spacing w:after="0" w:line="179"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European Union, or EU, ranges from 1 in 8,000 to 1 in 50,000. 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benefits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 in this patient population.</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launched a co-sponsored four-year natural history study to advance understanding of the medical history of and medical events in people with PWS. PATH for PWS, our natural history study conducted in collaboration with the Foundation for Prader-Willi Research, or FPWR, is independent of any specific development program. The study is over-enrolled, with approximately 700 participants across multiple age groups and other important segments of the PWS community, versus the initial goal of 500 participants. The study is a non-interventional, observational study to evaluate occurrences of serious medical events in PWS, intended to inform development and clinical trial design for potential new treatments for PWS. The ZGN-1258 findings do not impact the conduct of this study or our support of PATH for PWS.</w:t>
      </w:r>
    </w:p>
    <w:p>
      <w:pPr>
        <w:spacing w:after="0" w:line="193"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Both ZGN-1061 and ZGN-1258 were discovered by our researchers as part of a multi-year campaign to identify highly potent and effective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enzyme and display appropriate activity in animal models of type 2 diabetes, obesity and PWS. As noted above, we have observed degeneration in muscle tissue in rodent toxicology studies of ZGN-1258. These effects were absent from other animal species in long term models and this finding has not been observed in ZGN-1061 or any of our other MetAP2 inhibitors and appears to be specific to ZGN-1258.</w:t>
      </w:r>
    </w:p>
    <w:p>
      <w:pPr>
        <w:spacing w:after="0" w:line="165"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In 2017, we also initiated development of a highly optimized MetAP2 development candidate, ZGN-1345, which is administered orally and targets the liver. During the fourth quarter of 2018, we announced that ZGN-1345 was formally advanced to development candidate stage as a differentiated asset within our pipeline. Nonclinical models have shown positive preliminary results in multiple liver disease indications. Further nonclinical studies are ongoing.</w:t>
      </w:r>
    </w:p>
    <w:p>
      <w:pPr>
        <w:spacing w:after="0" w:line="147"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Since our inception in November 2005, we have devoted substantially all of our resources to developing ZGN-1061, ZGN-1258, ZGN-1345, beloranib, ZGN-839 and additional MetAP2 inhibitors, building our intellectual property portfolio, developing manufacturing capabilities, business planning, raising capital, and providing general and administrative support for such operations. From our inception through our initial public offering, or IPO, in June 2014, we received gross proceeds of $104.0 million from sales of redeemable convertible preferred stock and, to a lesser extent, through the issuances of convertible promissory notes. In June 2014, we completed our IPO with net proceeds of $102.7 million after deducting underwriting discounts and commissions paid by us. In January 2015, we completed a follow-on offering of our common stock, with net proceeds of $130.0 million after deducting underwriting discounts and commissions paid by us.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9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On July 24, 2019, we implemented plans to reduce our operating expenses and prioritize key resources, with an immediate corporate restructuring as well as other strategies to preserve resources. This restructuring includes a workforce reduction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color w:val="auto"/>
        </w:rPr>
        <w:t>approximately 25%, in addition to other attrition in 2019. The restructuring charges associated with this restructuring are not expected to be material to our financial position and results of operations.</w:t>
      </w:r>
    </w:p>
    <w:p>
      <w:pPr>
        <w:spacing w:after="0" w:line="170"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We have never generated any revenue and have incurred net losses in each year since our inception. We have an accumulated deficit of $376.2 million as of June 30, 2019. Our net loss was $25.2 million for the six months ended June 30, 2019 and $61.4 million for the year ended December 31, 2018. These losses have resulted principally from costs incurred in connection with in-licensing of technology, research and development activities and general and administrative costs associated with our operations. We expect to incur significant expenses and operating losses for the foreseeable future.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17" w:lineRule="exact"/>
        <w:rPr>
          <w:sz w:val="20"/>
          <w:szCs w:val="20"/>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resolve the FDA-imposed full clinical hold on ZGN-1061;</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17" w:lineRule="exact"/>
        <w:rPr>
          <w:rFonts w:ascii="Arial" w:cs="Arial" w:eastAsia="Arial" w:hAnsi="Arial"/>
          <w:sz w:val="18"/>
          <w:szCs w:val="18"/>
          <w:color w:val="auto"/>
        </w:rPr>
      </w:pPr>
    </w:p>
    <w:p>
      <w:pPr>
        <w:ind w:left="1020" w:right="80" w:hanging="377"/>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ZGN-1258 program in nonclinical and clinical development (if further evaluation warrants development) following an unexpected finding in muscle tissue in rodent toxicology studies;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ZGN-1345 through nonclinical development and into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seek to identify and advance development of additional product candidates into clinical development and indications for our product candidates;</w:t>
      </w:r>
    </w:p>
    <w:p>
      <w:pPr>
        <w:spacing w:after="0" w:line="140" w:lineRule="exact"/>
        <w:rPr>
          <w:rFonts w:ascii="Arial" w:cs="Arial" w:eastAsia="Arial" w:hAnsi="Arial"/>
          <w:sz w:val="16"/>
          <w:szCs w:val="16"/>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equity,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92"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We expect that our existing cash, cash equivalents and marketable securities as of June 30, 2019 will enable us to fund our operating expenses, capital expenditure requirements and minimum liquidity requirements associated with our debt facility for a period of at least one year from the issuance date of this Quarterly Report. See “—Liquidity and Capital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060" w:firstLine="518"/>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62" w:lineRule="exact"/>
        <w:rPr>
          <w:sz w:val="20"/>
          <w:szCs w:val="20"/>
          <w:color w:val="auto"/>
        </w:rPr>
      </w:pPr>
    </w:p>
    <w:p>
      <w:pPr>
        <w:ind w:left="1020" w:right="880" w:hanging="377"/>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117" w:lineRule="exact"/>
        <w:rPr>
          <w:sz w:val="20"/>
          <w:szCs w:val="20"/>
          <w:color w:val="auto"/>
        </w:rPr>
      </w:pPr>
    </w:p>
    <w:p>
      <w:pPr>
        <w:ind w:right="160" w:firstLine="647"/>
        <w:spacing w:after="0" w:line="255" w:lineRule="auto"/>
        <w:rPr>
          <w:sz w:val="20"/>
          <w:szCs w:val="20"/>
          <w:color w:val="auto"/>
        </w:rPr>
      </w:pPr>
      <w:r>
        <w:rPr>
          <w:rFonts w:ascii="Arial" w:cs="Arial" w:eastAsia="Arial" w:hAnsi="Arial"/>
          <w:sz w:val="18"/>
          <w:szCs w:val="18"/>
          <w:color w:val="auto"/>
        </w:rPr>
        <w:t>We are currently primarily focused on developing ZGN-1061, ZGN-1258 (if further evaluation warrants development), ZGN-1345 and other early research activities. We typically use our employee, consultant and infrastructure resources across our research and development programs. We track outsourced development costs by product candidate or development program, but we do not allocate personnel costs, external consultant costs, payments made under our licensing agreements or other internal costs to specific development programs or product candidates unless the payments are specifically identifiable to a development program or product candidate. We record our research and development expenses net of any research and development tax incentives we are entitled to receive from government authorities.</w:t>
      </w:r>
    </w:p>
    <w:p>
      <w:pPr>
        <w:spacing w:after="0" w:line="85" w:lineRule="exact"/>
        <w:rPr>
          <w:sz w:val="20"/>
          <w:szCs w:val="20"/>
          <w:color w:val="auto"/>
        </w:rPr>
      </w:pPr>
    </w:p>
    <w:p>
      <w:pPr>
        <w:ind w:firstLine="647"/>
        <w:spacing w:after="0" w:line="312" w:lineRule="auto"/>
        <w:rPr>
          <w:sz w:val="20"/>
          <w:szCs w:val="20"/>
          <w:color w:val="auto"/>
        </w:rPr>
      </w:pPr>
      <w:r>
        <w:rPr>
          <w:rFonts w:ascii="Arial" w:cs="Arial" w:eastAsia="Arial" w:hAnsi="Arial"/>
          <w:sz w:val="16"/>
          <w:szCs w:val="16"/>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in the foreseeable future as we pursue clinical development of our product candidates.</w:t>
      </w:r>
    </w:p>
    <w:p>
      <w:pPr>
        <w:spacing w:after="0" w:line="39" w:lineRule="exact"/>
        <w:rPr>
          <w:sz w:val="20"/>
          <w:szCs w:val="20"/>
          <w:color w:val="auto"/>
        </w:rPr>
      </w:pPr>
    </w:p>
    <w:p>
      <w:pPr>
        <w:jc w:val="both"/>
        <w:ind w:right="40" w:firstLine="647"/>
        <w:spacing w:after="0" w:line="259" w:lineRule="auto"/>
        <w:rPr>
          <w:sz w:val="20"/>
          <w:szCs w:val="20"/>
          <w:color w:val="auto"/>
        </w:rPr>
      </w:pPr>
      <w:r>
        <w:rPr>
          <w:rFonts w:ascii="Arial" w:cs="Arial" w:eastAsia="Arial" w:hAnsi="Arial"/>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w:t>
      </w:r>
    </w:p>
    <w:p>
      <w:pPr>
        <w:spacing w:after="0" w:line="79" w:lineRule="exact"/>
        <w:rPr>
          <w:sz w:val="20"/>
          <w:szCs w:val="20"/>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333" w:lineRule="exact"/>
        <w:rPr>
          <w:sz w:val="20"/>
          <w:szCs w:val="20"/>
          <w:color w:val="auto"/>
        </w:rPr>
      </w:pPr>
    </w:p>
    <w:p>
      <w:pPr>
        <w:ind w:right="80" w:firstLine="647"/>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 We expect that general and administrative expenses will remain relatively consistent during 2019 as compared to 2018.</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interest earned on our cash equivalents and marketable securities. Our interest income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due to low interest earned on invested balances. Our interest income increased following the July 2, 2018 public offering of our common stock and we anticipate that it will subsequently decrease as we continue to incur operating losses.</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during the three and six months ended June 30, 2019 and 2018 relates to the loan and security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Silicon Valley Bank, or the Term Loan, of $20.0 million,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w:t>
      </w:r>
    </w:p>
    <w:p>
      <w:pPr>
        <w:spacing w:after="0" w:line="187" w:lineRule="exact"/>
        <w:rPr>
          <w:sz w:val="20"/>
          <w:szCs w:val="20"/>
          <w:color w:val="auto"/>
        </w:rPr>
      </w:pPr>
    </w:p>
    <w:p>
      <w:pPr>
        <w:jc w:val="both"/>
        <w:ind w:right="360" w:firstLine="518"/>
        <w:spacing w:after="0" w:line="302" w:lineRule="auto"/>
        <w:rPr>
          <w:sz w:val="20"/>
          <w:szCs w:val="20"/>
          <w:color w:val="auto"/>
        </w:rPr>
      </w:pPr>
      <w:r>
        <w:rPr>
          <w:rFonts w:ascii="Arial" w:cs="Arial" w:eastAsia="Arial" w:hAnsi="Arial"/>
          <w:sz w:val="16"/>
          <w:szCs w:val="16"/>
          <w:i w:val="1"/>
          <w:iCs w:val="1"/>
          <w:color w:val="auto"/>
        </w:rPr>
        <w:t xml:space="preserve">Foreign currency gains (losses), net. </w:t>
      </w:r>
      <w:r>
        <w:rPr>
          <w:rFonts w:ascii="Arial" w:cs="Arial" w:eastAsia="Arial" w:hAnsi="Arial"/>
          <w:sz w:val="16"/>
          <w:szCs w:val="16"/>
          <w:color w:val="auto"/>
        </w:rPr>
        <w:t>Foreign currency transaction gains (losses), net consists of the realized and unrealized gains and losses from</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for federal and state income tax purposes of $55.7 million and $48.0 million, respectively, which begin to expire in 2026 and 2030, respectively. As of December 31, 2018, we had net operating loss carryforwards that were generated after December 31, 2017, of $9.5 million that do not expire. As of December 31, 2018, we also had available tax credit carryforwards for federal and state income tax purposes of $16.6 million and $3.4 million, respectively, which begin to expire in 2026 and 2022,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2019 and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center"/>
              <w:ind w:left="553"/>
              <w:spacing w:after="0"/>
              <w:rPr>
                <w:sz w:val="20"/>
                <w:szCs w:val="20"/>
                <w:color w:val="auto"/>
              </w:rPr>
            </w:pPr>
            <w:r>
              <w:rPr>
                <w:rFonts w:ascii="Arial" w:cs="Arial" w:eastAsia="Arial" w:hAnsi="Arial"/>
                <w:sz w:val="14"/>
                <w:szCs w:val="14"/>
                <w:b w:val="1"/>
                <w:bCs w:val="1"/>
                <w:color w:val="auto"/>
                <w:w w:val="92"/>
              </w:rPr>
              <w:t>Three Months Ended June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13"/>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(Decrease)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Revenue</w:t>
            </w:r>
          </w:p>
        </w:tc>
        <w:tc>
          <w:tcPr>
            <w:tcW w:w="1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(3,637)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140"/>
              <w:spacing w:after="0"/>
              <w:rPr>
                <w:sz w:val="20"/>
                <w:szCs w:val="20"/>
                <w:color w:val="auto"/>
              </w:rPr>
            </w:pPr>
            <w:r>
              <w:rPr>
                <w:rFonts w:ascii="Arial" w:cs="Arial" w:eastAsia="Arial" w:hAnsi="Arial"/>
                <w:sz w:val="18"/>
                <w:szCs w:val="18"/>
                <w:color w:val="auto"/>
              </w:rPr>
              <w:t>Other income (expense):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transaction losses, net</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1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0" w:type="dxa"/>
            <w:vAlign w:val="bottom"/>
            <w:vMerge w:val="restart"/>
          </w:tcPr>
          <w:p>
            <w:pPr>
              <w:jc w:val="right"/>
              <w:ind w:right="65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center"/>
              <w:ind w:left="552"/>
              <w:spacing w:after="0"/>
              <w:rPr>
                <w:sz w:val="20"/>
                <w:szCs w:val="20"/>
                <w:color w:val="auto"/>
              </w:rPr>
            </w:pPr>
            <w:r>
              <w:rPr>
                <w:rFonts w:ascii="Arial" w:cs="Arial" w:eastAsia="Arial" w:hAnsi="Arial"/>
                <w:sz w:val="14"/>
                <w:szCs w:val="14"/>
                <w:b w:val="1"/>
                <w:bCs w:val="1"/>
                <w:color w:val="auto"/>
                <w:w w:val="92"/>
              </w:rPr>
              <w:t>Three Months Ended June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12"/>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(Decrease)</w:t>
            </w: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ZGN-1061:</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Nonclinical and manufacturing</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Clinical trials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(1,122)</w:t>
            </w: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Subtotal</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ZGN-1258</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ZGN-1345</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Discovery and screening</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(511)</w:t>
            </w: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Subtotal</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Unallocated expenses: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Personnel related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Non-cash stock-based 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Consultants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Subtotal</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7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color w:val="auto"/>
        </w:rPr>
        <w:t>Research and development expenses for the three months ended June 30, 2019 decreased $3.6 million compared to the three months ended June 30, 2018. The decrease was primarily due to decreased costs of $2.0 million associated with our ZGN-1258 program, a decrease of $1.1 million related to our ZGN-1061 program, a decrease of $0.5 million associated with discovery and screening as well as a decrease in our unallocated expenses of $1.0 million, partially offset by an increase of $0.9 million associated with our ZGN-1345 program.</w:t>
      </w:r>
    </w:p>
    <w:p>
      <w:pPr>
        <w:spacing w:after="0" w:line="18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Costs associated with our ZGN-1258 program decreased to $0.9 million for the three months ended June 30, 2019 compared to $2.9 million for the same period of 2018, or $2.0 million, primarily due to the suspension of our plans to file an IND for ZGN-1258 in order to evaluate ZGN-1258 following an unexpected finding in muscle tissue in rodent toxicology studies.</w:t>
      </w:r>
    </w:p>
    <w:p>
      <w:pPr>
        <w:spacing w:after="0" w:line="181"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Costs associated with our ZGN-1061 program decreased to $1.6 million for the three months ended June 30, 2019 compared to $2.7 million for the same period of 2018, or $1.1 million, primarily due to a decrease in clinical trial costs of $1.1 million. The majority of the expenses during the three months ended June 30, 2018 were for the Phase 2 clinical trial of ZGN-1061 in Australia and New Zealand, while the expenses during the three months ended June 30, 2019 are for ongoing closeout costs of the additional 1.8 mg dose of the Phase 2 clinical trial that we reported top line results in January 2019.</w:t>
      </w:r>
    </w:p>
    <w:p>
      <w:pPr>
        <w:spacing w:after="0" w:line="15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Unallocated expenses decreased to $4.0 million for the three months ended June 30, 2019 compared to $5.0 million for the same period of 2018 primarily due to a decrease of $0.9 million in non-cash stock-based compensation. Non-cash stock-based compensation has decreased for the three months ended June 30, 2019 primarily due to turnover at the Company.</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Costs associated with our ZGN-1345 program are new as we announced the advancement of this program in the fourth quarter of 2018. Nonclinical models have shown positive preliminary results in multiple liver disease indications. Further nonclinical studies are ongoing. As a result of the timing of the advancement of ZGN-1345 our discovery and screening costs have decreased period over period. Based on our experience in MetAP2 inhibitor development, we are now exploring new chemical approaches to identify new molecules.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555"/>
              <w:spacing w:after="0"/>
              <w:rPr>
                <w:sz w:val="20"/>
                <w:szCs w:val="20"/>
                <w:color w:val="auto"/>
              </w:rPr>
            </w:pPr>
            <w:r>
              <w:rPr>
                <w:rFonts w:ascii="Arial" w:cs="Arial" w:eastAsia="Arial" w:hAnsi="Arial"/>
                <w:sz w:val="14"/>
                <w:szCs w:val="14"/>
                <w:b w:val="1"/>
                <w:bCs w:val="1"/>
                <w:color w:val="auto"/>
                <w:w w:val="92"/>
              </w:rPr>
              <w:t>Three Months Ended June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15"/>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(Decrease)</w:t>
            </w: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General and administrative expenses for the three months ended June 30, 2019 increased $0.3 million compared to the three months ended June 30, 2018. The increase was due to an increase in personnel related costs of $0.2 million and non-cash stock-based compensation of $0.1 million. Personnel related costs and non-cash stock-based compensation increased as a result of new hires during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three months ended June 30, 2019 and 2018 was $0.5 million. The interest expense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and 2018 is primarily due to the Term Loan of $20.0 million, which closed on December 29, 2017. The Term Loan has a variable annual interest rate of 1.25% above the prime rate, as well as a final payment equal to 8.0% of the Term Loan, which is recorded as interest expense over the term of the loan through the maturity date using the effective-interest method.</w:t>
      </w:r>
    </w:p>
    <w:p>
      <w:pPr>
        <w:spacing w:after="0" w:line="18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$0.6 million and $0.3 million for the three months ended June 30, 2019 and 2018,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losses of less than $0.1 million and losses of $0.1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2019 and 2018,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2019 and 2018:</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center"/>
              <w:ind w:left="593"/>
              <w:spacing w:after="0"/>
              <w:rPr>
                <w:sz w:val="20"/>
                <w:szCs w:val="20"/>
                <w:color w:val="auto"/>
              </w:rPr>
            </w:pPr>
            <w:r>
              <w:rPr>
                <w:rFonts w:ascii="Arial" w:cs="Arial" w:eastAsia="Arial" w:hAnsi="Arial"/>
                <w:sz w:val="14"/>
                <w:szCs w:val="14"/>
                <w:b w:val="1"/>
                <w:bCs w:val="1"/>
                <w:color w:val="auto"/>
                <w:w w:val="92"/>
              </w:rPr>
              <w:t>Six Months Ended June 30,</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213"/>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Revenue</w:t>
            </w:r>
          </w:p>
        </w:tc>
        <w:tc>
          <w:tcPr>
            <w:tcW w:w="1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(6,439)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3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Other income (expense):</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Foreign currency transaction gains (losses), net</w:t>
            </w: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1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6,490</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40" w:type="dxa"/>
            <w:vAlign w:val="bottom"/>
            <w:vMerge w:val="restart"/>
          </w:tcPr>
          <w:p>
            <w:pPr>
              <w:jc w:val="right"/>
              <w:ind w:right="650"/>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146"/>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2"/>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ZGN-1061:</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Nonclinical and manufacturing</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(208)</w:t>
            </w:r>
          </w:p>
        </w:tc>
      </w:tr>
      <w:tr>
        <w:trPr>
          <w:trHeight w:val="230"/>
        </w:trPr>
        <w:tc>
          <w:tcPr>
            <w:tcW w:w="2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Clinical trials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(2,988)</w:t>
            </w: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Subtotal</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ZGN-1258</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ZGN-1345</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Discovery and screening</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Subtotal</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Unallocated expenses: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Personnel related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Non-cash stock-based 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(1,541)</w:t>
            </w: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Consultants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Subtotal</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7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Research and development expenses for the six months ended June 30, 2019 decreased $6.4 million compared to the six months ended June 30, 2018. The decrease was primarily due to decreased costs of $3.2 million associated with our ZGN-1061 program, a decrease of $2.3 million related to our ZGN-1258 program, a decrease of $1.0 million associated with discovery and screening as well as a decrease in our unallocated expenses of $1.2 million, partially offset by an increase of $1.3 million associated with our ZGN-1345 program.</w:t>
      </w:r>
    </w:p>
    <w:p>
      <w:pPr>
        <w:spacing w:after="0" w:line="18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Costs associated with our ZGN-1061 program decreased to $3.6 million for the six months ended June 30, 2019 compared to $6.8 million for the same period of 2018, or $3.2 million, primarily due to a decrease in clinical trial costs of $3.0 million. The majority of the expenses during the six months ended</w:t>
      </w:r>
    </w:p>
    <w:p>
      <w:pPr>
        <w:jc w:val="both"/>
        <w:ind w:right="500"/>
        <w:spacing w:after="0" w:line="323" w:lineRule="auto"/>
        <w:rPr>
          <w:sz w:val="20"/>
          <w:szCs w:val="20"/>
          <w:color w:val="auto"/>
        </w:rPr>
      </w:pPr>
      <w:r>
        <w:rPr>
          <w:rFonts w:ascii="Arial" w:cs="Arial" w:eastAsia="Arial" w:hAnsi="Arial"/>
          <w:sz w:val="16"/>
          <w:szCs w:val="16"/>
          <w:color w:val="auto"/>
        </w:rPr>
        <w:t>June 30, 2018 were for the Phase 2 clinical trial of ZGN-1061 in Australia and New Zealand, while the expenses during the six months ended June 30, 2019 are for ongoing closeout costs of the additional 1.8 mg dose of the Phase 2 clinical trial that we reported top line results in January 2019.</w:t>
      </w:r>
    </w:p>
    <w:p>
      <w:pPr>
        <w:spacing w:after="0" w:line="13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Costs associated with our ZGN-1258 program decreased to $2.1 million for the six months ended June 30, 2019 compared to $4.5 million for the same period of 2018, or $2.4 million, primarily due to the suspension of our plans to file an IND for ZGN-1258 in order to evaluate ZGN-1258 following an unexpected finding in muscle tissue in rodent toxicology studies.</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Unallocated expenses decreased to $8.7 million for the six months ended June 30, 2019 compared to $9.9 million for the same period of 2018 primarily due to a decrease of $1.5 million in non-cash stock-based compensation. Non-cash stock-based compensation has decreased for the six months ended June 30, 2019 primarily due to turnover at the Company. This decrease was offset by a $0.3 million increase in consultant costs, which increased due to work performed by consultants to address the clinical hold of ZGN-1061.</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Costs associated with our ZGN-1345 program are new as we announced the advancement of this program in the fourth quarter of 2018. Nonclinical models have shown positive preliminary results in multiple liver disease indications. Further nonclinical studies are ongoing. As a result of the timing of the advancement of ZGN-1345 our discovery and screening costs have decreased period over period. Based on our experience in MetAP2 inhibitor development, we are now exploring new chemical approaches to identify new molecules.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595"/>
              <w:spacing w:after="0"/>
              <w:rPr>
                <w:sz w:val="20"/>
                <w:szCs w:val="20"/>
                <w:color w:val="auto"/>
              </w:rPr>
            </w:pPr>
            <w:r>
              <w:rPr>
                <w:rFonts w:ascii="Arial" w:cs="Arial" w:eastAsia="Arial" w:hAnsi="Arial"/>
                <w:sz w:val="14"/>
                <w:szCs w:val="14"/>
                <w:b w:val="1"/>
                <w:bCs w:val="1"/>
                <w:color w:val="auto"/>
                <w:w w:val="92"/>
              </w:rPr>
              <w:t>Six Months Ended June 30,</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215"/>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w:t>
            </w: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General and administrative expenses for the six months ended June 30, 2019 increased $0.6 million compared to the six months ended June 30, 2018. The increase was due to an increase in personnel related costs of $0.4 million and non-cash stock-based compensation of $0.4 million. Personnel related costs and non-cash stock-based compensation increased as a result of new hires during 2018. These increases were partially offset by decreases in professional fees of $0.2 million, primarily due to legal fees incurred in the six months ended June 30, 2018 associated with patent filing costs and recruiting costs for new hires.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six months ended June 30, 2019 and 2018 was $1.0 million and 0.9 million, respectively.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for the six months ended June 30, 2019 and 2018 is primarily due to the Term Loan, which closed on December 29, 2017. The Term Loan has a variable annual interest rate of 1.25% above the prime rate, as well as a final payment equal to 8.0% of the Term Loan, which is recorded as interest expense over the term of the loan through the maturity date using the effective-interest method.</w:t>
      </w:r>
    </w:p>
    <w:p>
      <w:pPr>
        <w:spacing w:after="0" w:line="18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$1.2 million and $0.6 million for the six months ended June 30, 2019 and 2018, respectively, was related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earned on our marketable securities balances.</w:t>
      </w:r>
    </w:p>
    <w:p>
      <w:pPr>
        <w:spacing w:after="0" w:line="27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of less than $0.1 million and losses of $0.1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2019 and 2018,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June 30, 2019, we had cash, cash equivalents and marketable securities totaling $91.7 million and outstanding debt of $18.2 million. We invest our cash in money market funds, commercial paper, corporate bonds and U.S. government securities, with the primary objectives to preserve principal, provide liquidity and maximize income without significantly increasing risk.</w:t>
      </w:r>
    </w:p>
    <w:p>
      <w:pPr>
        <w:spacing w:after="0" w:line="18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Since our inception in November 2005, we have not generated any revenue and have incurred recurring net losses. As of June 30, 2019, we had an accumulated deficit of $376.2 million. Prior to our IPO in June 2014, we funded our operations primarily through sales of redeemable convertible preferred stock and, to a lesser extent, through the issuances of convertible promissory notes and a loan security agreement. From our inception through our IPO in June 2014, we received gross proceeds of $104.0 million from such transactions. In June 2014, we completed our IPO with net proceeds of $102.7 million after deducting underwriting discounts and commissions paid by us. We also incurred offering costs of $2.5 million related to the IPO. In January 2015, we completed a follow-on offering of our common stock, which resulted in the sale of 3,942,200 shares at a price of $35.00 per share. We received net proceeds from the follow-on offering of $130.0 million based upon the price of $35.00 per share and after deducting underwriting discounts and commissions paid by us. We also incurred offering costs of $0.5 million related to the follow-on offering.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December 29, 2017, we entered into the Term Loan, which provided for borrowings of $20.0 million. On December 29, 2017, we received proceeds of $20.0 million from the issuance of a promissory note. The promissory note issued under the Term Loan is collateralized by substantially all of our personal property, other than our intellectual property.</w:t>
      </w:r>
    </w:p>
    <w:p>
      <w:pPr>
        <w:spacing w:after="0" w:line="18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Upon entering into this Term Loan, we became obligated to make monthly, interest-only payments until March 29, 2019 and, thereafter, to pay 33 consecutive, equal monthly installments of principal and interest from April 1, 2019 through December 1, 2021.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80"/>
        <w:spacing w:after="0" w:line="259" w:lineRule="auto"/>
        <w:rPr>
          <w:sz w:val="20"/>
          <w:szCs w:val="20"/>
          <w:color w:val="auto"/>
        </w:rPr>
      </w:pPr>
      <w:r>
        <w:rPr>
          <w:rFonts w:ascii="Arial" w:cs="Arial" w:eastAsia="Arial" w:hAnsi="Arial"/>
          <w:sz w:val="18"/>
          <w:szCs w:val="18"/>
          <w:color w:val="auto"/>
        </w:rPr>
        <w:t>The outstanding Term Loan bears a variable interest at an annual rate of 1.25% above the prime rate, which was 5.5% as of June 30, 2019. In addition, a final payment equal to 8.0% of the Term Loan is due upon the earlier of the maturity date, acceleration of the Term Loan or prepayment of all or part of the Term Loan. We accrue the final payment amount of $1.6 million, to outstanding debt by charges to interest expense using the effective-interest method from the date of issuance through the maturity date.</w:t>
      </w:r>
    </w:p>
    <w:p>
      <w:pPr>
        <w:spacing w:after="0" w:line="18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Additionally, we, as the borrower, are required to maintain a minimum unrestricted cash, cash equivalents and marketable securities balance at Silicon Valley Bank of no less than 105% of the total outstanding principal balance of the Term Loan, which as of June 30, 2019 and December 31, 2018 was $19.1 million and $21.0 million, respectively.</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 as of 45 days after the Term Loan was entered in, we met the obligation to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There are negative covenants restricting our activities, including limitations on dispositions, mergers or acquisitions, encumbering or granting a security interest in our intellectual property, incurring indebtedness or liens, paying dividends, making certain investments, permit the aggregate value of cash maintained by our Australian subsidiary not to exceed $4.0 million and certain other business transactions.</w:t>
      </w:r>
    </w:p>
    <w:p>
      <w:pPr>
        <w:spacing w:after="0" w:line="18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Term Loan also includes events of default, the occurrence and continuation of any of which provides the lenders the right to exercise remedies against us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5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(23,247)</w:t>
            </w: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(1,723)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Net decrease in cash, cash equivalents and restricted cash</w:t>
            </w:r>
          </w:p>
        </w:tc>
        <w:tc>
          <w:tcPr>
            <w:tcW w:w="9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During the six months ended June 30, 2019, operating activities used $23.2 million of cash, resulting from our net loss of $25.2 million and changes in our operating assets and liabilities of $1.5 million, partially offset by non-cash charges of $3.5 million. Our net loss was primarily attributed to research and development activities related to our ZGN-1061 program, our ZGN-1258 program, our ZGN-1345 program, discovery and screening and our general and administrative expenses. Net cash used in changes in our operating assets and liabilities during the six months ended June 30, 2019, consisted primarily of a $1.6 million decrease in accounts payable and a $0.7 million decrease in accrued expenses and other, partially offset by a $0.9 decrease in prepaids and other current assets. Our net non-cash charges during the six months ended June 30, 2019, consisted primarily of stock-based compensation expense of $4.0 million, which was offset by amortization of discount on marketable securities of $0.5 million.</w:t>
      </w:r>
    </w:p>
    <w:p>
      <w:pPr>
        <w:spacing w:after="0" w:line="17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During the six months ended June 30, 2018, operating activities used $26.6 million of cash, resulting from our net loss of $31.7 million, partially offset by non-cash charges of $5.2 million and changes in our operating assets and liabilities of $(0.1) million. Our net loss was primarily attributed to research and development activities related to our ZGN-1061 program, our ZGN-1258 program, discovery and screening and our general and administrative expenses. Our net non-cash charges during the six months ended June 30, 2018 consisted primarily of stock-based compensation expense of $5.1 million. Net cash used in changes in our operating assets and liabilities during the six months ended June 30, 2018, consisted primarily of a $1.0 million increase in tax incentive receivable, partially offset by $0.4 million increase in accrued expenses and a decrease in prepaids and other current assets of $0.6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During the six months ended June 30, 2019, investing activities provided $14.2 million of cash resulting from the proceeds from sales and maturities of marketable securities of $76.1 million, offset by the purchases of marketable securities of $61.1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purchases of property and equipment of $0.4 million and purchases of right-of-use assets of $0.3 million associated with our build out of 3 Center Plaza.</w:t>
      </w:r>
    </w:p>
    <w:p>
      <w:pPr>
        <w:spacing w:after="0" w:line="34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During the six months ended June 30, 2018, investing activities provided $26.3 million of cash resulting from proceeds from sales and maturities of marketable securities of $62.2 million, offset by the use of cash for purchases of marketable securities of $35.9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During the six months ended June 30, 2019, we used $1.8 million in financing activities for payments related to our notes payable, partially offset by $0.1 million received from proceeds from the exercise of common stock options and common stock purchased under our 2014 Employee Stock Purchase Plan.</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During the six months ended June 30, 2018, net cash provided by financing activities of $0.2 million was the result of proceeds of $0.3 million relating to the exercise of common stock options and common stock purchased under our 2014 Employee Stock Purchase Plan, partially offset by $0.1 million in payments made related to our July 2, 2018 public offering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 and Liquidity</w:t>
      </w:r>
    </w:p>
    <w:p>
      <w:pPr>
        <w:spacing w:after="0" w:line="12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ZGN-1061 is currently in Phase 2 clinical development and ZGN-1258 and ZGN-1345 are in nonclinical development, therefore we expect to continue to incur significant expenses and operating losses for the foreseeable future. We anticipate that we will continue to incur expenses, if and as we:</w:t>
      </w:r>
    </w:p>
    <w:p>
      <w:pPr>
        <w:spacing w:after="0" w:line="16" w:lineRule="exact"/>
        <w:rPr>
          <w:sz w:val="20"/>
          <w:szCs w:val="20"/>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resolve the FDA-imposed full clinical hold on ZGN-1061;</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17" w:lineRule="exact"/>
        <w:rPr>
          <w:rFonts w:ascii="Arial" w:cs="Arial" w:eastAsia="Arial" w:hAnsi="Arial"/>
          <w:sz w:val="18"/>
          <w:szCs w:val="18"/>
          <w:color w:val="auto"/>
        </w:rPr>
      </w:pPr>
    </w:p>
    <w:p>
      <w:pPr>
        <w:ind w:left="1020" w:right="100" w:hanging="377"/>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ZGN-1258 program in nonclinical and clinical development (if further evaluation warrants development) following an unexpected finding in muscle tissue in rodent toxicology studies;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development of ZGN-1345 through nonclinical development and into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seek to identify and advance development of additional product candidates into clinical development and indications for our product candidates;</w:t>
      </w:r>
    </w:p>
    <w:p>
      <w:pPr>
        <w:spacing w:after="0" w:line="140" w:lineRule="exact"/>
        <w:rPr>
          <w:rFonts w:ascii="Arial" w:cs="Arial" w:eastAsia="Arial" w:hAnsi="Arial"/>
          <w:sz w:val="16"/>
          <w:szCs w:val="16"/>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right="60" w:firstLine="518"/>
        <w:spacing w:after="0" w:line="218" w:lineRule="exact"/>
        <w:rPr>
          <w:sz w:val="20"/>
          <w:szCs w:val="20"/>
          <w:color w:val="auto"/>
        </w:rPr>
      </w:pPr>
      <w:r>
        <w:rPr>
          <w:rFonts w:ascii="Arial" w:cs="Arial" w:eastAsia="Arial" w:hAnsi="Arial"/>
          <w:sz w:val="16"/>
          <w:szCs w:val="16"/>
          <w:color w:val="auto"/>
        </w:rPr>
        <w:t>We expect that our existing cash, cash equivalents and marketable securities as of June 30, 2019, will enable us to fund our operating expenses and capital expenditure requirements for a period of at least one year from the issuance date of this Quarterly Report. We have based this estimate on assumptions that may prove to be wrong, and we may use our available capital resources sooner than we currently expect. Because of the numerous risks and uncertainties associated with the development ZGN-1061, ZGN</w:t>
      </w:r>
      <w:r>
        <w:rPr>
          <w:rFonts w:ascii="MS PGothic" w:cs="MS PGothic" w:eastAsia="MS PGothic" w:hAnsi="MS PGothic"/>
          <w:sz w:val="16"/>
          <w:szCs w:val="16"/>
          <w:color w:val="auto"/>
        </w:rPr>
        <w:t>‑</w:t>
      </w:r>
      <w:r>
        <w:rPr>
          <w:rFonts w:ascii="Arial" w:cs="Arial" w:eastAsia="Arial" w:hAnsi="Arial"/>
          <w:sz w:val="16"/>
          <w:szCs w:val="16"/>
          <w:color w:val="auto"/>
        </w:rPr>
        <w:t>1258 and ZGN-1345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capital requirements for ZGN-1061, ZGN-1258 and ZGN-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1345 will depend on many factors, including:</w:t>
      </w:r>
    </w:p>
    <w:p>
      <w:pPr>
        <w:spacing w:after="0" w:line="103" w:lineRule="exact"/>
        <w:rPr>
          <w:sz w:val="20"/>
          <w:szCs w:val="20"/>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17" w:lineRule="exact"/>
        <w:rPr>
          <w:rFonts w:ascii="Arial" w:cs="Arial" w:eastAsia="Arial" w:hAnsi="Arial"/>
          <w:sz w:val="18"/>
          <w:szCs w:val="18"/>
          <w:color w:val="auto"/>
        </w:rPr>
      </w:pPr>
    </w:p>
    <w:p>
      <w:pPr>
        <w:ind w:left="1020" w:right="480" w:hanging="377"/>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or technologies;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arrangements on favorable terms, if at all.</w:t>
      </w:r>
    </w:p>
    <w:p>
      <w:pPr>
        <w:spacing w:after="0" w:line="225"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collaborations, strategic alliances and licensing arrangements. To the extent that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ind w:right="60"/>
        <w:spacing w:after="0" w:line="290" w:lineRule="auto"/>
        <w:rPr>
          <w:sz w:val="20"/>
          <w:szCs w:val="20"/>
          <w:color w:val="auto"/>
        </w:rPr>
      </w:pPr>
      <w:r>
        <w:rPr>
          <w:rFonts w:ascii="Arial" w:cs="Arial" w:eastAsia="Arial" w:hAnsi="Arial"/>
          <w:sz w:val="16"/>
          <w:szCs w:val="16"/>
          <w:color w:val="auto"/>
        </w:rPr>
        <w:t>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product candidates that we would otherwise prefer to develop and market ourselves.</w:t>
      </w:r>
    </w:p>
    <w:p>
      <w:pPr>
        <w:spacing w:after="0" w:line="166"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for federal and state income tax purposes of $55.7 million and $48.0 million, respectively, which begin to expire in 2026 and 2030, respectively. As of December 31, 2018, we had net operating loss carryforwards that were generated after December 31, 2017, of $9.5 million that do not expire. As of December 31, 2018, we also had available tax credit carryforwards for federal and state income tax purposes of $16.6 million and $3.4 million, respectively, which begin to expire in 2026 and 2022,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During the six months ended June 30, 2019, there have been no material changes to our contractual obligations and commitments outside the ordinary course of business from those described under the heading “Management’s Discussion and Analysis of Financial Condition and Results of Operations— Contractual Obligations and Commitments” in our Annual Report for the year ended December 31, 2018, except as noted below:</w:t>
      </w:r>
    </w:p>
    <w:p>
      <w:pPr>
        <w:spacing w:after="0" w:line="57" w:lineRule="exact"/>
        <w:rPr>
          <w:sz w:val="20"/>
          <w:szCs w:val="20"/>
          <w:color w:val="auto"/>
        </w:rPr>
      </w:pPr>
    </w:p>
    <w:p>
      <w:pPr>
        <w:ind w:left="1020" w:right="20" w:hanging="377"/>
        <w:spacing w:after="0" w:line="29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February 12, 2019, we entered into a lease with Shigo Center Plaza Owners, LLC, for approximately 17,705 square feet of office space for a new headquarters located at 3 Center Plaza, Boston, Massachusetts. The lease has a term of 124 months with an option to extend the lease for</w:t>
      </w:r>
    </w:p>
    <w:p>
      <w:pPr>
        <w:ind w:left="1020" w:right="200"/>
        <w:spacing w:after="0" w:line="261" w:lineRule="auto"/>
        <w:rPr>
          <w:rFonts w:ascii="Arial" w:cs="Arial" w:eastAsia="Arial" w:hAnsi="Arial"/>
          <w:sz w:val="16"/>
          <w:szCs w:val="16"/>
          <w:color w:val="auto"/>
        </w:rPr>
      </w:pPr>
      <w:r>
        <w:rPr>
          <w:rFonts w:ascii="Arial" w:cs="Arial" w:eastAsia="Arial" w:hAnsi="Arial"/>
          <w:sz w:val="18"/>
          <w:szCs w:val="18"/>
          <w:color w:val="auto"/>
        </w:rPr>
        <w:t>60 additional months. Under the lease agreement, we will pay monthly rent beginning four months after an agreed upon commencement date, which was June 21, 2019, with total lease payments over the initial term of $10.7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During the periods presented we did not have and we currently do not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Sated, or GAAP. The preparation of our financial statements and related disclosures requires us to make estimates, assumptions and judgments that affect the reported amount of assets, liabilities, revenue, costs and expenses, and related disclosures. We believe that of our critical accounting policies which are described under the heading “Management’s Discussion and Analysis of Financial Condition and Results of Operations—Critical Accounting Policies and Significant Judgments and Estimates” in our Annual Report, the following accounting policies involve the most judgment and complexity:</w:t>
      </w:r>
    </w:p>
    <w:p>
      <w:pPr>
        <w:spacing w:after="0" w:line="64" w:lineRule="exact"/>
        <w:rPr>
          <w:sz w:val="20"/>
          <w:szCs w:val="20"/>
          <w:color w:val="auto"/>
        </w:rPr>
      </w:pPr>
    </w:p>
    <w:p>
      <w:pPr>
        <w:ind w:left="1020" w:hanging="377"/>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research and development costs;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 There have been no material changes to our critical accounting policies since December 31, 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Item 1 of this Quarterly Report for a description of recent accounting pronouncements applicable to our business.</w:t>
      </w:r>
    </w:p>
    <w:p>
      <w:pPr>
        <w:spacing w:after="0" w:line="261" w:lineRule="exact"/>
        <w:rPr>
          <w:sz w:val="20"/>
          <w:szCs w:val="20"/>
          <w:color w:val="auto"/>
        </w:rPr>
      </w:pPr>
    </w:p>
    <w:p>
      <w:pPr>
        <w:ind w:right="5600"/>
        <w:spacing w:after="0" w:line="261"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Rate Fluctuation Risk</w:t>
      </w:r>
    </w:p>
    <w:p>
      <w:pPr>
        <w:ind w:right="120" w:firstLine="518"/>
        <w:spacing w:after="0" w:line="292" w:lineRule="auto"/>
        <w:rPr>
          <w:sz w:val="20"/>
          <w:szCs w:val="20"/>
          <w:color w:val="auto"/>
        </w:rPr>
      </w:pPr>
      <w:r>
        <w:rPr>
          <w:rFonts w:ascii="Arial" w:cs="Arial" w:eastAsia="Arial" w:hAnsi="Arial"/>
          <w:sz w:val="16"/>
          <w:szCs w:val="16"/>
          <w:color w:val="auto"/>
        </w:rPr>
        <w:t>Our cash, cash equivalents, and marketable securities as of June 30, 2019 consisted of cash, corporate bonds, commercial paper, U.S. government securities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June 30, 2019, the net fair value of our interest-sensitive financial instruments would have resulted in a hypothetical decline of $0.1 million.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condensed consolidated statement of operations. Net foreign currency transaction losses of less than $0.1 million and of $0.1 million were recorded for the three months ended June 30, 2019 and 2018, respectively. Net foreign currency transaction gains of less than $0.1 million and losses of $0.1 million were recorded for the six months ended June 30, 2019 and 2018, respectively.</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Currently, our largest foreign currency exposures are those with respect to the Australian dollar. Relative to foreign currency exposures existing as of June 30, 2019, a 10% unfavorable movement in foreign currency exchange rates would expose us to an increased net loss. For the six months ended June 30, 2019, we estimated that a 10% unfavorable movement in foreign currency exchange rates would have increased our net loss by $0.2 million. This amount is based on a sensitivity analysis performed on our financial position as of June 30, 2019. We have experienced and will continue to experience fluctuations in our net loss as a result of revaluing our assets and liabilities that are not denominated in the functional currency of the entity that recorded the asset or liability. At this time, we do not hedge our foreign currency risk.</w:t>
      </w:r>
    </w:p>
    <w:p>
      <w:pPr>
        <w:spacing w:after="0" w:line="2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Management’s Evaluation of our Disclosure Controls and Procedures</w:t>
      </w:r>
    </w:p>
    <w:p>
      <w:pPr>
        <w:spacing w:after="0" w:line="27" w:lineRule="exact"/>
        <w:rPr>
          <w:sz w:val="20"/>
          <w:szCs w:val="20"/>
          <w:color w:val="auto"/>
        </w:rPr>
      </w:pPr>
    </w:p>
    <w:p>
      <w:pPr>
        <w:ind w:right="160" w:firstLine="518"/>
        <w:spacing w:after="0" w:line="281" w:lineRule="auto"/>
        <w:rPr>
          <w:sz w:val="20"/>
          <w:szCs w:val="20"/>
          <w:color w:val="auto"/>
        </w:rPr>
      </w:pPr>
      <w:r>
        <w:rPr>
          <w:rFonts w:ascii="Arial" w:cs="Arial" w:eastAsia="Arial" w:hAnsi="Arial"/>
          <w:sz w:val="16"/>
          <w:szCs w:val="16"/>
          <w:color w:val="auto"/>
        </w:rPr>
        <w:t>We maintain disclosure controls and procedures (as defined in Rules 13a-15(e) or 15d-15(e) under the Securities Exchange Act of 1934, as amended, or the Exchange Act) that are designed to ensure that information required to be disclosed in reports that we file or submit under the Exchange Act is</w:t>
      </w:r>
    </w:p>
    <w:p>
      <w:pPr>
        <w:spacing w:after="0" w:line="1" w:lineRule="exact"/>
        <w:rPr>
          <w:sz w:val="20"/>
          <w:szCs w:val="20"/>
          <w:color w:val="auto"/>
        </w:rPr>
      </w:pPr>
    </w:p>
    <w:p>
      <w:pPr>
        <w:ind w:right="140" w:firstLine="8"/>
        <w:spacing w:after="0" w:line="255"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177"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Based on this evaluation, 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2019, our disclosure controls and procedures were effective at the reasonable assurance level.</w:t>
      </w:r>
    </w:p>
    <w:p>
      <w:pPr>
        <w:spacing w:after="0" w:line="15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 in accordance with the Exchange Act.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During the six months ended June 30, 2019, there have been no changes in our internal control over financial reporting (as defined in Rules 13a-15(f) or 15d-15(d) under the Exchange Act) that have materially affected, or are reasonably likely to materially affect, our internal control over financial reporting. We implemented internal controls to ensure management properly assessed the impact of the new lease accounting standards on our condensed consolidated financial statements to facilitate adoption of the new leasing standards effective January 1, 2019. There were no significant changes to our internal control over financial reporting due to the adoption of the new standards.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not currently party to any material litigation or other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or Quarterly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and in our other public filings. The trading price of our common stock could decline due to any of these risks, and as a result, you may lose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currently depend primarily on the success of one product candidate, ZGN-1061, which has completed a Phase 1 and a Phase 2 clinical trial, but has been placed on a full clinical hold by the FDA. We cannot be certain that we will be able to obtain regulatory approval for ZGN-1061, or successfully commercialize ZGN-1061 if approved.</w:t>
      </w:r>
    </w:p>
    <w:p>
      <w:pPr>
        <w:spacing w:after="0" w:line="7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currently have only one product candidate in clinical development, ZGN-1061, which has completed a Phase 1 clinical trial in the Netherlands and a Phase 2 clinical trial in Australia and New Zealand, and our business currently depends primarily on its successful clinical development, regulatory approval and commercialization. We currently have no drug products for sale and may never be able to develop marketable drug products. In order to conduct clinical trials in the United States we need our Investigational New Drug, or IND, application to go into effect with the U.S. Food and Drug Administration, or FDA. Because our business is primarily dependent upon this one product candidate, any setback in our pursuit of regulatory approval for ZGN-1061 would have a material adverse effect on our business and prospects.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testing and clinical trials that the product candidate is safe and effective for use in each target indication. This process can take many years and will likely include post-marketing studies, or PMS, post-marketing requirements, or PMRs, and surveillance such as Risk Evaluation and Mitigation Strategies, or REMS, which will require the expenditure of substantial resources beyond the proceeds we currently have on hand.</w:t>
      </w:r>
    </w:p>
    <w:p>
      <w:pPr>
        <w:spacing w:after="0" w:line="180"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color w:val="auto"/>
        </w:rPr>
        <w:t>Furthermore, we are not permitted to market ZGN-1061 in the United States until we receive approval of a New Drug Application, or NDA, from the FDA, or in any foreign countries until we receive the requisite marketing approval from such countries. Development of diabetes drugs requires at least 2,500 subjects randomized to active doses of the product with 1,300 to 1,500 subjects exposed for a year and 300 to 500 subjects exposed for 18 months in order to estimate the safety of the drug in an NDA. In addition, it is anticipated that the FDA may require assessment of cardiovascular, or CV, risk as per current FDA guidance, which may require testing of 5,000 to 10,000 subjects. Meeting the requirements of the FDA or certain European regulatory authorities may require that we conduct additional pivotal clinical trials. Accordingly, obtaining approval of an NDA or Marketing Authorization Application, or MAA, is a complex, lengthy, expensive and uncertain process.</w:t>
      </w:r>
    </w:p>
    <w:p>
      <w:pPr>
        <w:spacing w:after="0" w:line="18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FDA and certain European regulatory authorities may delay, limit or deny the conduct of clinical trials or market approval of ZGN-1061 for many reasons, including, among others:</w:t>
      </w:r>
    </w:p>
    <w:p>
      <w:pPr>
        <w:spacing w:after="0" w:line="62" w:lineRule="exact"/>
        <w:rPr>
          <w:sz w:val="20"/>
          <w:szCs w:val="20"/>
          <w:color w:val="auto"/>
        </w:rPr>
      </w:pPr>
    </w:p>
    <w:p>
      <w:pPr>
        <w:ind w:left="1040" w:right="60" w:hanging="519"/>
        <w:spacing w:after="0" w:line="271"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FDA has placed a full clinical hold on the IND for the first U.S. clinical trial of ZGN-1061, citing the possibility of CV safety risk based on our prior compound, and although we have reached agreement with the FDA 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animal study design and protocol, the full clinical hold raises a number of risks, including but not limited to: we may be required to complete other unexpected work in order to resolve the hold and begin clinical trials in the United States, which can result in development delays; the hold may negatively affect our ability to pursue clinical trials outside of the United States; the hold may make it more difficult to raise capital or to find a commercial partner to execute future clinical trials; we may not be able to resolve the full clinical hold at all; or, even if we are able to resolve the clinical hold, the FDA may place the IND application on partial hold for ZGN-1061 which could limit the type, condition, and future conduct of clinical trials for ZGN-1061, or in the future could impose another clinical hold;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1040" w:right="1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ZGN-1061 is safe and effective to the satisfaction of the FDA and the European Medicines Agency, or EMA;</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and EMA for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disagree with the number, design, size, duration, conduct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require that we conduct additional clinical trials or nonclinical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not approve the formulation, labeling or specifications of ZGN-1061;</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find the data from nonclinical studies and clinical trials insufficient to demonstrate that ZGN-1061’s clinical and other benefits outweigh its safety risks;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disagree with our interpretation of data from our nonclinical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not accept data generated at our clinical trial sites;</w:t>
      </w:r>
    </w:p>
    <w:p>
      <w:pPr>
        <w:spacing w:after="0" w:line="117" w:lineRule="exact"/>
        <w:rPr>
          <w:rFonts w:ascii="Arial" w:cs="Arial" w:eastAsia="Arial" w:hAnsi="Arial"/>
          <w:sz w:val="18"/>
          <w:szCs w:val="18"/>
          <w:color w:val="auto"/>
        </w:rPr>
      </w:pPr>
    </w:p>
    <w:p>
      <w:pPr>
        <w:ind w:left="1040" w:right="38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and when our NDA is submitted and is determined to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73" w:lineRule="exact"/>
        <w:rPr>
          <w:rFonts w:ascii="Arial" w:cs="Arial" w:eastAsia="Arial" w:hAnsi="Arial"/>
          <w:sz w:val="18"/>
          <w:szCs w:val="18"/>
          <w:color w:val="auto"/>
        </w:rPr>
      </w:pPr>
    </w:p>
    <w:p>
      <w:pPr>
        <w:ind w:left="1040" w:right="36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could require development of a REMS as a condition of approval or post-approval, or may not agree with our proposed REMS, or may impose additional requirements that limit the promotion, advertising, distribution, or sales of ZGN-1061;</w:t>
      </w:r>
    </w:p>
    <w:p>
      <w:pPr>
        <w:spacing w:after="0" w:line="38" w:lineRule="exact"/>
        <w:rPr>
          <w:rFonts w:ascii="Arial" w:cs="Arial" w:eastAsia="Arial" w:hAnsi="Arial"/>
          <w:sz w:val="17"/>
          <w:szCs w:val="17"/>
          <w:color w:val="auto"/>
        </w:rPr>
      </w:pPr>
    </w:p>
    <w:p>
      <w:pPr>
        <w:ind w:left="1040" w:right="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find deficiencies with or not approve the manufacturing processes or facilities of third-party manufacturers with which we contract;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and EMA may change their approval policies or adopt new regulations.</w:t>
      </w:r>
    </w:p>
    <w:p>
      <w:pPr>
        <w:spacing w:after="0" w:line="225"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Any of these factors, many of which are beyond our control, could jeopardize our ability to obtain and/or maintain regulatory approval for and successfully market ZGN-1061. Of the large number of drugs in development in the United States, only a small percentage will successfully complete the FDA regulatory approval process and be commercialized. Accordingly, even if we are able to obtain the requisite financing to continue to fund our development and clinical trials, we cannot assure you that ZGN-1061, ZGN-1258 or any other of our product candidates will be successfully developed or commercialized.</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our product candidates, obtain regulatory approval for our product candidates or successfully commercialize our product candidates, if approved.</w:t>
      </w:r>
    </w:p>
    <w:p>
      <w:pPr>
        <w:spacing w:after="0" w:line="6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currently have only one product candidate in clinical development, ZGN-1061, which has completed a Phase 1 clinical trial in the Netherlands and a Phase 2 clinical trial in Australia and New Zealand, and our business currently depends primarily on its successful clinical development, regulatory approval and commercialization. At the beginning of 2018 we announced a new product candidate, ZGN-1258, which is in nonclinical development. We expected to initially develop ZGN-1258 as a treatment for Prader-Willi syndrome, or PWS. In March 2019, we announced our decision to suspend plans to file an IND for ZGN-1258 in order to evaluate ZGN-1258 following an unexpected finding in muscle tissue in rodent toxicology studies. In the fourth quarter of 2018, we announced a new product candidate, ZGN-1345, which is in nonclinical development. Before our product candidates can be marketed, our IND application or other comparable regulatory approvals must go into effect permitting the conduct of clinical trials, and we must then successfully complete human testing. The FDA and other comparable foreign regulatory agencies must approve our NDA or comparable regulatory submissions. Even after successful completion of clinical testing, there is a risk that the FDA or other regulatory agencies may request further information from us, disagree with our findings or otherwise undertake a lengthy review of our submission. Even if the FDA approves our NDA, we may be unable to successfully commercialize our product candidates.</w:t>
      </w:r>
    </w:p>
    <w:p>
      <w:pPr>
        <w:spacing w:after="0" w:line="16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It is possible that the FDA or other regulatory agencies will not approve any application that we may submit. It is possible that our product candidates may not obtain appropriate regulatory approvals necessary for us to commence clinical trials for our product candidates. Any delay or failure in obtaining required approvals could have a material adverse effect on our business. This process can take many years and will likely require the expenditure of substantial resources beyond the proceeds we currently have on hand.</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Favorable results from nonclinical studies and clinical trials to date are not necessarily predictive of the results of additional nonclinical studies or later-stage clinical trials of ZGN-1061. Given the thrombosis findings in humans treated with beloranib,</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right="140"/>
        <w:spacing w:after="0" w:line="277" w:lineRule="auto"/>
        <w:rPr>
          <w:sz w:val="20"/>
          <w:szCs w:val="20"/>
          <w:color w:val="auto"/>
        </w:rPr>
      </w:pPr>
      <w:r>
        <w:rPr>
          <w:rFonts w:ascii="Arial" w:cs="Arial" w:eastAsia="Arial" w:hAnsi="Arial"/>
          <w:sz w:val="18"/>
          <w:szCs w:val="18"/>
          <w:b w:val="1"/>
          <w:bCs w:val="1"/>
          <w:i w:val="1"/>
          <w:iCs w:val="1"/>
          <w:color w:val="auto"/>
        </w:rPr>
        <w:t>development costs for ZGN-1061 may be higher and we may be unable to successfully develop, obtain regulatory approval for and commercialize ZGN-1061.</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Favorable results from our nonclinical studies of ZGN-1061, our Phase 1 clinical trial and analysis of our Phase 2 clinical trial of ZGN-1061 to date, may not necessarily be predictive of the results from ongoing and later-stage clinical trials. Toxicology studies in multiple species have demonstrated appreciable margins for embryofetal toxicity, testicular toxicity, pro-thrombotic effects and other previously observed issues for MetAP2 inhibitors such as hematological and neuronal toxicities with a small therapeutic margin and no margin for embryofetal toxicity. Further, we have observed in clinical trials that ZGN-1061 resulted in rapid drug absorption and clearance in line with criteria established in advance for the molecule and has a favorable tolerability profile with no safety signals identified, including no evidence of pro-thrombotic effects. Data from the analysis of the Phase 2 clinical trial to date of ZGN-1061 demonstrated a favorable glycated hemoglobin A1C, or A1C, effect at the two highest doses tested (0.9 mg and 1.8 mg) and accompanying weight loss at the highest dose. However, we can provide no assurance that the results of our nonclinical and clinical studies to date of ZGN-1061 will be replicated in ongoing or later-stage clinical trials of ZGN-1061 or other nonclinical studies.</w:t>
      </w:r>
    </w:p>
    <w:p>
      <w:pPr>
        <w:spacing w:after="0" w:line="18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nonclinical and early-stage clinical development. In particular, we have suffered significant setbacks in later-stage clinical trials of our former lead product candidate, beloranib, after achieving positive results in nonclinical and clinical development, and we cannot be certain that we will not face similar setbacks in our development of ZGN-1061, or our other programs. The setbacks in later-stage clinical development have been caused by, among other things, nonclinical findings made while clinical trials were underway or safety or efficacy observations made in clinical trials, including previously unreported or understood adverse events. Moreover, nonclinical and clinical data are often susceptible to varying interpretations and analyses, and many companies that believed their product candidates performed satisfactorily in nonclinical studies and clinical trials nonetheless failed to obtain FDA and/or EMA approval. If we fail to produce positive results in our later-stage clinical trials of ZGN-1061, the development timeline and regulatory approval and commercialization prospects for our lead product candidate, and, correspondingly, our business and financial prospects, would be materially adversely affected.</w:t>
      </w:r>
    </w:p>
    <w:p>
      <w:pPr>
        <w:spacing w:after="0" w:line="5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such as the FDA to interrupt, delay or halt clinical trials and could result in a more restrictive label or the delay or denial of regulatory approval by the FDA or other regulatory authorities. For example, common adverse events observed in patients treated with our first-generation MetAP2 inhibitor, beloranib, versus placebo included diarrhea, injection site bruising, dizziness, decreased appetite, anxiety and sleep disturbances (insomnia principally manifested as delayed onset of sleep and abnormal dreams), among others. In addition, an imbalance in the number of thrombotic events observed in patients treated with beloranib as compared to patients on placebo in our clinical trials was observed. We may see similar adverse events with ZGN-1061 or our other product candidates as we saw with beloranib, and therefore, we are studying these parameters in nonclinical and clinical development of ZGN-1061 and ZGN-1345 and our further evaluation of ZGN-1258. In addition, degeneration and other anomalies in rat muscle tissue to different degrees in both vehicle and dose arm studies was observed in nonclinical studies of ZGN-1258. These effects were absent from other animal species in long term models and has not been observed in any of our other MetAP2 inhibitors, including ZGN-1061 and ZGN-1345, or clinical trials and appears to be specific to ZGN-1258. It is possible we may see similar findings in other MetAP2 inhibitors going forward and thus we are conducting further studies to understand the nature of the findings.</w:t>
      </w:r>
    </w:p>
    <w:p>
      <w:pPr>
        <w:spacing w:after="0" w:line="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Data from the Phase 2 clinical trial of ZGN-1061 indicated that ZGN-1061 was generally safe and well-tolerated, with primarily mild to moderate adverse events, or AEs. The most frequent treatment emergent AEs with ZGN-1061 in our Phase 2 clinical trial were injection site bruising, upper respiratory tract infection, and diarrhea; each of these categories of events occurred with relatively similar incidences to placebo. There were no treatment-related serious adverse events and no CV safety signals were observed. In addition, data from the Phase 2 clinical trial of ZGN-1061 demonstrated a beneficial decrease in A1C in the 0.9 mg and 1.8 mg dose groups and accompanying weight loss in the 1.8 mg dose group through the 12-week assessment period, and it is unknown whether this effect would continue beyond 12 weeks.</w:t>
      </w:r>
    </w:p>
    <w:p>
      <w:pPr>
        <w:spacing w:after="0" w:line="19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Further, if ZGN-1061, ZGN-1258 (if further evaluation warrants continued development) or ZGN-1345 receive marketing approval and we or others identify undesirable side effects caused by the product (or any other similar product) after the approval, a number of potentially significant negative consequences could result, including:</w:t>
      </w:r>
    </w:p>
    <w:p>
      <w:pPr>
        <w:spacing w:after="0" w:line="73" w:lineRule="exact"/>
        <w:rPr>
          <w:sz w:val="20"/>
          <w:szCs w:val="20"/>
          <w:color w:val="auto"/>
        </w:rPr>
      </w:pPr>
    </w:p>
    <w:p>
      <w:pPr>
        <w:ind w:left="1040" w:right="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request that we withdraw the product from the market or may limit their approval of the product through labeling or other means;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 or a precaution;</w:t>
      </w:r>
    </w:p>
    <w:p>
      <w:pPr>
        <w:spacing w:after="0" w:line="128"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3" w:name="page34"/>
    <w:bookmarkEnd w:id="33"/>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ZGN-1061, ZGN-1258 or ZGN-1345 could result in increased costs to us and could delay, prevent or limit our ability to generate revenue and continue our business.</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ZGN-1061 has completed a Phase 1 clinical trial conducted in the Netherlands and a Phase 2 clinical trial conducted in Australia and New Zealand and will require substantial further clinical development before we can submit an NDA to the FDA or an MAA to the EMA for its marketing approval. ZGN-1258 and ZGN-1345 are still in nonclinical development, and additional nonclinical work must be completed prior to filing the IND application for each with the FDA and to commence into clinical trials. In March 2019, we announced our decision to suspend plans to file an IND for ZGN-1258 in order to evaluate ZGN-1258 following an unexpected finding in muscle tissue in rodent toxicology studies.</w:t>
      </w:r>
    </w:p>
    <w:p>
      <w:pPr>
        <w:spacing w:after="0" w:line="188"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Despite the guidance we may receive from the FDA, the EMA, or other applicable regulatory authorities including in Australia and New Zealand, any of these regulatory authorities can change their positions on the acceptability of our clinical trial designs or the clinical endpoints selected, which may require us to complete additional clinical trials or impose stricter approval conditions than we currently expect. Successful completion of such clinical trials is a prerequisite to submitting an NDA to the FDA and an MAA to the EMA and, consequently, the ultimate approval and commercial marketing of ZGN-1061, ZGN-1258 or ZGN-1345. We do not know whether any clinical trials for ZGN-1061, ZGN-1258 or ZGN-1345 will begin or be completed on schedule, if at all, as the commencement and completion of clinical trials can be delayed or prevented for a number of reasons, including, among others:</w:t>
      </w:r>
    </w:p>
    <w:p>
      <w:pPr>
        <w:spacing w:after="0" w:line="57" w:lineRule="exact"/>
        <w:rPr>
          <w:sz w:val="20"/>
          <w:szCs w:val="20"/>
          <w:color w:val="auto"/>
        </w:rPr>
      </w:pPr>
    </w:p>
    <w:p>
      <w:pPr>
        <w:ind w:left="1040" w:right="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governing bodies in Europe, Australia or New Zealand may deny permission to begin or continue clinical trials, including for certain indications, we want to conduct;</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regulatory filings or receiving regulatory authorizations of IND applications, or clinical trial authorization applications, or CTAs, that may be required;</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results from our nonclinical studies, thus the FDA, or the applicable regulatory authorities in Europe, Australia or New Zealand, may require additional nonclinical studies;</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40" w:right="8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and/or ethics committee approval to conduct a clinical trial at a prospective site or sites in the United States, the European Union, or EU, Australia or New Zealand;</w:t>
      </w:r>
    </w:p>
    <w:p>
      <w:pPr>
        <w:spacing w:after="0" w:line="62" w:lineRule="exact"/>
        <w:rPr>
          <w:rFonts w:ascii="Arial" w:cs="Arial" w:eastAsia="Arial" w:hAnsi="Arial"/>
          <w:sz w:val="18"/>
          <w:szCs w:val="18"/>
          <w:color w:val="auto"/>
        </w:rPr>
      </w:pPr>
    </w:p>
    <w:p>
      <w:pPr>
        <w:ind w:left="1040" w:right="460" w:hanging="519"/>
        <w:spacing w:after="0" w:line="31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and/or patients in our ongoing or future clinical trials;</w:t>
      </w:r>
    </w:p>
    <w:p>
      <w:pPr>
        <w:spacing w:after="0" w:line="117"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 including side effects previously identified in our previous clinical trials for beloranib;</w:t>
      </w:r>
    </w:p>
    <w:p>
      <w:pPr>
        <w:spacing w:after="0" w:line="62"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the applicable regulatory authorities in Europe, Australia or New Zealand may disagree with our clinical trial designs, our interpretation of data from clinical trials, or may change the requirements for approval even after it has reviewed and commented on the design for our clinical trials;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therapies that raise safety or efficacy concerns.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right="80" w:firstLine="518"/>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or DMC, overseeing the clinical trial at issue or other regulatory authorities due to a number of factors, including, among others:</w:t>
      </w:r>
    </w:p>
    <w:p>
      <w:pPr>
        <w:spacing w:after="0" w:line="79"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jc w:val="both"/>
        <w:ind w:left="1040" w:right="12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the applicable regulatory authorities in Europe, Australia or New Zealand that reveals deficiencies or violations that require us to undertake corrective action, including the imposition of a partial clinical hold or a full clinical hold;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unforeseen safety issues, including any that could be identified in our nonclinical studies, adverse side effects or lack of effectiveness;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33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guidance from EMA, Australia or New Zealand or unanticipated events during our clinical trials of ZGN-1061 or our other product candidates, may occur, which may result in changes to clinical trial protocols or additional clinical trial requirements, which could result in increased costs to us and could delay our development timeline.</w:t>
      </w:r>
    </w:p>
    <w:p>
      <w:pPr>
        <w:spacing w:after="0" w:line="7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Changes in regulatory requirements, FDA guidance or guidance from EMA or unanticipated events during our clinical trials may force us to adjust our clinical program. The FDA, the EMA, or the applicable regulatory authorities in Australia and New Zealand may impose additional clinical trial and/or nonclinical study requirements. For instance, the FDA issued draft guidance on developing products for weight management in February 2007 and issued draft guidance on developing products for the treatment of diabetes in February 2008 but these guidance documents may be revised at any time. In December 2008, FDA established guidance on evaluating CV risk of new therapies for the treatment of type 2 diabetes. Amendments to our clinical trial protocols would require resubmission to the FDA or the applicable regulatory authorities in Europe, Australia or New Zealand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ZGN-1061 or our other product candidates may be harmed and our ability to generate product revenue will be delayed.</w:t>
      </w:r>
    </w:p>
    <w:p>
      <w:pPr>
        <w:spacing w:after="0" w:line="27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any future clinical trials for ZGN-1061 or our other product candidates. If these third parties do not successfully carry out their contractual duties or meet expected deadlines, we may not be able to develop and obtain regulatory approval for or commercialize ZGN-1061 or our other product candidates, and our business could be substantially harmed.</w:t>
      </w:r>
    </w:p>
    <w:p>
      <w:pPr>
        <w:spacing w:after="0" w:line="3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enter into agreements with third-party CROs to provide monitors for and to manage data for our ongoing clinical trials. We rely heavily on these parties for execution of clinical trials for ZGN-1061 and will continue to rely on these parties for clinical trials for our other product candidates, if any, but we only control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50"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are required to comply with requirements for Good Clinical Practice, or GCPs, which are legal requirements enforced by the FDA, the Competent Authorities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5" w:name="page36"/>
    <w:bookmarkEnd w:id="35"/>
    <w:p>
      <w:pPr>
        <w:spacing w:after="0" w:line="270" w:lineRule="auto"/>
        <w:rPr>
          <w:sz w:val="20"/>
          <w:szCs w:val="20"/>
          <w:color w:val="auto"/>
        </w:rPr>
      </w:pPr>
      <w:r>
        <w:rPr>
          <w:rFonts w:ascii="Arial" w:cs="Arial" w:eastAsia="Arial" w:hAnsi="Arial"/>
          <w:sz w:val="17"/>
          <w:szCs w:val="17"/>
          <w:color w:val="auto"/>
        </w:rPr>
        <w:t>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GCPs. In addition, our clinical trials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78"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Although we design our clinical trials, investigators and CROs conduct all of the clinical trials. As a result, many important aspects of our drug development programs are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investigators or CROs do not perform clinical trials in a satisfactory manner, breach their obligations to us, or fail to comply with regulatory requirements, the development and commercialization of ZGN-1061 or our other product candidates may be delayed or our development program materially and irreversibly harmed. We cannot control the amount and timing of resources these investigators or CROs devote to our program, ZGN-1061, or will devote to or our other product candidates.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6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ZGN-1061 or our other product candidates. As a result, our financial results and the commercial prospects for ZGN-1061 or our other product candidates in the subject indications would be harmed, our costs could increase and our ability to generate revenue could be delayed.</w:t>
      </w:r>
    </w:p>
    <w:p>
      <w:pPr>
        <w:spacing w:after="0" w:line="2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The number of patients suffering from PWS is small and has not been established with precision. If the actual number of patients with this condition is smaller than we estimate or if any approval that we obtain is based on a narrower definition of this patient population, our revenue and ability to achieve profitability for any product candidates targeting PWS will be adversely affected, possibly materially.</w:t>
      </w:r>
    </w:p>
    <w:p>
      <w:pPr>
        <w:spacing w:after="0" w:line="5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There is no current comprehensive patient registry or other method of establishing with precision the actual number of patients with PWS in any geography. Published population studies estimate that the prevalence of PWS in the United States and in the EU, ranges from 1 in 8,000 to 1 in 50,000. If the actual number of patients with PWS is lower than we believe or if any approval that we obtain is based on a narrower definition of these patient populations, then the potential market for any product candidates targeting PWS for these indications will be smaller than we anticipate. If our IND goes into effect, our inability to enroll a sufficient number of patients for our clinical trials could result in significant delays or may require us to abandon one or more clinical trials altogether. Enrollment delays in our clinical trials may result in increased development costs for any product candidates targeting PWS,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our product candidates, which could cause the value of our company to decline and limit our ability to obtain additional financing, if needed.</w:t>
      </w:r>
    </w:p>
    <w:p>
      <w:pPr>
        <w:spacing w:after="0" w:line="28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rely completely on third-party suppliers to manufacture our clinical drug supplies for ZGN-1061 and our other product candidates, and to the extent we elect to commercialize ZGN-1061 or our other product candidates on our own, we intend to rely on third parties to produce commercial supplies of such products, and nonclinical, clinical and commercial supplies of any future product candidate.</w:t>
      </w:r>
    </w:p>
    <w:p>
      <w:pPr>
        <w:spacing w:after="0" w:line="5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do not currently have, nor do we currently plan to acquire, the infrastructure or capability to internally manufacture our clinical drug supply of ZGN-1061 or any of our other product candidates, for use in the conduct of our nonclinical studies and clinical trials, and we lack the internal resources and the capability to manufacture any product candidates on a clinical or commercial scale. The CMOs used to manufacture the active drug substance and final drug product must be approved by our quality assurance unit and inspected by the FDA and other comparable foreign regulatory agencies.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 w:name="page37"/>
    <w:bookmarkEnd w:id="36"/>
    <w:p>
      <w:pPr>
        <w:ind w:right="40" w:firstLine="518"/>
        <w:spacing w:after="0" w:line="288" w:lineRule="auto"/>
        <w:rPr>
          <w:sz w:val="20"/>
          <w:szCs w:val="20"/>
          <w:color w:val="auto"/>
        </w:rPr>
      </w:pPr>
      <w:r>
        <w:rPr>
          <w:rFonts w:ascii="Arial" w:cs="Arial" w:eastAsia="Arial" w:hAnsi="Arial"/>
          <w:sz w:val="16"/>
          <w:szCs w:val="16"/>
          <w:color w:val="auto"/>
        </w:rPr>
        <w:t>We rely on our CMOs to comply with cGMPs for manufacture of starting materials, active drug substance and finished drug products. If our CMOs cannot successfully manufacture material that conforms to our specifications and the regulatory requirements of the FDA or applicable foreign regulatory agencies, the CMOs will not be able to secure and/or maintain regulatory approval for their manufacturing facilities or regulatory agencies may find deficiencies with their facilities and refuse to approve our marketing applications. While we manage our quality expectations through an audit program for our vendors and suppliers, we have no direct control over our CMOs’ ability to maintain adequate quality control, quality assurance and qualified personnel. Furthermore, our CMOs are engaged with third party vendors to supply and/or manufacture starting materials or components for them, which exposes our CMOs to regulatory risks for the production of such materials and components. As a result, failure to satisfy the regulatory requirements for the production of those materials and components may affect supply. If the FDA or an applicable foreign regulatory agency finds deficiencies with or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6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rely completely on third-party suppliers to manufacture our nonclinical and clinical drug supplies for ZGN-1061 and our nonclinical drug supplies and future clinical drug supplies for our other product candidates. Currently each batch of ZGN-1061, ZGN-1258 and ZGN-1345 is individually contracted under a work order, which is governed by a quality and service agreement. There is sufficient supply of ZGN-1258 drug substance to support any clinical trials of ZGN-1258 through Phase 2 should our evaluations warrant further development of ZGN-1258. At later stages of development, the drug substance manufacturing process may be further optimized to support advanced clinical development and commercialization. A new formulation with longer shelf life has been developed and manufactured to support clinical development for ZGN-1061.</w:t>
      </w:r>
    </w:p>
    <w:p>
      <w:pPr>
        <w:spacing w:after="0" w:line="2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in the United States, we may never receive regulatory approval to market such product candidate outside of the United States.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may pursue marketing approval for certain of our product candidates in the United States, the EU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March 20, 2017, the United Kingdom government started the process to leave the EU, or Brexit. The effects of Brexit will depend on any agreements the United Kingdom makes to retain access to EU markets either during a transitional period or more permanently. Brexit could lead to legal uncertainty and potentially divergent national laws and regulation as the United Kingdom determines which EU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results of operations and prospects.</w:t>
      </w:r>
    </w:p>
    <w:p>
      <w:pPr>
        <w:spacing w:after="0" w:line="2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it may not achieve broad market acceptance, which would limit the revenue that we generate from its sales.</w:t>
      </w:r>
    </w:p>
    <w:p>
      <w:pPr>
        <w:spacing w:after="0" w:line="62"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commercial success of a product candidate, if developed and approved for marketing by the FDA or EMA or other applicable regulatory authorities, will depend upon the awareness and acceptance of our product candidates among the medical community, including physicians, patients, advocacy groups and healthcare payors. Market acceptance of a product candidate, if approved, will depend on a number of factors, including, among others:</w:t>
      </w:r>
    </w:p>
    <w:p>
      <w:pPr>
        <w:spacing w:after="0" w:line="39"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relative convenience and ease of subcutaneous injections as the necessary method of administration of most of our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 product candidate;</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 product candidate by the FDA, EMA, or other regulatory authorities, such as a “black box” warning;</w:t>
      </w:r>
    </w:p>
    <w:p>
      <w:pPr>
        <w:spacing w:after="0" w:line="62" w:lineRule="exact"/>
        <w:rPr>
          <w:rFonts w:ascii="Arial" w:cs="Arial" w:eastAsia="Arial" w:hAnsi="Arial"/>
          <w:sz w:val="18"/>
          <w:szCs w:val="18"/>
          <w:color w:val="auto"/>
        </w:rPr>
      </w:pPr>
    </w:p>
    <w:p>
      <w:pPr>
        <w:jc w:val="both"/>
        <w:ind w:left="1040" w:right="820" w:hanging="519"/>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availability of alternative treatments, including a number of competitive type 2 diabetes therapies already approved or expected to be commercially launched in the near future and/or future availability of newly approved treatments currently in development for PWS;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awareness of a product candidate through marketing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17" w:lineRule="exact"/>
        <w:rPr>
          <w:rFonts w:ascii="Arial" w:cs="Arial" w:eastAsia="Arial" w:hAnsi="Arial"/>
          <w:sz w:val="18"/>
          <w:szCs w:val="18"/>
          <w:color w:val="auto"/>
        </w:rPr>
      </w:pPr>
    </w:p>
    <w:p>
      <w:pPr>
        <w:ind w:left="1040" w:right="200" w:hanging="519"/>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2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If a product candidate is approved but does not achieve an adequate level of acceptance by patients, advocacy groups, physicians and payors, we may not generate sufficient revenue from a product candidate to become or remain profitable. Before granting reimbursement approval, healthcare payors may require us to demonstrate that, in addition to treating type 2 diabetes in patients, a product candidate also provides incremental health benefits to patients. Our efforts to educate the medical community and third-party payors about the benefits of a product candidate may require significant resources and may never be successful.</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a product candidate, we may not be able to generate any revenue.</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do not currently have an established infrastructure for the sales, marketing and distribution of pharmaceutical products. In order to market a product candidate,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a product candidate, we may still face future development and regulatory difficulties.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Even if we receive marketing approval for a product candidate, regulatory authorities may still impose significant restrictions on the indicated uses or marketing of our product candidates, or may impose ongoing requirements for potentially costly post-approval studies. A product candidate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post-approval regulatory requirements and potential requirements or restrictions on the sale of approved products, all of which could lead to lower sales volume and revenue. Additionally, the FDA may require a PMS and/or PMRs, that could represent and result in additional restrictions and/or limitations for the product.</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ind w:firstLine="518"/>
        <w:spacing w:after="0" w:line="297" w:lineRule="auto"/>
        <w:rPr>
          <w:sz w:val="20"/>
          <w:szCs w:val="20"/>
          <w:color w:val="auto"/>
        </w:rPr>
      </w:pPr>
      <w:r>
        <w:rPr>
          <w:rFonts w:ascii="Arial" w:cs="Arial" w:eastAsia="Arial" w:hAnsi="Arial"/>
          <w:sz w:val="16"/>
          <w:szCs w:val="16"/>
          <w:color w:val="auto"/>
        </w:rPr>
        <w:t>Manufacturers of drug products and their facilities are subject to continual review and periodic inspections by the FDA and other regulatory authorities for compliance with cGMPs and other regulations. If we or a regulatory agency discover problems with a product candidate, such as adverse events of unanticipated severity or frequency, or problems with the facility where a product candidate is manufactured, a regulatory agency may impose restrictions on a product candidate, the manufacturer or us, including requiring withdrawal of a product candidate from the market or suspension of manufacturing. If we or the manufacturing facilities for a product candidate fail to comply with applicable regulatory requirements, a regulatory agency may, among other things:</w:t>
      </w:r>
    </w:p>
    <w:p>
      <w:pPr>
        <w:spacing w:after="0" w:line="50"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225"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Competing technologies could emerge, including devices and surgical procedures, adversely affecting our opportunity to generate revenue from the sale of ZGN-1061 or our other product candidates, if approved.</w:t>
      </w:r>
    </w:p>
    <w:p>
      <w:pPr>
        <w:spacing w:after="0" w:line="62"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ZGN-1061 or our other product candidates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ZGN-1061 or our other product candidates. If we are not able to compete effectively against our current and future competitors, our business will not grow and our financial condition and operations will suffer.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30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Our future profitability will depend, in part, on our ability to commercialize a product candidate in foreign markets for which we may rely on collaborations with third parties. If we commercialize a product candidate in foreign markets, we would be subject to additional risks and uncertainties, including:</w:t>
      </w:r>
    </w:p>
    <w:p>
      <w:pPr>
        <w:spacing w:after="0" w:line="73"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62"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ZGN-1061 or our other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ZGN-1061 or our other product candidates, if we obtain marketing approval.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50" w:lineRule="exact"/>
        <w:rPr>
          <w:sz w:val="20"/>
          <w:szCs w:val="20"/>
          <w:color w:val="auto"/>
        </w:rPr>
      </w:pPr>
    </w:p>
    <w:p>
      <w:pPr>
        <w:ind w:left="1040" w:right="80" w:hanging="519"/>
        <w:spacing w:after="0" w:line="31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38" w:lineRule="exact"/>
        <w:rPr>
          <w:rFonts w:ascii="Arial" w:cs="Arial" w:eastAsia="Arial" w:hAnsi="Arial"/>
          <w:sz w:val="16"/>
          <w:szCs w:val="16"/>
          <w:color w:val="auto"/>
        </w:rPr>
      </w:pPr>
    </w:p>
    <w:p>
      <w:pPr>
        <w:ind w:left="1040" w:right="40" w:hanging="519"/>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40" w:right="200" w:hanging="519"/>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560" w:hanging="519"/>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hanging="519"/>
        <w:spacing w:after="0" w:line="286"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0" w:name="page41"/>
    <w:bookmarkEnd w:id="40"/>
    <w:p>
      <w:pPr>
        <w:ind w:left="1040" w:right="100" w:hanging="519"/>
        <w:spacing w:after="0" w:line="279"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1040" w:right="4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40" w:right="60" w:hanging="519"/>
        <w:spacing w:after="0" w:line="297"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58"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addition, regulators globally are also imposing greater monetary fines for privacy violations. For example, in 2016, the EU adopted a new regulation governing data practices and privacy called the General Data Protection Regulation, or GDPR, which became effective on May 25, 2018.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operate.</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prescription products, such as ZGN-1061 or our other product candidates, if approved. If we receive marketing approval for ZGN-1061, or our other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or OIG. The FDA has also requested that companies enter into consent decrees or permanent injunctions under which specified promotional conduct is changed or curtailed. If we cannot successfully manage the promotion of ZGN-1061 or our other product candidates, if approved, we could become subject to significant liability, which would materially adversely affect our business and financial condition.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product candidates that we elect to sell on our own.</w:t>
      </w:r>
    </w:p>
    <w:p>
      <w:pPr>
        <w:spacing w:after="0" w:line="117"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product candidates that we elect to sell on our own and, if reimbursement is available, the level of such reimbursement. Reimbursement may impact the demand for,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right="100"/>
        <w:spacing w:after="0" w:line="277" w:lineRule="auto"/>
        <w:rPr>
          <w:sz w:val="20"/>
          <w:szCs w:val="20"/>
          <w:color w:val="auto"/>
        </w:rPr>
      </w:pPr>
      <w:r>
        <w:rPr>
          <w:rFonts w:ascii="Arial" w:cs="Arial" w:eastAsia="Arial" w:hAnsi="Arial"/>
          <w:sz w:val="18"/>
          <w:szCs w:val="18"/>
          <w:color w:val="auto"/>
        </w:rPr>
        <w:t>the price of, product candidates that we elect to sell on our own. If reimbursement is not available or is available only at limited levels, we may not be able to successfully commercialize product candidates that we elect to sell on our own.</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9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regulatory approval of and commercialize our drug candidates and affect the prices we may obtain.</w:t>
      </w:r>
    </w:p>
    <w:p>
      <w:pPr>
        <w:spacing w:after="0" w:line="62" w:lineRule="exact"/>
        <w:rPr>
          <w:sz w:val="20"/>
          <w:szCs w:val="20"/>
          <w:color w:val="auto"/>
        </w:rPr>
      </w:pPr>
    </w:p>
    <w:p>
      <w:pPr>
        <w:ind w:right="100" w:firstLine="518"/>
        <w:spacing w:after="0" w:line="286" w:lineRule="auto"/>
        <w:rPr>
          <w:sz w:val="20"/>
          <w:szCs w:val="20"/>
          <w:color w:val="auto"/>
        </w:rPr>
      </w:pPr>
      <w:r>
        <w:rPr>
          <w:rFonts w:ascii="Arial" w:cs="Arial" w:eastAsia="Arial" w:hAnsi="Arial"/>
          <w:sz w:val="16"/>
          <w:szCs w:val="16"/>
          <w:color w:val="auto"/>
        </w:rPr>
        <w:t>The Affordable Care Act, or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the Centers for Medicare and Medicaid Services, or CMS,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 know at this time what implications these changes and other, proposed changes, if enacted, would have on the ACA’s current requirements or on our future business. Changes to the ACA or other existing health care regulations could significantly impact our business and the pharmaceutical industry.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and we may be unsuccessful.</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As part of our business strategy, we may seek to obtain orphan drug designation for certain of our product candidates in the United States and the EU. We may be unsuccessful in obtaining orphan drug designation, and if we do, we may not receive orphan drug exclusivity for these products.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chemical entity and is intended for the same use as the drug in question. A designated orphan drug may not receive orphan drug exclusivity if it is approved for a use that is broader than the indication for which it received orphan designation.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development programs for our product candidates, which are primarily related to ZGN-1061, ZGN-1258 and ZGN-1345, may require substantial financial resources and may ultimately be unsuccessful.</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lead product candidate ZGN-1061 has completed a Phase 1 clinical trial and is currently in Phase 2 clinical development, and there are a number of FDA and certain European regulatory requirements that we must satisfy before we can commence late-stage clinical trials of ZGN-1061. Satisfaction of these requirements will entail substantial time, effort and financial resources. We may never satisfy these requirements. ZGN-1258 is currently being evaluated following our March 2019 announcement to suspend plans to file an IND for ZGN-1258 based on an unexpected finding in muscle tissue in rodent toxicology studies and ZGN-1345 is still in nonclinical development. We believe that our cash, cash equivalents and marketable securities will be sufficient to fund operations for a period of at least one year from the issuance date of this Quarterly Report, but we will need to raise more funds to continue development and commercialization of ZGN-1061, ZGN-1258 (if further evaluations warrant its continued development and potential commercialization), ZGN-1345 and our other product candidates, which may not be easily available. Furthermore, any time, effort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ind w:right="100"/>
        <w:spacing w:after="0" w:line="257" w:lineRule="auto"/>
        <w:rPr>
          <w:sz w:val="20"/>
          <w:szCs w:val="20"/>
          <w:color w:val="auto"/>
        </w:rPr>
      </w:pPr>
      <w:r>
        <w:rPr>
          <w:rFonts w:ascii="Arial" w:cs="Arial" w:eastAsia="Arial" w:hAnsi="Arial"/>
          <w:sz w:val="18"/>
          <w:szCs w:val="18"/>
          <w:color w:val="auto"/>
        </w:rPr>
        <w:t>financial resources we expend on our other early-stage development programs may adversely affect our ability to continue development and commercialization of ZGN-1061, ZGN-1258 (if further evaluations warrant its continued development and potential commercialization) and ZGN-1345, and we may never commence clinical trials of such development programs despite expending significant resources in pursuit of their development. If we do commence clinical trials of our other potential product candidates, such product candidates may never be approved by the FDA or other regulatory authorities.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ZGN-1061, ZGN-1258, ZGN-1345 or future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As of July 31, 2019, we own two issued U.S. patents, two pending U.S. patent applications and related pending foreign counterpart patent applications, as well as two pending Patent Cooperation Treaty, or PCT patent application, and two pending U.S. provisional patent applications that relate to ZGN-1061.</w:t>
      </w:r>
    </w:p>
    <w:p>
      <w:pPr>
        <w:spacing w:after="0" w:line="124"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As of July 31, 2019, we own one issued U.S. patent, two pending U.S. patent applications, and two pending PCT patent applications that relate to ZGN-1258.</w:t>
      </w:r>
    </w:p>
    <w:p>
      <w:pPr>
        <w:spacing w:after="0" w:line="170" w:lineRule="exact"/>
        <w:rPr>
          <w:sz w:val="20"/>
          <w:szCs w:val="20"/>
          <w:color w:val="auto"/>
        </w:rPr>
      </w:pPr>
    </w:p>
    <w:p>
      <w:pPr>
        <w:ind w:right="880" w:firstLine="518"/>
        <w:spacing w:after="0" w:line="277" w:lineRule="auto"/>
        <w:rPr>
          <w:sz w:val="20"/>
          <w:szCs w:val="20"/>
          <w:color w:val="auto"/>
        </w:rPr>
      </w:pPr>
      <w:r>
        <w:rPr>
          <w:rFonts w:ascii="Arial" w:cs="Arial" w:eastAsia="Arial" w:hAnsi="Arial"/>
          <w:sz w:val="18"/>
          <w:szCs w:val="18"/>
          <w:color w:val="auto"/>
        </w:rPr>
        <w:t>As of July 31, 2019, we own two pending U.S. patent applications, and related worldwide patent applications, and two pending PCT patent applications, and one pending U.S. provisional patent application that relates to ZGN-1345.</w:t>
      </w:r>
    </w:p>
    <w:p>
      <w:pPr>
        <w:spacing w:after="0" w:line="170"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As of July 31, 2019, we own twenty-two issued U.S. patents, and three pending U.S. patent applications with pending foreign counterpart applications and three pending U.S. provisional patent applications, all of which relate to our internal efforts to discover novel MetAP2 inhibitors.</w:t>
      </w:r>
    </w:p>
    <w:p>
      <w:pPr>
        <w:spacing w:after="0" w:line="14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We cannot provide any assurances that any of our pending patent applications that mature into issued patents will include claims with a scope sufficient to protect ZGN-1061, ZGN-1258, ZGN-1345, and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ZGN-1061, ZGN-1258, ZGN-1345, and our other product candidates.</w:t>
      </w:r>
    </w:p>
    <w:p>
      <w:pPr>
        <w:spacing w:after="0" w:line="17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93"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ind w:right="660"/>
        <w:spacing w:after="0" w:line="277" w:lineRule="auto"/>
        <w:rPr>
          <w:sz w:val="20"/>
          <w:szCs w:val="20"/>
          <w:color w:val="auto"/>
        </w:rPr>
      </w:pPr>
      <w:r>
        <w:rPr>
          <w:rFonts w:ascii="Arial" w:cs="Arial" w:eastAsia="Arial" w:hAnsi="Arial"/>
          <w:sz w:val="18"/>
          <w:szCs w:val="18"/>
          <w:color w:val="auto"/>
        </w:rPr>
        <w:t>business operations. We may not prevail in any lawsuits that we initiate and the damages or other remedies awarded if we were to prevail may not be commercially meaningful.</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ZGN-1061, ZGN-1258 or ZGN-1345, are invalidated or found unenforceable, our financial position and results of operations would be materially and adversely impacted. In addition, if a court found that valid, enforceable patents held by third parties covered ZGN-1061, ZGN-1258 or ZGN-1345, our financial position and results of operations would also be materially and adversely impacted.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40" w:right="4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ZGN-1061, ZGN-1258, ZGN-1345 or any other products or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 able to successfully develop and commercialize ZGN-1061, ZGN-1258 or ZGN-1345, if approved, before our relevant patents expire;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ZGN-1061 or our other product candidates, if approved.</w:t>
      </w:r>
    </w:p>
    <w:p>
      <w:pPr>
        <w:spacing w:after="0" w:line="62"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4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pharmaceutical industry is characterized by extensive litigation regarding patents and other intellectual property rights. Other parties may allege that ZGN-1061 or our other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ZGN-1061 or our other product candidates.</w:t>
      </w:r>
    </w:p>
    <w:p>
      <w:pPr>
        <w:spacing w:after="0" w:line="179"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redesign our products. Patent litigation is costly and time consuming. We may not have sufficient resources to bring these actions to a successful conclusion.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10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ZGN-1061;</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cease preparations or developing or our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28" w:lineRule="exact"/>
        <w:rPr>
          <w:rFonts w:ascii="Arial" w:cs="Arial" w:eastAsia="Arial" w:hAnsi="Arial"/>
          <w:sz w:val="17"/>
          <w:szCs w:val="17"/>
          <w:color w:val="auto"/>
        </w:rPr>
      </w:pPr>
    </w:p>
    <w:p>
      <w:pPr>
        <w:ind w:left="1040" w:right="60" w:hanging="519"/>
        <w:spacing w:after="0" w:line="308"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38"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have an exclusive license with Children’s Medical Center Corporation, pursuant to which we exclusively licensed certain patent rights relating to decreasing the growth of fat tissue, on a worldwide basis. We may enter into additional licenses for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ZGN-1061 or our other product candidates and failure to secure such registrations could adversely affect our business.</w:t>
      </w:r>
    </w:p>
    <w:p>
      <w:pPr>
        <w:spacing w:after="0" w:line="6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have not yet registered trademarks for a commercial trade name for ZGN-1061 or our other product candidates. Any future trademark applications may be rejected during trademark registration proceedings. Although we would be given an opportunity to respond to those rejections, we may be unable to overcome such rejections. In addition, in the U.S. PTO and in comparable agencies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right="140"/>
        <w:spacing w:after="0" w:line="255" w:lineRule="auto"/>
        <w:rPr>
          <w:sz w:val="20"/>
          <w:szCs w:val="20"/>
          <w:color w:val="auto"/>
        </w:rPr>
      </w:pPr>
      <w:r>
        <w:rPr>
          <w:rFonts w:ascii="Arial" w:cs="Arial" w:eastAsia="Arial" w:hAnsi="Arial"/>
          <w:sz w:val="18"/>
          <w:szCs w:val="18"/>
          <w:color w:val="auto"/>
        </w:rPr>
        <w:t>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ZGN-1061, our business may be materially harmed.</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Depending upon the timing, duration and specifics of development and FDA marketing approval of ZGN-1061 or our other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collaboration partners’ patent applications and the enforcement or defense of our or our collaboration partners’ issued patents, all of which could harm our business, results of operations, financial condition and prospects.</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62" w:lineRule="exact"/>
        <w:rPr>
          <w:sz w:val="20"/>
          <w:szCs w:val="20"/>
          <w:color w:val="auto"/>
        </w:rPr>
      </w:pPr>
    </w:p>
    <w:p>
      <w:pPr>
        <w:ind w:right="460" w:firstLine="518"/>
        <w:spacing w:after="0" w:line="257" w:lineRule="auto"/>
        <w:rPr>
          <w:sz w:val="20"/>
          <w:szCs w:val="20"/>
          <w:color w:val="auto"/>
        </w:rPr>
      </w:pPr>
      <w:r>
        <w:rPr>
          <w:rFonts w:ascii="Arial" w:cs="Arial" w:eastAsia="Arial" w:hAnsi="Arial"/>
          <w:sz w:val="18"/>
          <w:szCs w:val="18"/>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7" w:name="page48"/>
    <w:bookmarkEnd w:id="47"/>
    <w:p>
      <w:pPr>
        <w:ind w:right="520"/>
        <w:spacing w:after="0" w:line="264" w:lineRule="auto"/>
        <w:rPr>
          <w:sz w:val="20"/>
          <w:szCs w:val="20"/>
          <w:color w:val="auto"/>
        </w:rPr>
      </w:pPr>
      <w:r>
        <w:rPr>
          <w:rFonts w:ascii="Arial" w:cs="Arial" w:eastAsia="Arial" w:hAnsi="Arial"/>
          <w:sz w:val="18"/>
          <w:szCs w:val="18"/>
          <w:color w:val="auto"/>
        </w:rPr>
        <w:t>in addition to paying money claims, we may lose valuable intellectual property rights or personnel. A loss of key personnel or their work product could hamper or prevent our ability to develop and commercialize ZGN-1061 or our other product candidates, which would materially adversely affect our business,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to attract, retain and motivate qualified personnel.</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success depends upon the principal members of our executive, medical and development teams, the loss of whose services may adversely impact the achievement of our research, development or commercialization objectives. We have entered into a severance and change in control agreement with our executive officers and department vice president level employees, but they may terminate their employment with us at any time. We also do not have any key-man life insurance on any of our executive officers or employees.</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With any change in leadership, there is also a risk to retention of employees, as well as the potential for disruption to business operations, initiatives, plans and strategies.</w:t>
      </w:r>
    </w:p>
    <w:p>
      <w:pPr>
        <w:spacing w:after="0" w:line="170"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also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our standard non-compete agreements. Recruiting and retaining qualified scientific personnel and sales and marketing personnel will also be critical to our success. We may not be able to attract and retain these personnel on acceptable terms given the workforce reduction and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 use of ZGN-1061 and our other product candidates in clinical trials, if any, and the sale of ZGN-1061 and our other product candidates, if developed and approved, exposes us to the risk of product liability claims. Product liability claims might be brought against us by patients, healthcare providers or others selling or otherwise coming into contact with ZGN-1061 or our other product candidates.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71"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ZGN-1061 or our other product candidates following marketing approval, if obtained;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successfully commercialize ZGN-1061 or our other product candidates, if approved.</w:t>
      </w:r>
    </w:p>
    <w:p>
      <w:pPr>
        <w:spacing w:after="0" w:line="225"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We maintain product liability insurance coverage for our clinical trials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ZGN-1061 or our other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7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62"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We currently are an “emerging growth company,” as defined in the Jumpstart our Business Startups Act of 2012, or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w:t>
      </w:r>
    </w:p>
    <w:p>
      <w:pPr>
        <w:spacing w:after="0" w:line="166"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7"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limitation of the tax deduction for interest expense, limitation of the deduction for net operating losses and elimination of net operating loss carrybacks and modifying or repealing many business deductions and credits (including reducing the business tax credit for certain clinical testing expenses incurred in the testing of certain drugs for rare diseases or conditions generally referred to as “orphan drugs”). Our net deferred tax assets and liabilities were revalued at the newly enacted U.S. corporate rate.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for federal and state income tax purposes of $55.7 million and $48.0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line="286" w:lineRule="auto"/>
        <w:rPr>
          <w:sz w:val="20"/>
          <w:szCs w:val="20"/>
          <w:color w:val="auto"/>
        </w:rPr>
      </w:pPr>
      <w:r>
        <w:rPr>
          <w:rFonts w:ascii="Arial" w:cs="Arial" w:eastAsia="Arial" w:hAnsi="Arial"/>
          <w:sz w:val="16"/>
          <w:szCs w:val="16"/>
          <w:color w:val="auto"/>
        </w:rPr>
        <w:t>respectively, which begin to expire in 2026 and 2030, respectively. As of December 31, 2018, we also had available tax credit carryforwards for federal and state income tax purposes of $16.6 million and $3.4 million, respectively, which begin to expire in 2026 and 2022, respectively.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and other transactions that have 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 As of December 31, 2018, we had net operating loss carryforwards that were generated after December 31, 2017, of $9.5 million that do not expire.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or other contractors or consultants, may fail or suffer security breaches, which could result in a material disruption of our ZGN-1061, ZGN-1258, ZGN-1345 or other product candidate development programs.</w:t>
      </w:r>
    </w:p>
    <w:p>
      <w:pPr>
        <w:spacing w:after="0" w:line="38"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or accident, if such an event were to occur and cause interruptions in our operations, it could result in a material disruption of our programs. For example, the loss of clinical trial data for ZGN-1061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ZGN-1061 or our other product candidates could be delayed.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MetAP2 platform. Although our product candidates are in the nonclinical and clinical development stage,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such as ZGN-1061, we may decide to collaborate with pharmaceutical and biotechnology companies for the development and potential commercialization of those product candidates in some or all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0" w:name="page51"/>
    <w:bookmarkEnd w:id="50"/>
    <w:p>
      <w:pPr>
        <w:ind w:right="20" w:firstLine="518"/>
        <w:spacing w:after="0" w:line="289"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for ZGN-1061 or our other product candidates will depend, among other things, upon our assessment of the collaborator’s resources and expertise, the terms and conditions of the proposed collaboration and the proposed collaborator’s evaluation of a number of factors, and whether we are able to resolve the clinical hold on ZGN-1061.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67" w:lineRule="exact"/>
        <w:rPr>
          <w:sz w:val="20"/>
          <w:szCs w:val="20"/>
          <w:color w:val="auto"/>
        </w:rPr>
      </w:pPr>
    </w:p>
    <w:p>
      <w:pPr>
        <w:ind w:right="580" w:firstLine="518"/>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or unwilling to do so, we may have to curtail the development of ZGN-1061 or our other product candidates for which we are seeking to collaborate, reduce or delay its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8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addition, any future collaborations that we enter into for ZGN-1061 or our other product candidates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15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we will achieve the expected synergies to justify the transaction.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ZGN-1061, ZGN-1258, ZGN-1345, beloranib, ZGN-839 and additional MetAP2 inhibitors. We have never generated any revenue from product sales. We have not obtained regulatory approvals for any of our product candidates.</w:t>
      </w:r>
    </w:p>
    <w:p>
      <w:pPr>
        <w:spacing w:after="0" w:line="18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Since our inception and until July 2016, we focused substantially all of our efforts and financial resources on developing beloranib, which was in Phase 3 clinical development for our lead indication of the treatment of hyperphagia and obesity in patients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spacing w:after="0" w:line="272" w:lineRule="auto"/>
        <w:rPr>
          <w:sz w:val="20"/>
          <w:szCs w:val="20"/>
          <w:color w:val="auto"/>
        </w:rPr>
      </w:pPr>
      <w:r>
        <w:rPr>
          <w:rFonts w:ascii="Arial" w:cs="Arial" w:eastAsia="Arial" w:hAnsi="Arial"/>
          <w:sz w:val="17"/>
          <w:szCs w:val="17"/>
          <w:color w:val="auto"/>
        </w:rPr>
        <w:t>with PWS and Phase 2 clinical development for the treatment of obesity in patients with hypothalamic injury-associated obesity, or HIAO. In December 2015, the FDA put the beloranib IND application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 In early 2018, we announced that we are returning to the rare metabolic disease space with a second highly optimized MetAP2 development candidate, ZGN-1258, targeting an initial indication of PWS. In March 2019, we suspended our plans to file an IND for ZGN-1258 in order to evaluate ZGN-1258 following an unexpected finding in muscle tissue in rodent toxicology studies.</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have funded our operations to date through proceeds from sales of redeemable convertible preferred stock, convertible debt and proceeds from our IPO and follow-on public offerings, and have incurred losses in each year since our inception. In July 2018, we sold 9,200,000 shares of our common stock at a price of $7.50 per share. Our net losses were $25.2 million for the six months ended June 30, 2019 and $61.4 million for the year ended December 31, 2018. As of June 30, 2019, we had an accumulated deficit of $376.2 million. Substantially all of our operating losses resulted from costs incurred in connection with our development programs for ZGN-1061, ZGN-1258, ZGN-1345, beloranib, ZGN-839, early research activities, licensing milestone fees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will increase over time in connection with our expected clinical development of ZGN-1061, ZGN-1258 (if our further evaluation of ZGN-1258 warrants continued development), and of any other product candidates we may choose to pursue, including ZGN-1345. In addition, if and when we obtain marketing approval for ZGN-1061, ZGN-1258 (if our further evaluation of ZGN-1258 warrants continued development and potential commercialization) or ZGN-1345 we will incur significant sales, marketing and outsourced manufacturing expenses. We will continue to incur additional costs associated with operating as a public company. As a result, we expect to continue to incur significant operating losses that would increase over time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6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our product candidates. Our ability to generate revenue depends on a number of factors, including, but not limited to, our ability to:</w:t>
      </w:r>
    </w:p>
    <w:p>
      <w:pPr>
        <w:spacing w:after="0" w:line="79"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submit IND applications that go into effect with the FDA to initiate clinical trials for ZGN-1061, ZGN-1258 (if our further evaluation warrants continued development of ZGN-1258) and ZGN-1345;</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ZGN-1061 in the indications we are pursuing;</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commercialize our product candidates, if developed and approved, by developing a sales force or entering into collaborations with third parties;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Absent our entering into a collaboration or partnership agreement, we expect to incur significant sales and marketing costs when we prepare to commercialize our product candidates. Even if we initiate and successfully complete our clinical trials of our product candidates, and our product candidates are approved for commercial sale, and despite expending these costs, our product candidates may not be commercially successful drugs. We may not achieve profitability soon after generating product sales, if ever. If we are unable to generate sufficient product revenue, we will not become profitable and may be unable to continue operations without continued funding.</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Developing small molecule products is expensive, and we expect our research and development expenses to increase substantially in connection with our ongoing activities, particularly as we advance ZGN-1061 into later stage clinical trials and as we continue our preparations for receiving permission for our INDs to go into effect for ZGN-1061, ZGN-1258 (if our further evaluation of ZGN-1258 warrants continued preparations) and ZGN-1345 with the FDA and advance ZGN-1258 (if our further evaluation of ZGN-1258 warrants advancement) and ZGN-1345 into the clinical trial stage. Depending on the status of regulatory approval or, if approved, commercialization of ZGN-1061, ZGN-1258 (if our further evaluation of ZGN-1258 warrants continued development and potential commercialization), ZGN-1345 or any of our other product candidates, as well as the progress we make in selling ZGN-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jc w:val="both"/>
        <w:ind w:right="60"/>
        <w:spacing w:after="0" w:line="264" w:lineRule="auto"/>
        <w:rPr>
          <w:sz w:val="20"/>
          <w:szCs w:val="20"/>
          <w:color w:val="auto"/>
        </w:rPr>
      </w:pPr>
      <w:r>
        <w:rPr>
          <w:rFonts w:ascii="Arial" w:cs="Arial" w:eastAsia="Arial" w:hAnsi="Arial"/>
          <w:sz w:val="18"/>
          <w:szCs w:val="18"/>
          <w:color w:val="auto"/>
        </w:rPr>
        <w:t>1061, ZGN-1258, ZGN-1345 or any of our other product candidates, we will require additional capital to fund operating needs thereafter. We may also need to raise additional funds sooner if we choose to pursue additional indications and/or geographies for ZGN-1061, ZGN-1258, ZGN-1345, or our other product candidates or otherwise expand more rapidly than we presently anticipate.</w:t>
      </w:r>
    </w:p>
    <w:p>
      <w:pPr>
        <w:spacing w:after="0" w:line="18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As of June 30, 2019, our cash, cash equivalents and marketable securities were $91.7 million and we have a Term Loan with an outstanding principal balance of $18.2 million. The Term Loan is collateralized by substantially all of our personal property, other than our intellectual property. Additionally, we, as the borrower, are required to maintain a minimum unrestricted cash, cash equivalents and marketable securities balance at Silicon Valley Bank of no less than 105% of the total outstanding principal balance of the Term Loan, which as of June 30, 2019 and December 31, 2018 was $19.1 million and $21.0 million, respectively.</w:t>
      </w:r>
    </w:p>
    <w:p>
      <w:pPr>
        <w:spacing w:after="0" w:line="188"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Further, as part of the requirements of the Term Loan, we must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 There are negative covenants restricting our activities, including limitations on dispositions, mergers or acquisitions, encumbering or granting a security interest in our intellectual property, incurring indebtedness or liens, paying dividends, making certain investments, permit the aggregate value of cash maintained by our Australian subsidiary not to exceed $4.0 million and certain other business transactions. The Term Loan also includes events of default, the occurrence and continuation of any of which provides the lenders the right to exercise remedies against us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w:t>
      </w:r>
    </w:p>
    <w:p>
      <w:pPr>
        <w:spacing w:after="0" w:line="169"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We expect that our cash, cash equivalents and marketable securities will be sufficient to fund our current operations for a period of at least one year from the issuance date of this Quarterly Report.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8"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w:t>
      </w:r>
    </w:p>
    <w:p>
      <w:pPr>
        <w:spacing w:after="0" w:line="117"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collaborations and strategic and licensing arrangements. On July 2, 2018, we completed a public offering of our common stock, which resulted in the sale of 9,200,000 shares at a price of $7.50 per share, resulting in net proceeds of approximately $64.6 million after deducting underwriting discounts and commissions, as well as offering costs. On November 9, 2018, we entered into a sales agreement, or the Sales Agreement, with Cowen and Company, LLC, or Cowen, to sell shares of our common stock, with aggregate gross sales proceeds of up to $50.0 million, from time to time, through an at-the-market equity offering program under which Cowen will act as its sales agent. Through June 30, 2019 we have not sold any shares under the Sales Agreement.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3" w:name="page54"/>
    <w:bookmarkEnd w:id="53"/>
    <w:p>
      <w:pPr>
        <w:spacing w:after="0" w:line="257" w:lineRule="auto"/>
        <w:rPr>
          <w:sz w:val="20"/>
          <w:szCs w:val="20"/>
          <w:color w:val="auto"/>
        </w:rPr>
      </w:pPr>
      <w:r>
        <w:rPr>
          <w:rFonts w:ascii="Arial" w:cs="Arial" w:eastAsia="Arial" w:hAnsi="Arial"/>
          <w:sz w:val="18"/>
          <w:szCs w:val="18"/>
          <w:color w:val="auto"/>
        </w:rPr>
        <w:t>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ZGN-1061 or our other product candidates, our intellectual property, future revenue streams or grant licenses on terms that are not favorable to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stock price will continue to fluctuate significantly.</w:t>
      </w:r>
    </w:p>
    <w:p>
      <w:pPr>
        <w:spacing w:after="0" w:line="117"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market price of shares of our common stock, similar to the market price of shares of common stock of other biopharmaceutical companies, is subject to wide fluctuations. From January 1, 2019 to June 30, 2019 the daily closing price of our common stock on the NASDAQ Global Market ranged from a high of $5.30 to a low of $1.18 and will continue to be subject to wide fluctuations in response to many risk factors listed in this section, and others beyond our control, including:</w:t>
      </w:r>
    </w:p>
    <w:p>
      <w:pPr>
        <w:spacing w:after="0" w:line="7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ZGN-1061 and/or our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the FDA to permit an IND to go into effect for ZGN-1061 or our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the FDA or the EMA to approve ZGN-1061 or our other product candidates;</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an adequate safety margin and profile for ZGN-1061 or our other product candidates, including risk of serious thromboembolic events;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or failure of other type 2 diabetes or PWS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ZGN-1061, or our other product candidates, if successfully developed and approved, to achieve commercial success;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continue to evaluate ZGN-1258 following an unexpected finding in rodent toxicology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Our executive officers, directors, and principal stockholders exercise significant control over our company.</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As of July 31, 2019, the existing holdings of our executive officers, directors, principal stockholders and their affiliates, including investment funds affiliated with Armistice Capital, LLC, Atlas Ventures, entities affiliated with Fidelity Investment and Great Point Partners, LLC, represent beneficial ownership, in the aggregate, of approximately 34.8%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5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including us, have experienced significant stock price volatility in the past.</w:t>
      </w:r>
    </w:p>
    <w:p>
      <w:pPr>
        <w:spacing w:after="0" w:line="28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have availed ourselves of reduced disclosure requirements applicable to emerging growth companies and smaller reporting companies, which could make our common stock less attractive to investors.</w:t>
      </w:r>
    </w:p>
    <w:p>
      <w:pPr>
        <w:spacing w:after="0" w:line="16"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We are an “emerging growth company,” as defined in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cannot predict if investors will find our common stock less attractive because we may rely on any of the exemptions available under the JOBS Act.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$1.07 billion or more;</w:t>
      </w:r>
    </w:p>
    <w:p>
      <w:pPr>
        <w:spacing w:after="0" w:line="2" w:lineRule="exact"/>
        <w:rPr>
          <w:sz w:val="20"/>
          <w:szCs w:val="20"/>
          <w:color w:val="auto"/>
        </w:rPr>
      </w:pPr>
    </w:p>
    <w:p>
      <w:pPr>
        <w:ind w:right="160" w:firstLine="8"/>
        <w:spacing w:after="0" w:line="261"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December 31, 2019; (iii) the date on which we have issued more than $1 billion in nonconvertible debt during the previous three years; and (iv) the date on which we are deemed to be a large accelerated filer under the rules of the SEC.</w:t>
      </w:r>
    </w:p>
    <w:p>
      <w:pPr>
        <w:spacing w:after="0" w:line="184"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are also a smaller reporting company, and we will remain a smaller reporting company as long as our voting and non-voting common shares held by non-affiliates is less than $250 million measured on the last business day of our second fiscal quarter, or our annual revenues are less than $100 million during the most recently completed fiscal year and our voting and non-voting common shares held by non-affiliates is less than $700 million measured on the last business day of our second fiscal quarter.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5" w:name="page56"/>
    <w:bookmarkEnd w:id="55"/>
    <w:p>
      <w:pPr>
        <w:jc w:val="both"/>
        <w:ind w:right="60" w:firstLine="518"/>
        <w:spacing w:after="0" w:line="286" w:lineRule="auto"/>
        <w:rPr>
          <w:sz w:val="20"/>
          <w:szCs w:val="20"/>
          <w:color w:val="auto"/>
        </w:rPr>
      </w:pPr>
      <w:r>
        <w:rPr>
          <w:rFonts w:ascii="Arial" w:cs="Arial" w:eastAsia="Arial" w:hAnsi="Arial"/>
          <w:sz w:val="17"/>
          <w:szCs w:val="17"/>
          <w:color w:val="auto"/>
        </w:rPr>
        <w:t>We may choose to take advantage of some, but not all, of the available exemptions for emerging growth companies and smaller reporting companies. We cannot predict whether investors will find our common stock less attractive if we rely on these exemptions. If some investors find our common stock less attractive as a result, there may be a less active trading market for our common stock and our shares price may be more volatile.</w:t>
      </w:r>
    </w:p>
    <w:p>
      <w:pPr>
        <w:spacing w:after="0" w:line="27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16" w:lineRule="exact"/>
        <w:rPr>
          <w:sz w:val="20"/>
          <w:szCs w:val="20"/>
          <w:color w:val="auto"/>
        </w:rPr>
      </w:pPr>
    </w:p>
    <w:p>
      <w:pPr>
        <w:ind w:right="480" w:firstLine="518"/>
        <w:spacing w:after="0" w:line="259"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73"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6" w:name="page57"/>
    <w:bookmarkEnd w:id="56"/>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40" w:type="dxa"/>
            <w:vAlign w:val="bottom"/>
            <w:gridSpan w:val="8"/>
          </w:tcPr>
          <w:p>
            <w:pPr>
              <w:ind w:left="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20" w:type="dxa"/>
            <w:vAlign w:val="bottom"/>
            <w:gridSpan w:val="7"/>
            <w:vMerge w:val="restart"/>
          </w:tcPr>
          <w:p>
            <w:pPr>
              <w:ind w:left="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w:t>
            </w:r>
          </w:p>
        </w:tc>
        <w:tc>
          <w:tcPr>
            <w:tcW w:w="200" w:type="dxa"/>
            <w:vAlign w:val="bottom"/>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2"/>
              </w:rPr>
            </w:pPr>
            <w:hyperlink r:id="rId81">
              <w:r>
                <w:rPr>
                  <w:rFonts w:ascii="Arial" w:cs="Arial" w:eastAsia="Arial" w:hAnsi="Arial"/>
                  <w:sz w:val="18"/>
                  <w:szCs w:val="18"/>
                  <w:color w:val="0000EE"/>
                  <w:w w:val="92"/>
                </w:rPr>
                <w:t>Ninth Amended and Restated Certificate of Incorporation of the Registrant, as currently in effect (incorporated by reference to Exhibit 3.1</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of the Registrant’s Form 8-K filed on June 24, 2014)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9920" w:type="dxa"/>
            <w:vAlign w:val="bottom"/>
            <w:tcBorders>
              <w:bottom w:val="single" w:sz="8" w:color="0000EE"/>
            </w:tcBorders>
            <w:gridSpan w:val="8"/>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Amended and Restated By-laws of the Registrant, as currently in effect (incorporated by reference to Exhibit 3.2 of the Registrant’s Form</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8-K filed on June 24, 2014)</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of Principal Executive Officer pursuant to Rule 13a-14(a) or Rule 15d-14(a) of the Securities Exchange Act of 1934, as</w:t>
              </w:r>
            </w:hyperlink>
          </w:p>
        </w:tc>
        <w:tc>
          <w:tcPr>
            <w:tcW w:w="5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Certification of Principal Financial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adopted pursuant to Section 302 of the Sarbanes-Oxley Act of 2002.</w:t>
              </w:r>
            </w:hyperlink>
          </w:p>
        </w:tc>
        <w:tc>
          <w:tcPr>
            <w:tcW w:w="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97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Section 906 of the Sarbanes-Oxley Act of 2002.</w:t>
              </w:r>
            </w:hyperlink>
          </w:p>
        </w:tc>
        <w:tc>
          <w:tcPr>
            <w:tcW w:w="66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20" w:type="dxa"/>
            <w:vAlign w:val="bottom"/>
          </w:tcPr>
          <w:p>
            <w:pPr>
              <w:ind w:left="140"/>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2100"/>
              <w:spacing w:after="0"/>
              <w:rPr>
                <w:sz w:val="20"/>
                <w:szCs w:val="20"/>
                <w:color w:val="auto"/>
              </w:rPr>
            </w:pPr>
            <w:r>
              <w:rPr>
                <w:rFonts w:ascii="Arial" w:cs="Arial" w:eastAsia="Arial" w:hAnsi="Arial"/>
                <w:sz w:val="18"/>
                <w:szCs w:val="18"/>
                <w:color w:val="auto"/>
              </w:rPr>
              <w:t>ZAFGEN,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8, 2019</w:t>
            </w:r>
          </w:p>
        </w:tc>
        <w:tc>
          <w:tcPr>
            <w:tcW w:w="2600" w:type="dxa"/>
            <w:vAlign w:val="bottom"/>
          </w:tcPr>
          <w:p>
            <w:pPr>
              <w:ind w:left="210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Jeffrey Hatfield</w:t>
            </w:r>
          </w:p>
        </w:tc>
      </w:tr>
      <w:tr>
        <w:trPr>
          <w:trHeight w:val="195"/>
        </w:trPr>
        <w:tc>
          <w:tcPr>
            <w:tcW w:w="36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80" w:type="dxa"/>
            <w:vAlign w:val="bottom"/>
          </w:tcPr>
          <w:p>
            <w:pPr>
              <w:ind w:left="8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3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6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8, 2019</w:t>
            </w:r>
          </w:p>
        </w:tc>
        <w:tc>
          <w:tcPr>
            <w:tcW w:w="2600" w:type="dxa"/>
            <w:vAlign w:val="bottom"/>
          </w:tcPr>
          <w:p>
            <w:pPr>
              <w:ind w:left="210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Patricia L. Allen</w:t>
            </w:r>
          </w:p>
        </w:tc>
      </w:tr>
      <w:tr>
        <w:trPr>
          <w:trHeight w:val="211"/>
        </w:trPr>
        <w:tc>
          <w:tcPr>
            <w:tcW w:w="3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Patricia L. Allen</w:t>
            </w:r>
          </w:p>
        </w:tc>
      </w:tr>
    </w:tbl>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Hatfield, certify that:</w:t>
      </w:r>
    </w:p>
    <w:p>
      <w:pPr>
        <w:spacing w:after="0" w:line="117"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2019 of Zafgen,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00" w:firstLine="606"/>
        <w:spacing w:after="0" w:line="264" w:lineRule="auto"/>
        <w:tabs>
          <w:tab w:leader="none" w:pos="8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06"/>
        <w:spacing w:after="0" w:line="264" w:lineRule="auto"/>
        <w:tabs>
          <w:tab w:leader="none" w:pos="8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606"/>
        <w:spacing w:after="0" w:line="342" w:lineRule="auto"/>
        <w:tabs>
          <w:tab w:leader="none" w:pos="843"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606"/>
        <w:spacing w:after="0" w:line="264" w:lineRule="auto"/>
        <w:tabs>
          <w:tab w:leader="none" w:pos="8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00" w:firstLine="606"/>
        <w:spacing w:after="0" w:line="277" w:lineRule="auto"/>
        <w:tabs>
          <w:tab w:leader="none" w:pos="8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606"/>
        <w:spacing w:after="0" w:line="277" w:lineRule="auto"/>
        <w:tabs>
          <w:tab w:leader="none" w:pos="8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Jeffrey Hatfield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Patricia Allen, certify that:</w:t>
      </w:r>
    </w:p>
    <w:p>
      <w:pPr>
        <w:spacing w:after="0" w:line="11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2019 of Zafgen,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00" w:firstLine="606"/>
        <w:spacing w:after="0" w:line="264" w:lineRule="auto"/>
        <w:tabs>
          <w:tab w:leader="none" w:pos="84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06"/>
        <w:spacing w:after="0" w:line="264" w:lineRule="auto"/>
        <w:tabs>
          <w:tab w:leader="none" w:pos="8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606"/>
        <w:spacing w:after="0" w:line="342" w:lineRule="auto"/>
        <w:tabs>
          <w:tab w:leader="none" w:pos="843"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606"/>
        <w:spacing w:after="0" w:line="264" w:lineRule="auto"/>
        <w:tabs>
          <w:tab w:leader="none" w:pos="8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00" w:firstLine="606"/>
        <w:spacing w:after="0" w:line="277" w:lineRule="auto"/>
        <w:tabs>
          <w:tab w:leader="none" w:pos="84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606"/>
        <w:spacing w:after="0" w:line="277" w:lineRule="auto"/>
        <w:tabs>
          <w:tab w:leader="none" w:pos="85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Patricia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on Form 10-Q of Zafgen, Inc. (the “Company”) for the period ended June 30, 2019, as filed with the Securities and Exchange Commission on the date hereof (the “Report”), each of the undersigned officers hereby certify, pursuant to Section 906 of the Sarbanes-Oxley Act of 2002, 18 U.S.C. Section 1350, that to his or her knowledge:</w:t>
      </w:r>
    </w:p>
    <w:p>
      <w:pPr>
        <w:spacing w:after="0" w:line="73" w:lineRule="exact"/>
        <w:rPr>
          <w:sz w:val="20"/>
          <w:szCs w:val="20"/>
          <w:color w:val="auto"/>
        </w:rPr>
      </w:pPr>
    </w:p>
    <w:p>
      <w:pPr>
        <w:ind w:left="52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Dated: August 8, 2019</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Jeffrey Hatfield</w:t>
            </w:r>
          </w:p>
        </w:tc>
      </w:tr>
      <w:tr>
        <w:trPr>
          <w:trHeight w:val="195"/>
        </w:trPr>
        <w:tc>
          <w:tcPr>
            <w:tcW w:w="6240" w:type="dxa"/>
            <w:vAlign w:val="bottom"/>
          </w:tcPr>
          <w:p>
            <w:pPr>
              <w:spacing w:after="0"/>
              <w:rPr>
                <w:sz w:val="16"/>
                <w:szCs w:val="16"/>
                <w:color w:val="auto"/>
              </w:rPr>
            </w:pPr>
          </w:p>
        </w:tc>
        <w:tc>
          <w:tcPr>
            <w:tcW w:w="5180" w:type="dxa"/>
            <w:vAlign w:val="bottom"/>
          </w:tcPr>
          <w:p>
            <w:pPr>
              <w:ind w:left="8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62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624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rPr>
              <w:t>Dated: August 8, 2019</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Patricia Allen</w:t>
            </w:r>
          </w:p>
        </w:tc>
      </w:tr>
      <w:tr>
        <w:trPr>
          <w:trHeight w:val="195"/>
        </w:trPr>
        <w:tc>
          <w:tcPr>
            <w:tcW w:w="6240" w:type="dxa"/>
            <w:vAlign w:val="bottom"/>
          </w:tcPr>
          <w:p>
            <w:pPr>
              <w:spacing w:after="0"/>
              <w:rPr>
                <w:sz w:val="16"/>
                <w:szCs w:val="16"/>
                <w:color w:val="auto"/>
              </w:rPr>
            </w:pPr>
          </w:p>
        </w:tc>
        <w:tc>
          <w:tcPr>
            <w:tcW w:w="5180" w:type="dxa"/>
            <w:vAlign w:val="bottom"/>
          </w:tcPr>
          <w:p>
            <w:pPr>
              <w:ind w:left="80"/>
              <w:spacing w:after="0" w:line="195" w:lineRule="exact"/>
              <w:rPr>
                <w:sz w:val="20"/>
                <w:szCs w:val="20"/>
                <w:color w:val="auto"/>
              </w:rPr>
            </w:pPr>
            <w:r>
              <w:rPr>
                <w:rFonts w:ascii="Arial" w:cs="Arial" w:eastAsia="Arial" w:hAnsi="Arial"/>
                <w:sz w:val="18"/>
                <w:szCs w:val="18"/>
                <w:color w:val="auto"/>
              </w:rPr>
              <w:t>Patricia Allen</w:t>
            </w:r>
          </w:p>
        </w:tc>
      </w:tr>
      <w:tr>
        <w:trPr>
          <w:trHeight w:val="216"/>
        </w:trPr>
        <w:tc>
          <w:tcPr>
            <w:tcW w:w="62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4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3"/>
    </w:lvl>
  </w:abstractNum>
  <w:abstractNum w:abstractNumId="5">
    <w:nsid w:val="6763845E"/>
    <w:multiLevelType w:val="hybridMultilevel"/>
    <w:lvl w:ilvl="0">
      <w:lvlJc w:val="left"/>
      <w:lvlText w:val="%1."/>
      <w:numFmt w:val="decimal"/>
      <w:start w:val="7"/>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Roman"/>
      <w:start w:val="2"/>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1" Type="http://schemas.openxmlformats.org/officeDocument/2006/relationships/hyperlink" Target="http://www.sec.gov/Archives/edgar/data/0001374690/000119312514247362/d747935dex31.htm" TargetMode="External"/><Relationship Id="rId82" Type="http://schemas.openxmlformats.org/officeDocument/2006/relationships/hyperlink" Target="http://www.sec.gov/Archives/edgar/data/0001374690/000119312514247362/d74793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2019-12-28T07:55:29Z</dcterms:created>
  <dcterms:modified xsi:type="dcterms:W3CDTF">2019-12-28T07:55:29Z</dcterms:modified>
</cp:coreProperties>
</file>