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(Amendment No. _1_______)*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James Silverman, One Boston Place,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 Boston MA 02108, 617-229-5085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12/31/2022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 w:lineRule="exact"/>
        <w:rPr>
          <w:sz w:val="24"/>
          <w:szCs w:val="24"/>
          <w:color w:val="auto"/>
        </w:rPr>
      </w:pPr>
    </w:p>
    <w:p>
      <w:pPr>
        <w:jc w:val="both"/>
        <w:ind w:right="10020" w:firstLine="8"/>
        <w:spacing w:after="0" w:line="220" w:lineRule="exact"/>
        <w:tabs>
          <w:tab w:leader="none" w:pos="2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32" w:lineRule="exact"/>
        <w:rPr>
          <w:sz w:val="24"/>
          <w:szCs w:val="24"/>
          <w:color w:val="auto"/>
        </w:rPr>
      </w:pPr>
    </w:p>
    <w:p>
      <w:pPr>
        <w:ind w:firstLine="8"/>
        <w:spacing w:after="0" w:line="195"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5380" w:val="left"/>
          <w:tab w:leader="none" w:pos="9940" w:val="left"/>
        </w:tabs>
        <w:rPr>
          <w:sz w:val="20"/>
          <w:szCs w:val="20"/>
          <w:color w:val="auto"/>
        </w:rPr>
      </w:pPr>
      <w:r>
        <w:rPr>
          <w:rFonts w:ascii="Times New Roman" w:cs="Times New Roman" w:eastAsia="Times New Roman" w:hAnsi="Times New Roman"/>
          <w:sz w:val="18"/>
          <w:szCs w:val="18"/>
          <w:color w:val="auto"/>
        </w:rPr>
        <w:t>CUSIP No. 517125100</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7"/>
          <w:szCs w:val="17"/>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Opaleye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660" w:hanging="39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60" w:right="5620" w:hanging="396"/>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900" w:hanging="244"/>
        <w:spacing w:after="0" w:line="207" w:lineRule="exact"/>
        <w:tabs>
          <w:tab w:leader="none" w:pos="9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920" w:hanging="264"/>
        <w:spacing w:after="0" w:line="207" w:lineRule="exact"/>
        <w:tabs>
          <w:tab w:leader="none" w:pos="9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660" w:hanging="39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660" w:right="6920" w:hanging="396"/>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MA</w:t>
      </w:r>
    </w:p>
    <w:p>
      <w:pPr>
        <w:spacing w:after="0" w:line="188"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0"/>
                <w:szCs w:val="20"/>
                <w:color w:val="auto"/>
              </w:rPr>
            </w:pP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2"/>
        </w:trPr>
        <w:tc>
          <w:tcPr>
            <w:tcW w:w="14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bottom w:val="single" w:sz="8" w:color="auto"/>
            </w:tcBorders>
          </w:tcPr>
          <w:p>
            <w:pPr>
              <w:spacing w:after="0"/>
              <w:rPr>
                <w:sz w:val="8"/>
                <w:szCs w:val="8"/>
                <w:color w:val="auto"/>
              </w:rPr>
            </w:pPr>
          </w:p>
        </w:tc>
        <w:tc>
          <w:tcPr>
            <w:tcW w:w="9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440" w:type="dxa"/>
            <w:vAlign w:val="bottom"/>
            <w:vMerge w:val="continue"/>
          </w:tcPr>
          <w:p>
            <w:pPr>
              <w:spacing w:after="0"/>
              <w:rPr>
                <w:sz w:val="8"/>
                <w:szCs w:val="8"/>
                <w:color w:val="auto"/>
              </w:rPr>
            </w:pPr>
          </w:p>
        </w:tc>
        <w:tc>
          <w:tcPr>
            <w:tcW w:w="560" w:type="dxa"/>
            <w:vAlign w:val="bottom"/>
            <w:vMerge w:val="restart"/>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6.</w:t>
            </w:r>
          </w:p>
        </w:tc>
        <w:tc>
          <w:tcPr>
            <w:tcW w:w="9060" w:type="dxa"/>
            <w:vAlign w:val="bottom"/>
            <w:vMerge w:val="restart"/>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vMerge w:val="continue"/>
          </w:tcPr>
          <w:p>
            <w:pPr>
              <w:spacing w:after="0"/>
              <w:rPr>
                <w:sz w:val="8"/>
                <w:szCs w:val="8"/>
                <w:color w:val="auto"/>
              </w:rPr>
            </w:pPr>
          </w:p>
        </w:tc>
        <w:tc>
          <w:tcPr>
            <w:tcW w:w="9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9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1,560,000</w:t>
            </w:r>
          </w:p>
        </w:tc>
        <w:tc>
          <w:tcPr>
            <w:tcW w:w="0" w:type="dxa"/>
            <w:vAlign w:val="bottom"/>
          </w:tcPr>
          <w:p>
            <w:pPr>
              <w:spacing w:after="0"/>
              <w:rPr>
                <w:sz w:val="1"/>
                <w:szCs w:val="1"/>
                <w:color w:val="auto"/>
              </w:rPr>
            </w:pPr>
          </w:p>
        </w:tc>
      </w:tr>
      <w:tr>
        <w:trPr>
          <w:trHeight w:val="113"/>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40" w:type="dxa"/>
            <w:vAlign w:val="bottom"/>
            <w:vMerge w:val="continue"/>
          </w:tcPr>
          <w:p>
            <w:pPr>
              <w:spacing w:after="0"/>
              <w:rPr>
                <w:sz w:val="6"/>
                <w:szCs w:val="6"/>
                <w:color w:val="auto"/>
              </w:rPr>
            </w:pPr>
          </w:p>
        </w:tc>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9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tcBorders>
          </w:tcPr>
          <w:p>
            <w:pPr>
              <w:spacing w:after="0"/>
              <w:rPr>
                <w:sz w:val="12"/>
                <w:szCs w:val="12"/>
                <w:color w:val="auto"/>
              </w:rPr>
            </w:pPr>
          </w:p>
        </w:tc>
        <w:tc>
          <w:tcPr>
            <w:tcW w:w="9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40" w:type="dxa"/>
            <w:vAlign w:val="bottom"/>
            <w:vMerge w:val="continue"/>
          </w:tcPr>
          <w:p>
            <w:pPr>
              <w:spacing w:after="0"/>
              <w:rPr>
                <w:sz w:val="5"/>
                <w:szCs w:val="5"/>
                <w:color w:val="auto"/>
              </w:rPr>
            </w:pPr>
          </w:p>
        </w:tc>
        <w:tc>
          <w:tcPr>
            <w:tcW w:w="560" w:type="dxa"/>
            <w:vAlign w:val="bottom"/>
            <w:vMerge w:val="restart"/>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8.</w:t>
            </w:r>
          </w:p>
        </w:tc>
        <w:tc>
          <w:tcPr>
            <w:tcW w:w="9060" w:type="dxa"/>
            <w:vAlign w:val="bottom"/>
            <w:vMerge w:val="restart"/>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9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1,560,000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9.</w:t>
        <w:tab/>
        <w:t>AGGREGATE AMOUNT BENEFICIALLY OWNED BY EACH REPORTING PERSON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660" w:right="3940" w:hanging="440"/>
        <w:spacing w:after="0" w:line="235" w:lineRule="exact"/>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660" w:hanging="43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w:t>
      </w:r>
    </w:p>
    <w:p>
      <w:pPr>
        <w:spacing w:after="0" w:line="233" w:lineRule="exact"/>
        <w:rPr>
          <w:rFonts w:ascii="Times New Roman" w:cs="Times New Roman" w:eastAsia="Times New Roman" w:hAnsi="Times New Roman"/>
          <w:sz w:val="18"/>
          <w:szCs w:val="18"/>
          <w:color w:val="auto"/>
        </w:rPr>
      </w:pPr>
    </w:p>
    <w:p>
      <w:pPr>
        <w:ind w:left="660" w:hanging="44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3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Based upon 43,269,200 shares of common stock issued and outstanding on November 8, 2022 as reported by the Issuer on its registration statement on Form 10-Q filed with the Securities and Exchange Commission on November 10, 2022. This calculation does not include the exercise or conversion of outstanding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-1299210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tabs>
          <w:tab w:leader="none" w:pos="5380" w:val="left"/>
          <w:tab w:leader="none" w:pos="9940" w:val="left"/>
        </w:tabs>
        <w:rPr>
          <w:sz w:val="20"/>
          <w:szCs w:val="20"/>
          <w:color w:val="auto"/>
        </w:rPr>
      </w:pPr>
      <w:r>
        <w:rPr>
          <w:rFonts w:ascii="Times New Roman" w:cs="Times New Roman" w:eastAsia="Times New Roman" w:hAnsi="Times New Roman"/>
          <w:sz w:val="18"/>
          <w:szCs w:val="18"/>
          <w:color w:val="auto"/>
        </w:rPr>
        <w:t>CUSIP No. 517125100</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7"/>
          <w:szCs w:val="17"/>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Larimar Therapeutics,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Three Bala Plaza East, Suite 506, Bala Cynwyd, PA 19004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-273685</wp:posOffset>
            </wp:positionV>
            <wp:extent cx="67208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This statement is filed by the entities and persons listed below, who are collectively referred to herein as “Reporting Persons” with respect to the shares of common stock of the Company.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Opaleye Fund</w:t>
      </w:r>
    </w:p>
    <w:p>
      <w:pPr>
        <w:spacing w:after="0" w:line="225" w:lineRule="exact"/>
        <w:rPr>
          <w:rFonts w:ascii="Times New Roman" w:cs="Times New Roman" w:eastAsia="Times New Roman" w:hAnsi="Times New Roman"/>
          <w:sz w:val="18"/>
          <w:szCs w:val="18"/>
          <w:color w:val="auto"/>
        </w:rPr>
      </w:pPr>
    </w:p>
    <w:p>
      <w:pPr>
        <w:ind w:left="660" w:right="45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Opaleye, L.P. (the “Opaleye Fund”), a private fund formed in the state of Delaware. </w:t>
      </w:r>
      <w:r>
        <w:rPr>
          <w:rFonts w:ascii="Times New Roman" w:cs="Times New Roman" w:eastAsia="Times New Roman" w:hAnsi="Times New Roman"/>
          <w:sz w:val="18"/>
          <w:szCs w:val="18"/>
          <w:u w:val="single" w:color="auto"/>
          <w:color w:val="auto"/>
        </w:rPr>
        <w:t>Investment Manager</w:t>
      </w:r>
    </w:p>
    <w:p>
      <w:pPr>
        <w:spacing w:after="0" w:line="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Opaleye Management Inc. (the “Investment Manager”), with respect to the shares of common stock held by the Opaleye Fund, a private fund to which the Investment Manager serves as investment manager. The Investment Manager also serves as a portfolio manager for a separate managed account (the “Managed Account”) and may be deemed to indirectly beneficially own securities owned by the Managed Account. The Investment Manager disclaims beneficial ownership of the shares held by the Managed Account.</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Individual</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Silverman (the “Reporting Individual”), with respect to the shares of common stock held by the Opaleye Fund. Mr. Silverman is the President of the Investment Manager.</w:t>
      </w:r>
    </w:p>
    <w:p>
      <w:pPr>
        <w:spacing w:after="0" w:line="1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Address of the Principal Office or, if none, residence One Boston Place,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02108</w:t>
      </w:r>
    </w:p>
    <w:p>
      <w:pPr>
        <w:spacing w:after="0" w:line="77" w:lineRule="exact"/>
        <w:rPr>
          <w:rFonts w:ascii="Times New Roman" w:cs="Times New Roman" w:eastAsia="Times New Roman" w:hAnsi="Times New Roman"/>
          <w:sz w:val="36"/>
          <w:szCs w:val="36"/>
          <w:color w:val="auto"/>
          <w:vertAlign w:val="superscript"/>
        </w:rPr>
      </w:pPr>
    </w:p>
    <w:p>
      <w:pPr>
        <w:ind w:left="660" w:right="2900" w:hanging="328"/>
        <w:spacing w:after="0" w:line="27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is set forth in Row 4 of the cover page for each Reporting Person and is incorporated herein by reference for each such Reporting Person.</w:t>
      </w:r>
    </w:p>
    <w:p>
      <w:pPr>
        <w:spacing w:after="0" w:line="16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 par value $0.001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67208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980" w:hanging="648"/>
        <w:spacing w:after="0" w:line="239" w:lineRule="exact"/>
        <w:tabs>
          <w:tab w:leader="none" w:pos="656"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 w:name="page4"/>
    <w:bookmarkEnd w:id="3"/>
    <w:p>
      <w:pPr>
        <w:spacing w:after="0"/>
        <w:tabs>
          <w:tab w:leader="none" w:pos="5380" w:val="left"/>
          <w:tab w:leader="none" w:pos="9940" w:val="left"/>
        </w:tabs>
        <w:rPr>
          <w:sz w:val="20"/>
          <w:szCs w:val="20"/>
          <w:color w:val="auto"/>
        </w:rPr>
      </w:pPr>
      <w:r>
        <w:rPr>
          <w:rFonts w:ascii="Times New Roman" w:cs="Times New Roman" w:eastAsia="Times New Roman" w:hAnsi="Times New Roman"/>
          <w:sz w:val="18"/>
          <w:szCs w:val="18"/>
          <w:color w:val="auto"/>
        </w:rPr>
        <w:t>CUSIP No. 517125100</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7"/>
          <w:szCs w:val="17"/>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1,560,000</w:t>
      </w:r>
    </w:p>
    <w:p>
      <w:pPr>
        <w:spacing w:after="0" w:line="225" w:lineRule="exact"/>
        <w:rPr>
          <w:rFonts w:ascii="Times New Roman" w:cs="Times New Roman" w:eastAsia="Times New Roman" w:hAnsi="Times New Roman"/>
          <w:sz w:val="18"/>
          <w:szCs w:val="18"/>
          <w:color w:val="auto"/>
        </w:rPr>
      </w:pPr>
    </w:p>
    <w:p>
      <w:pPr>
        <w:ind w:left="660" w:right="58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Opaleye Management Inc. — 1,560,000 shares of common stock* Opaleye, L.P. — 1,560,000 shares of common stock*</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Silverman — 1,560,000 shares of common stock*</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78,000 shares of common stock held by the Managed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3.61%</w:t>
      </w:r>
    </w:p>
    <w:p>
      <w:pPr>
        <w:spacing w:after="0" w:line="225" w:lineRule="exact"/>
        <w:rPr>
          <w:rFonts w:ascii="Times New Roman" w:cs="Times New Roman" w:eastAsia="Times New Roman" w:hAnsi="Times New Roman"/>
          <w:sz w:val="18"/>
          <w:szCs w:val="18"/>
          <w:color w:val="auto"/>
        </w:rPr>
      </w:pPr>
    </w:p>
    <w:p>
      <w:pPr>
        <w:ind w:left="660" w:right="77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Opaleye Management Inc. — 3.61%** Opaleye, L.P. — 3.43%**</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Silverman — 3.61%**</w:t>
      </w:r>
    </w:p>
    <w:p>
      <w:pPr>
        <w:spacing w:after="0" w:line="20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43,269,200 shares of common stock issued and outstanding on November 8, 2022 as reported by the Issuer on its registration statement on Form 10-Q filed with the Securities and Exchange Commission on November 10, 2022. This calculation does not include the exercise or conversion of outstanding securities of the Issuer.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 1,560,000*</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1,560,000*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1,560,000*</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78,000 shares of common stock held by the Managed Account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For computations regarding securities which represent a right to acquire an underlying security</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§240.13d-3(d)(1).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Dissolution of a group requires a response to this item.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§240.13d-1(b):</w:t>
      </w:r>
    </w:p>
    <w:p>
      <w:pPr>
        <w:spacing w:after="0" w:line="225"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tabs>
          <w:tab w:leader="none" w:pos="5380" w:val="left"/>
          <w:tab w:leader="none" w:pos="9940" w:val="left"/>
        </w:tabs>
        <w:rPr>
          <w:sz w:val="20"/>
          <w:szCs w:val="20"/>
          <w:color w:val="auto"/>
        </w:rPr>
      </w:pPr>
      <w:r>
        <w:rPr>
          <w:rFonts w:ascii="Times New Roman" w:cs="Times New Roman" w:eastAsia="Times New Roman" w:hAnsi="Times New Roman"/>
          <w:sz w:val="18"/>
          <w:szCs w:val="18"/>
          <w:color w:val="auto"/>
        </w:rPr>
        <w:t>CUSIP No. 517125100</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7"/>
          <w:szCs w:val="17"/>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01/20/2023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James Silverman</w:t>
      </w:r>
    </w:p>
    <w:p>
      <w:pPr>
        <w:spacing w:after="0" w:line="3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Opaleye, L.P.</w:t>
      </w:r>
    </w:p>
    <w:p>
      <w:pPr>
        <w:spacing w:after="0" w:line="27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Managing Member of Opaleye</w:t>
      </w:r>
    </w:p>
    <w:p>
      <w:pPr>
        <w:spacing w:after="0" w:line="27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 GP LLC, the General Partner of Opaleye, L.P.</w:t>
      </w:r>
    </w:p>
    <w:p>
      <w:pPr>
        <w:spacing w:after="0" w:line="27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Title: President, Opaleye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79E2A9E3"/>
    <w:multiLevelType w:val="hybridMultilevel"/>
    <w:lvl w:ilvl="0">
      <w:lvlJc w:val="left"/>
      <w:lvlText w:val="%1."/>
      <w:numFmt w:val="decimal"/>
      <w:start w:val="10"/>
    </w:lvl>
    <w:lvl w:ilvl="1">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lvl w:ilvl="1">
      <w:lvlJc w:val="left"/>
      <w:lvlText w:val="*"/>
      <w:numFmt w:val="bullet"/>
      <w:start w:val="1"/>
    </w:lvl>
  </w:abstractNum>
  <w:abstractNum w:abstractNumId="8">
    <w:nsid w:val="4DB127F8"/>
    <w:multiLevelType w:val="hybridMultilevel"/>
    <w:lvl w:ilvl="0">
      <w:lvlJc w:val="left"/>
      <w:lvlText w:val="(%1)"/>
      <w:numFmt w:val="lowerLetter"/>
      <w:start w:val="2"/>
    </w:lvl>
    <w:lvl w:ilvl="1">
      <w:lvlJc w:val="left"/>
      <w:lvlText w:val="**"/>
      <w:numFmt w:val="bullet"/>
      <w:start w:val="1"/>
    </w:lvl>
  </w:abstractNum>
  <w:abstractNum w:abstractNumId="9">
    <w:nsid w:val="216231B"/>
    <w:multiLevelType w:val="hybridMultilevel"/>
    <w:lvl w:ilvl="0">
      <w:lvlJc w:val="left"/>
      <w:lvlText w:val="(%1)"/>
      <w:numFmt w:val="lowerRoman"/>
      <w:start w:val="1"/>
    </w:lvl>
    <w:lvl w:ilvl="1">
      <w:lvlJc w:val="left"/>
      <w:lvlText w:val="*"/>
      <w:numFmt w:val="bullet"/>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2023-01-23T05:10:27Z</dcterms:created>
  <dcterms:modified xsi:type="dcterms:W3CDTF">2023-01-23T05:10:27Z</dcterms:modified>
</cp:coreProperties>
</file>