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13" w:lineRule="exact"/>
        <w:rPr>
          <w:sz w:val="24"/>
          <w:szCs w:val="24"/>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89"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8" w:lineRule="exact"/>
        <w:rPr>
          <w:rFonts w:ascii="MS PGothic" w:cs="MS PGothic" w:eastAsia="MS PGothic" w:hAnsi="MS PGothic"/>
          <w:sz w:val="16"/>
          <w:szCs w:val="16"/>
          <w:color w:val="auto"/>
        </w:rPr>
      </w:pPr>
    </w:p>
    <w:p>
      <w:pPr>
        <w:ind w:left="460" w:hanging="439"/>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42" w:lineRule="exact"/>
        <w:rPr>
          <w:sz w:val="24"/>
          <w:szCs w:val="24"/>
          <w:color w:val="auto"/>
        </w:rPr>
      </w:pPr>
    </w:p>
    <w:p>
      <w:pPr>
        <w:ind w:left="460" w:hanging="439"/>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40" w:lineRule="exact"/>
        <w:rPr>
          <w:sz w:val="24"/>
          <w:szCs w:val="24"/>
          <w:color w:val="auto"/>
        </w:rPr>
      </w:pPr>
    </w:p>
    <w:p>
      <w:pPr>
        <w:ind w:left="460" w:hanging="439"/>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460" w:hanging="439"/>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303530</wp:posOffset>
            </wp:positionV>
            <wp:extent cx="1791335"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3"/>
          <w:szCs w:val="23"/>
          <w:b w:val="1"/>
          <w:bCs w:val="1"/>
          <w:color w:val="auto"/>
        </w:rPr>
        <w:t>Larimar Therapeutics, Inc.</w:t>
      </w:r>
    </w:p>
    <w:p>
      <w:pPr>
        <w:spacing w:after="0" w:line="4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1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84" w:lineRule="exact"/>
        <w:rPr>
          <w:sz w:val="24"/>
          <w:szCs w:val="24"/>
          <w:color w:val="auto"/>
        </w:rPr>
      </w:pPr>
    </w:p>
    <w:p>
      <w:pPr>
        <w:ind w:left="460" w:hanging="439"/>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40" w:lineRule="exact"/>
        <w:rPr>
          <w:sz w:val="24"/>
          <w:szCs w:val="24"/>
          <w:color w:val="auto"/>
        </w:rPr>
      </w:pPr>
    </w:p>
    <w:p>
      <w:pPr>
        <w:ind w:left="460" w:hanging="439"/>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460" w:hanging="439"/>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774700</wp:posOffset>
            </wp:positionV>
            <wp:extent cx="17913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May 13,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the 2025 Annual Meeting of Stockholders of Larimar Therapeutics, Inc. (the “Annual Meeting”), which will be held at 10:00 a.m., Eastern Time, on Tuesday, May 13, 2025.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reduces the environmental impact of our Annual Meeting. The Annual Meeting can be accessed via the Internet at: meetnow.global/ML6NWDL.</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2025 Annual Meeting of Stockholders (the “Notice”) and 2025 Annual Meeting Proxy Statement (the “Proxy Statement”). Other than the proposals described in the Proxy Statement, the Board of Directors is not aware of any other matters to be presented for a vote at the Annual Meeting.</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 you to vote as soon as possible to ensure that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represented. Information about voting methods is set forth in the accompanying Notice and Proxy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with respect to voting, please call our Chief Financial Officer and Secretary, Michael Celano, at 484-414-2715.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confidence in our Company. We look forward to your participation at the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248920</wp:posOffset>
            </wp:positionV>
            <wp:extent cx="968375"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28257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154305</wp:posOffset>
            </wp:positionV>
            <wp:extent cx="176593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Truitt</w:t>
            </w:r>
          </w:p>
        </w:tc>
        <w:tc>
          <w:tcPr>
            <w:tcW w:w="88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Carole S. Ben-Maimon, M.D.</w:t>
            </w:r>
          </w:p>
        </w:tc>
      </w:tr>
      <w:tr>
        <w:trPr>
          <w:trHeight w:val="33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Chairperson of the Board</w:t>
            </w:r>
          </w:p>
        </w:tc>
        <w:tc>
          <w:tcPr>
            <w:tcW w:w="88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558"/>
        </w:trPr>
        <w:tc>
          <w:tcPr>
            <w:tcW w:w="2360" w:type="dxa"/>
            <w:vAlign w:val="bottom"/>
          </w:tcPr>
          <w:p>
            <w:pPr>
              <w:spacing w:after="0"/>
              <w:rPr>
                <w:sz w:val="24"/>
                <w:szCs w:val="24"/>
                <w:color w:val="auto"/>
              </w:rPr>
            </w:pPr>
          </w:p>
        </w:tc>
        <w:tc>
          <w:tcPr>
            <w:tcW w:w="888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rPr>
              <w:t>THIS PROXY STATEMENT AND ENCLOSED PROXY CARD ARE</w:t>
            </w:r>
          </w:p>
        </w:tc>
      </w:tr>
      <w:tr>
        <w:trPr>
          <w:trHeight w:val="238"/>
        </w:trPr>
        <w:tc>
          <w:tcPr>
            <w:tcW w:w="2360" w:type="dxa"/>
            <w:vAlign w:val="bottom"/>
          </w:tcPr>
          <w:p>
            <w:pPr>
              <w:spacing w:after="0"/>
              <w:rPr>
                <w:sz w:val="20"/>
                <w:szCs w:val="20"/>
                <w:color w:val="auto"/>
              </w:rPr>
            </w:pPr>
          </w:p>
        </w:tc>
        <w:tc>
          <w:tcPr>
            <w:tcW w:w="88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FIRST BEING MAILED ON OR ABOUT APRIL 11, 2025.</w:t>
            </w:r>
          </w:p>
        </w:tc>
      </w:tr>
      <w:tr>
        <w:trPr>
          <w:trHeight w:val="979"/>
        </w:trPr>
        <w:tc>
          <w:tcPr>
            <w:tcW w:w="23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782955</wp:posOffset>
            </wp:positionV>
            <wp:extent cx="1791335"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May 13,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2025 Annual Meeting of Stockholders of Larimar Therapeutics, Inc. (the “Annual Meeting”) will be held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virtual meeting on Tuesday, May 13, 2025, at 10:00 a.m. Eastern Time. We are holding the meeting for the purpose of considering and acting upon the:</w:t>
      </w:r>
    </w:p>
    <w:p>
      <w:pPr>
        <w:spacing w:after="0" w:line="51" w:lineRule="exact"/>
        <w:rPr>
          <w:sz w:val="20"/>
          <w:szCs w:val="20"/>
          <w:color w:val="auto"/>
        </w:rPr>
      </w:pPr>
    </w:p>
    <w:p>
      <w:pPr>
        <w:ind w:left="1440" w:hanging="771"/>
        <w:spacing w:after="0" w:line="261" w:lineRule="auto"/>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director nominee set forth in the attached 2025 Annual Meeting Proxy Statement (the “Proxy Statement”) to serve as a Class II director, whose term will expire at the 2028 Annual Meeting of Stockholders;</w:t>
      </w:r>
    </w:p>
    <w:p>
      <w:pPr>
        <w:ind w:left="1440" w:hanging="771"/>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of our named executive officers in 2024;</w:t>
      </w:r>
    </w:p>
    <w:p>
      <w:pPr>
        <w:spacing w:after="0" w:line="9" w:lineRule="exact"/>
        <w:rPr>
          <w:rFonts w:ascii="Times New Roman" w:cs="Times New Roman" w:eastAsia="Times New Roman" w:hAnsi="Times New Roman"/>
          <w:sz w:val="18"/>
          <w:szCs w:val="18"/>
          <w:color w:val="auto"/>
        </w:rPr>
      </w:pPr>
    </w:p>
    <w:p>
      <w:pPr>
        <w:ind w:left="1440" w:hanging="771"/>
        <w:spacing w:after="0" w:line="250" w:lineRule="auto"/>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(“PwC”) as our independent registered public accounting firm for the 2025 fiscal year; and</w:t>
      </w:r>
    </w:p>
    <w:p>
      <w:pPr>
        <w:ind w:left="1440" w:hanging="771"/>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2025 Annual Meeting of Stockholders (the “Notice”).</w:t>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79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MEETING INFORMATION</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Tuesday, May 13, 2025</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10:00 a.m.</w:t>
            </w: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 Address:</w:t>
            </w: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meeting can be accessed by visiting meetnow.global/ML6NWDL where you will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be able to listen to the meeting live, submit questions and vote online. There will be no</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physical location for stockholders to attend.</w:t>
            </w:r>
          </w:p>
        </w:tc>
        <w:tc>
          <w:tcPr>
            <w:tcW w:w="0" w:type="dxa"/>
            <w:vAlign w:val="bottom"/>
          </w:tcPr>
          <w:p>
            <w:pPr>
              <w:spacing w:after="0"/>
              <w:rPr>
                <w:sz w:val="1"/>
                <w:szCs w:val="1"/>
                <w:color w:val="auto"/>
              </w:rPr>
            </w:pPr>
          </w:p>
        </w:tc>
      </w:tr>
      <w:tr>
        <w:trPr>
          <w:trHeight w:val="234"/>
        </w:trPr>
        <w:tc>
          <w:tcPr>
            <w:tcW w:w="2580" w:type="dxa"/>
            <w:vAlign w:val="bottom"/>
            <w:vMerge w:val="continue"/>
          </w:tcPr>
          <w:p>
            <w:pPr>
              <w:spacing w:after="0"/>
              <w:rPr>
                <w:sz w:val="20"/>
                <w:szCs w:val="20"/>
                <w:color w:val="auto"/>
              </w:rPr>
            </w:pPr>
          </w:p>
        </w:tc>
        <w:tc>
          <w:tcPr>
            <w:tcW w:w="79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Thursday, March 27,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6381115</wp:posOffset>
            </wp:positionH>
            <wp:positionV relativeFrom="paragraph">
              <wp:posOffset>-436880</wp:posOffset>
            </wp:positionV>
            <wp:extent cx="36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matters. </w:t>
      </w:r>
      <w:r>
        <w:rPr>
          <w:rFonts w:ascii="Times New Roman" w:cs="Times New Roman" w:eastAsia="Times New Roman" w:hAnsi="Times New Roman"/>
          <w:sz w:val="18"/>
          <w:szCs w:val="18"/>
          <w:i w:val="1"/>
          <w:iCs w:val="1"/>
          <w:color w:val="auto"/>
        </w:rPr>
        <w:t>Whether or not you plan to virtually attend the Annual Meeting, please ensure that your shares are represented by voting, signing,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dating, and returning your proxy in the enclosed envelope, which requires no postage if mailed in the United States.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interest in Larimar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180340</wp:posOffset>
            </wp:positionV>
            <wp:extent cx="175704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704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April 11, 2025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AVAILABILITY OF PROXY MATERIALS. This Proxy Statement and the proxy card are being mailed to our stockholders on or about April 11, 2025.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2024 are available to beneficial holders of our common stock at </w:t>
      </w:r>
      <w:r>
        <w:rPr>
          <w:rFonts w:ascii="Times New Roman" w:cs="Times New Roman" w:eastAsia="Times New Roman" w:hAnsi="Times New Roman"/>
          <w:sz w:val="18"/>
          <w:szCs w:val="18"/>
          <w:b w:val="1"/>
          <w:bCs w:val="1"/>
          <w:u w:val="single" w:color="auto"/>
          <w:color w:val="2B7CF4"/>
        </w:rPr>
        <w:t>http://www.edocumentview.com/LRMR</w:t>
      </w:r>
      <w:r>
        <w:rPr>
          <w:rFonts w:ascii="Times New Roman" w:cs="Times New Roman" w:eastAsia="Times New Roman" w:hAnsi="Times New Roman"/>
          <w:sz w:val="18"/>
          <w:szCs w:val="18"/>
          <w:b w:val="1"/>
          <w:bCs w:val="1"/>
          <w:color w:val="auto"/>
        </w:rPr>
        <w:t xml:space="preserve"> and to record holders of our common stock at </w:t>
      </w:r>
      <w:r>
        <w:rPr>
          <w:rFonts w:ascii="Times New Roman" w:cs="Times New Roman" w:eastAsia="Times New Roman" w:hAnsi="Times New Roman"/>
          <w:sz w:val="18"/>
          <w:szCs w:val="18"/>
          <w:b w:val="1"/>
          <w:bCs w:val="1"/>
          <w:u w:val="single" w:color="auto"/>
          <w:color w:val="2B7CF4"/>
        </w:rPr>
        <w:t>http://www.envisionreports.com/LRMR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20"/>
        <w:spacing w:after="0"/>
        <w:rPr>
          <w:sz w:val="20"/>
          <w:szCs w:val="20"/>
          <w:color w:val="auto"/>
        </w:rPr>
      </w:pPr>
      <w:r>
        <w:rPr>
          <w:rFonts w:ascii="Times New Roman" w:cs="Times New Roman" w:eastAsia="Times New Roman" w:hAnsi="Times New Roman"/>
          <w:sz w:val="22"/>
          <w:szCs w:val="22"/>
          <w:b w:val="1"/>
          <w:bCs w:val="1"/>
          <w:color w:val="auto"/>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To assist you in reviewing this year’s proposals, we call your attention to the following proxy summary. This summary highlights information contained elsewhere in this Proxy Statement and our Annual Report on Form 10-K for the fiscal year ended December 31, 2024 (the “2024 Annual Report”). This summary does not contain all of the information you should consider, and we encourage you to read this Proxy Statement and the 2024 Annual Report carefully before voting.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Annual Meeting of Stockholders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83"/>
        </w:trPr>
        <w:tc>
          <w:tcPr>
            <w:tcW w:w="5040" w:type="dxa"/>
            <w:vAlign w:val="bottom"/>
            <w:tcBorders>
              <w:top w:val="single" w:sz="8" w:color="auto"/>
              <w:left w:val="single" w:sz="8" w:color="auto"/>
              <w:bottom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IME AND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2340" w:type="dxa"/>
            <w:vAlign w:val="bottom"/>
            <w:tcBorders>
              <w:top w:val="single" w:sz="8" w:color="auto"/>
              <w:bottom w:val="single" w:sz="8" w:color="4DC1E4"/>
            </w:tcBorders>
            <w:shd w:val="clear" w:color="auto" w:fill="4DC1E4"/>
          </w:tcPr>
          <w:p>
            <w:pPr>
              <w:ind w:left="106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ECORD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3860" w:type="dxa"/>
            <w:vAlign w:val="bottom"/>
            <w:tcBorders>
              <w:top w:val="single" w:sz="8" w:color="auto"/>
              <w:bottom w:val="single" w:sz="8" w:color="4DC1E4"/>
              <w:right w:val="single" w:sz="8" w:color="auto"/>
            </w:tcBorders>
            <w:shd w:val="clear" w:color="auto" w:fill="4DC1E4"/>
          </w:tcPr>
          <w:p>
            <w:pPr>
              <w:ind w:left="220"/>
              <w:spacing w:after="0"/>
              <w:rPr>
                <w:sz w:val="20"/>
                <w:szCs w:val="20"/>
                <w:color w:val="auto"/>
              </w:rPr>
            </w:pPr>
            <w:r>
              <w:rPr>
                <w:rFonts w:ascii="Times New Roman" w:cs="Times New Roman" w:eastAsia="Times New Roman" w:hAnsi="Times New Roman"/>
                <w:sz w:val="18"/>
                <w:szCs w:val="18"/>
                <w:b w:val="1"/>
                <w:bCs w:val="1"/>
                <w:color w:val="FFFFFF"/>
              </w:rPr>
              <w:t>W</w:t>
            </w:r>
            <w:r>
              <w:rPr>
                <w:rFonts w:ascii="Times New Roman" w:cs="Times New Roman" w:eastAsia="Times New Roman" w:hAnsi="Times New Roman"/>
                <w:sz w:val="13"/>
                <w:szCs w:val="13"/>
                <w:b w:val="1"/>
                <w:bCs w:val="1"/>
                <w:color w:val="FFFFFF"/>
              </w:rPr>
              <w:t>EBSITE</w:t>
            </w:r>
            <w:r>
              <w:rPr>
                <w:rFonts w:ascii="Times New Roman" w:cs="Times New Roman" w:eastAsia="Times New Roman" w:hAnsi="Times New Roman"/>
                <w:sz w:val="18"/>
                <w:szCs w:val="18"/>
                <w:b w:val="1"/>
                <w:bCs w:val="1"/>
                <w:color w:val="FFFFFF"/>
              </w:rPr>
              <w:t xml:space="preserve"> A</w:t>
            </w:r>
            <w:r>
              <w:rPr>
                <w:rFonts w:ascii="Times New Roman" w:cs="Times New Roman" w:eastAsia="Times New Roman" w:hAnsi="Times New Roman"/>
                <w:sz w:val="13"/>
                <w:szCs w:val="13"/>
                <w:b w:val="1"/>
                <w:bCs w:val="1"/>
                <w:color w:val="FFFFFF"/>
              </w:rPr>
              <w:t>DDRESS</w:t>
            </w:r>
          </w:p>
        </w:tc>
      </w:tr>
      <w:tr>
        <w:trPr>
          <w:trHeight w:val="191"/>
        </w:trPr>
        <w:tc>
          <w:tcPr>
            <w:tcW w:w="5040" w:type="dxa"/>
            <w:vAlign w:val="bottom"/>
            <w:tcBorders>
              <w:top w:val="single" w:sz="8" w:color="auto"/>
              <w:lef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10:00 a.m., Eastern Time, on Tuesday, May 13, 2025</w:t>
            </w:r>
          </w:p>
        </w:tc>
        <w:tc>
          <w:tcPr>
            <w:tcW w:w="2340" w:type="dxa"/>
            <w:vAlign w:val="bottom"/>
            <w:tcBorders>
              <w:top w:val="single" w:sz="8" w:color="auto"/>
            </w:tcBorders>
          </w:tcPr>
          <w:p>
            <w:pPr>
              <w:ind w:left="1060"/>
              <w:spacing w:after="0" w:line="191" w:lineRule="exact"/>
              <w:rPr>
                <w:sz w:val="20"/>
                <w:szCs w:val="20"/>
                <w:color w:val="auto"/>
              </w:rPr>
            </w:pPr>
            <w:r>
              <w:rPr>
                <w:rFonts w:ascii="Times New Roman" w:cs="Times New Roman" w:eastAsia="Times New Roman" w:hAnsi="Times New Roman"/>
                <w:sz w:val="18"/>
                <w:szCs w:val="18"/>
                <w:color w:val="auto"/>
              </w:rPr>
              <w:t>March 27,</w:t>
            </w:r>
          </w:p>
        </w:tc>
        <w:tc>
          <w:tcPr>
            <w:tcW w:w="3860" w:type="dxa"/>
            <w:vAlign w:val="bottom"/>
            <w:tcBorders>
              <w:top w:val="single" w:sz="8" w:color="auto"/>
              <w:right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The meeting can be accessed by visiting</w:t>
            </w:r>
          </w:p>
        </w:tc>
      </w:tr>
      <w:tr>
        <w:trPr>
          <w:trHeight w:val="216"/>
        </w:trPr>
        <w:tc>
          <w:tcPr>
            <w:tcW w:w="5040" w:type="dxa"/>
            <w:vAlign w:val="bottom"/>
            <w:tcBorders>
              <w:left w:val="single" w:sz="8" w:color="auto"/>
            </w:tcBorders>
          </w:tcPr>
          <w:p>
            <w:pPr>
              <w:spacing w:after="0"/>
              <w:rPr>
                <w:sz w:val="18"/>
                <w:szCs w:val="18"/>
                <w:color w:val="auto"/>
              </w:rPr>
            </w:pPr>
          </w:p>
        </w:tc>
        <w:tc>
          <w:tcPr>
            <w:tcW w:w="2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meetnow.global/ML6NWDL, where you will be</w:t>
            </w:r>
          </w:p>
        </w:tc>
      </w:tr>
      <w:tr>
        <w:trPr>
          <w:trHeight w:val="216"/>
        </w:trPr>
        <w:tc>
          <w:tcPr>
            <w:tcW w:w="5040" w:type="dxa"/>
            <w:vAlign w:val="bottom"/>
            <w:tcBorders>
              <w:left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3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able to listen to the meeting live, submit</w:t>
            </w:r>
          </w:p>
        </w:tc>
      </w:tr>
      <w:tr>
        <w:trPr>
          <w:trHeight w:val="216"/>
        </w:trPr>
        <w:tc>
          <w:tcPr>
            <w:tcW w:w="5040" w:type="dxa"/>
            <w:vAlign w:val="bottom"/>
            <w:tcBorders>
              <w:left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3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questions and vote online. There will be no</w:t>
            </w:r>
          </w:p>
        </w:tc>
      </w:tr>
      <w:tr>
        <w:trPr>
          <w:trHeight w:val="234"/>
        </w:trPr>
        <w:tc>
          <w:tcPr>
            <w:tcW w:w="5040" w:type="dxa"/>
            <w:vAlign w:val="bottom"/>
            <w:tcBorders>
              <w:lef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3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physical location for stockholders to attend.</w:t>
            </w:r>
          </w:p>
        </w:tc>
      </w:tr>
      <w:tr>
        <w:trPr>
          <w:trHeight w:val="68"/>
        </w:trPr>
        <w:tc>
          <w:tcPr>
            <w:tcW w:w="5040" w:type="dxa"/>
            <w:vAlign w:val="bottom"/>
            <w:tcBorders>
              <w:left w:val="single" w:sz="8" w:color="auto"/>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Stockholder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156845</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740" w:type="dxa"/>
            <w:vAlign w:val="bottom"/>
            <w:tcBorders>
              <w:top w:val="single" w:sz="8" w:color="auto"/>
              <w:left w:val="single" w:sz="8" w:color="auto"/>
            </w:tcBorders>
            <w:shd w:val="clear" w:color="auto" w:fill="4DC1E4"/>
          </w:tcPr>
          <w:p>
            <w:pPr>
              <w:spacing w:after="0"/>
              <w:rPr>
                <w:sz w:val="20"/>
                <w:szCs w:val="20"/>
                <w:color w:val="auto"/>
              </w:rPr>
            </w:pPr>
          </w:p>
        </w:tc>
        <w:tc>
          <w:tcPr>
            <w:tcW w:w="1420" w:type="dxa"/>
            <w:vAlign w:val="bottom"/>
            <w:tcBorders>
              <w:top w:val="single" w:sz="8" w:color="auto"/>
            </w:tcBorders>
            <w:shd w:val="clear" w:color="auto" w:fill="4DC1E4"/>
          </w:tcPr>
          <w:p>
            <w:pPr>
              <w:spacing w:after="0"/>
              <w:rPr>
                <w:sz w:val="20"/>
                <w:szCs w:val="20"/>
                <w:color w:val="auto"/>
              </w:rPr>
            </w:pPr>
          </w:p>
        </w:tc>
        <w:tc>
          <w:tcPr>
            <w:tcW w:w="2780" w:type="dxa"/>
            <w:vAlign w:val="bottom"/>
            <w:tcBorders>
              <w:top w:val="single" w:sz="8" w:color="auto"/>
            </w:tcBorders>
            <w:shd w:val="clear" w:color="auto" w:fill="4DC1E4"/>
          </w:tcPr>
          <w:p>
            <w:pPr>
              <w:ind w:left="44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 OF</w:t>
            </w:r>
          </w:p>
        </w:tc>
        <w:tc>
          <w:tcPr>
            <w:tcW w:w="20" w:type="dxa"/>
            <w:vAlign w:val="bottom"/>
            <w:shd w:val="clear" w:color="auto" w:fill="4DC1E4"/>
          </w:tcPr>
          <w:p>
            <w:pPr>
              <w:spacing w:after="0"/>
              <w:rPr>
                <w:sz w:val="20"/>
                <w:szCs w:val="20"/>
                <w:color w:val="auto"/>
              </w:rPr>
            </w:pPr>
          </w:p>
        </w:tc>
        <w:tc>
          <w:tcPr>
            <w:tcW w:w="280" w:type="dxa"/>
            <w:vAlign w:val="bottom"/>
            <w:tcBorders>
              <w:top w:val="single" w:sz="8" w:color="4DC1E4"/>
              <w:right w:val="single" w:sz="8" w:color="auto"/>
            </w:tcBorders>
            <w:shd w:val="clear" w:color="auto" w:fill="4DC1E4"/>
          </w:tcPr>
          <w:p>
            <w:pPr>
              <w:spacing w:after="0"/>
              <w:rPr>
                <w:sz w:val="20"/>
                <w:szCs w:val="20"/>
                <w:color w:val="auto"/>
              </w:rPr>
            </w:pPr>
          </w:p>
        </w:tc>
      </w:tr>
      <w:tr>
        <w:trPr>
          <w:trHeight w:val="216"/>
        </w:trPr>
        <w:tc>
          <w:tcPr>
            <w:tcW w:w="6740" w:type="dxa"/>
            <w:vAlign w:val="bottom"/>
            <w:tcBorders>
              <w:left w:val="single" w:sz="8" w:color="auto"/>
            </w:tcBorders>
            <w:shd w:val="clear" w:color="auto" w:fill="4DC1E4"/>
          </w:tcPr>
          <w:p>
            <w:pPr>
              <w:spacing w:after="0"/>
              <w:rPr>
                <w:sz w:val="18"/>
                <w:szCs w:val="18"/>
                <w:color w:val="auto"/>
              </w:rPr>
            </w:pPr>
          </w:p>
        </w:tc>
        <w:tc>
          <w:tcPr>
            <w:tcW w:w="1420" w:type="dxa"/>
            <w:vAlign w:val="bottom"/>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OR</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ORE</w:t>
            </w:r>
          </w:p>
        </w:tc>
        <w:tc>
          <w:tcPr>
            <w:tcW w:w="2780" w:type="dxa"/>
            <w:vAlign w:val="bottom"/>
            <w:shd w:val="clear" w:color="auto" w:fill="4DC1E4"/>
          </w:tcPr>
          <w:p>
            <w:pPr>
              <w:ind w:left="44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IRECTORS</w:t>
            </w:r>
          </w:p>
        </w:tc>
        <w:tc>
          <w:tcPr>
            <w:tcW w:w="20" w:type="dxa"/>
            <w:vAlign w:val="bottom"/>
            <w:shd w:val="clear" w:color="auto" w:fill="4DC1E4"/>
          </w:tcPr>
          <w:p>
            <w:pPr>
              <w:spacing w:after="0"/>
              <w:rPr>
                <w:sz w:val="18"/>
                <w:szCs w:val="18"/>
                <w:color w:val="auto"/>
              </w:rPr>
            </w:pPr>
          </w:p>
        </w:tc>
        <w:tc>
          <w:tcPr>
            <w:tcW w:w="280" w:type="dxa"/>
            <w:vAlign w:val="bottom"/>
            <w:tcBorders>
              <w:right w:val="single" w:sz="8" w:color="auto"/>
            </w:tcBorders>
            <w:shd w:val="clear" w:color="auto" w:fill="4DC1E4"/>
          </w:tcPr>
          <w:p>
            <w:pPr>
              <w:spacing w:after="0"/>
              <w:rPr>
                <w:sz w:val="18"/>
                <w:szCs w:val="18"/>
                <w:color w:val="auto"/>
              </w:rPr>
            </w:pPr>
          </w:p>
        </w:tc>
      </w:tr>
      <w:tr>
        <w:trPr>
          <w:trHeight w:val="270"/>
        </w:trPr>
        <w:tc>
          <w:tcPr>
            <w:tcW w:w="6740" w:type="dxa"/>
            <w:vAlign w:val="bottom"/>
            <w:tcBorders>
              <w:left w:val="single" w:sz="8" w:color="auto"/>
              <w:bottom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1420" w:type="dxa"/>
            <w:vAlign w:val="bottom"/>
            <w:tcBorders>
              <w:bottom w:val="single" w:sz="8" w:color="4DC1E4"/>
            </w:tcBorders>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NFORMATION</w:t>
            </w:r>
          </w:p>
        </w:tc>
        <w:tc>
          <w:tcPr>
            <w:tcW w:w="2780" w:type="dxa"/>
            <w:vAlign w:val="bottom"/>
            <w:tcBorders>
              <w:bottom w:val="single" w:sz="8" w:color="4DC1E4"/>
            </w:tcBorders>
            <w:shd w:val="clear" w:color="auto" w:fill="4DC1E4"/>
          </w:tcPr>
          <w:p>
            <w:pPr>
              <w:ind w:left="44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ECOMMENDATION</w:t>
            </w:r>
          </w:p>
        </w:tc>
        <w:tc>
          <w:tcPr>
            <w:tcW w:w="20" w:type="dxa"/>
            <w:vAlign w:val="bottom"/>
            <w:tcBorders>
              <w:bottom w:val="single" w:sz="8" w:color="4DC1E4"/>
            </w:tcBorders>
            <w:shd w:val="clear" w:color="auto" w:fill="4DC1E4"/>
          </w:tcPr>
          <w:p>
            <w:pPr>
              <w:spacing w:after="0"/>
              <w:rPr>
                <w:sz w:val="23"/>
                <w:szCs w:val="23"/>
                <w:color w:val="auto"/>
              </w:rPr>
            </w:pPr>
          </w:p>
        </w:tc>
        <w:tc>
          <w:tcPr>
            <w:tcW w:w="280" w:type="dxa"/>
            <w:vAlign w:val="bottom"/>
            <w:tcBorders>
              <w:bottom w:val="single" w:sz="8" w:color="4DC1E4"/>
              <w:right w:val="single" w:sz="8" w:color="auto"/>
            </w:tcBorders>
            <w:shd w:val="clear" w:color="auto" w:fill="4DC1E4"/>
          </w:tcPr>
          <w:p>
            <w:pPr>
              <w:spacing w:after="0"/>
              <w:rPr>
                <w:sz w:val="23"/>
                <w:szCs w:val="23"/>
                <w:color w:val="auto"/>
              </w:rPr>
            </w:pPr>
          </w:p>
        </w:tc>
      </w:tr>
      <w:tr>
        <w:trPr>
          <w:trHeight w:val="205"/>
        </w:trPr>
        <w:tc>
          <w:tcPr>
            <w:tcW w:w="6740" w:type="dxa"/>
            <w:vAlign w:val="bottom"/>
            <w:tcBorders>
              <w:top w:val="single" w:sz="8" w:color="auto"/>
              <w:lef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4DC1E4"/>
              </w:rPr>
              <w:t>PROPOSAL 1: Election of Class II Director for a Three-Year Term Expiring at the 2028</w:t>
            </w:r>
          </w:p>
        </w:tc>
        <w:tc>
          <w:tcPr>
            <w:tcW w:w="142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36</w:t>
            </w:r>
          </w:p>
        </w:tc>
        <w:tc>
          <w:tcPr>
            <w:tcW w:w="2780" w:type="dxa"/>
            <w:vAlign w:val="bottom"/>
            <w:tcBorders>
              <w:top w:val="single" w:sz="8" w:color="auto"/>
            </w:tcBorders>
          </w:tcPr>
          <w:p>
            <w:pPr>
              <w:ind w:left="26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Our Nominee</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auto"/>
            </w:tcBorders>
          </w:tcPr>
          <w:p>
            <w:pPr>
              <w:spacing w:after="0"/>
              <w:rPr>
                <w:sz w:val="17"/>
                <w:szCs w:val="17"/>
                <w:color w:val="auto"/>
              </w:rPr>
            </w:pPr>
          </w:p>
        </w:tc>
      </w:tr>
      <w:tr>
        <w:trPr>
          <w:trHeight w:val="216"/>
        </w:trPr>
        <w:tc>
          <w:tcPr>
            <w:tcW w:w="6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Annual Meeting of Stockholders</w:t>
            </w: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34"/>
        </w:trPr>
        <w:tc>
          <w:tcPr>
            <w:tcW w:w="6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Thomas E. Hamilton</w:t>
            </w:r>
          </w:p>
        </w:tc>
        <w:tc>
          <w:tcPr>
            <w:tcW w:w="1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94"/>
        </w:trPr>
        <w:tc>
          <w:tcPr>
            <w:tcW w:w="6740" w:type="dxa"/>
            <w:vAlign w:val="bottom"/>
            <w:tcBorders>
              <w:left w:val="single" w:sz="8" w:color="auto"/>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r>
      <w:tr>
        <w:trPr>
          <w:trHeight w:val="205"/>
        </w:trPr>
        <w:tc>
          <w:tcPr>
            <w:tcW w:w="6740" w:type="dxa"/>
            <w:vAlign w:val="bottom"/>
            <w:tcBorders>
              <w:lef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 the Compensation of our Named</w:t>
            </w:r>
          </w:p>
        </w:tc>
        <w:tc>
          <w:tcPr>
            <w:tcW w:w="14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37</w:t>
            </w:r>
          </w:p>
        </w:tc>
        <w:tc>
          <w:tcPr>
            <w:tcW w:w="2780" w:type="dxa"/>
            <w:vAlign w:val="bottom"/>
          </w:tcPr>
          <w:p>
            <w:pPr>
              <w:ind w:left="26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34"/>
        </w:trPr>
        <w:tc>
          <w:tcPr>
            <w:tcW w:w="6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Executive Officers in 2024</w:t>
            </w:r>
          </w:p>
        </w:tc>
        <w:tc>
          <w:tcPr>
            <w:tcW w:w="1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81"/>
        </w:trPr>
        <w:tc>
          <w:tcPr>
            <w:tcW w:w="6740" w:type="dxa"/>
            <w:vAlign w:val="bottom"/>
            <w:tcBorders>
              <w:left w:val="single" w:sz="8" w:color="auto"/>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r>
      <w:tr>
        <w:trPr>
          <w:trHeight w:val="205"/>
        </w:trPr>
        <w:tc>
          <w:tcPr>
            <w:tcW w:w="6740" w:type="dxa"/>
            <w:vAlign w:val="bottom"/>
            <w:tcBorders>
              <w:lef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 Appointment of PricewaterhouseCoopers LLP as our</w:t>
            </w:r>
          </w:p>
        </w:tc>
        <w:tc>
          <w:tcPr>
            <w:tcW w:w="142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38</w:t>
            </w:r>
          </w:p>
        </w:tc>
        <w:tc>
          <w:tcPr>
            <w:tcW w:w="2780" w:type="dxa"/>
            <w:vAlign w:val="bottom"/>
          </w:tcPr>
          <w:p>
            <w:pPr>
              <w:ind w:left="26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34"/>
        </w:trPr>
        <w:tc>
          <w:tcPr>
            <w:tcW w:w="6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Independent Registered Public Accounting Firm for the 2025 Fiscal Year</w:t>
            </w:r>
          </w:p>
        </w:tc>
        <w:tc>
          <w:tcPr>
            <w:tcW w:w="1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88"/>
        </w:trPr>
        <w:tc>
          <w:tcPr>
            <w:tcW w:w="6740" w:type="dxa"/>
            <w:vAlign w:val="bottom"/>
            <w:tcBorders>
              <w:left w:val="single" w:sz="8" w:color="auto"/>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 Nominee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being asked to vote on the election of Thomas E. Hamilton as a Class II director, to serve for a three-year term expiring at our 2028 Annual Meeting of Stockholders. The number of members of our Board of Directors (the “Board”) is currently set at six members and is divided into three classes, each of which has a three-year term. Class I consists of two directors, Class II consists of one director and Class III consists of three directors.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of office of our Class II director expires at the Annual Meeting. We are nominating Thomas E. Hamilton for re-election at the Annual Meeting to serve until the 2028 Annual Meeting of Stockholders and until his successor, if any, is duly elected and qualified or appointed, or until his earlier death, resignation or removal. Directors are elected by a plurality of the votes cast by our stockholders at the Annual Meeting. The nominee receiving the highest number of FOR votes (among votes properly cast online during the Annual Meeting or by proxy) will be elected. If no contrary indication is made, shares represented by executed proxies will be voted FOR the election of Mr. Hamilton. Mr. Hamilton has agreed to serve as a director if elected, and we have no reason to believe that he will be unable to serve.</w:t>
      </w:r>
    </w:p>
    <w:p>
      <w:pPr>
        <w:spacing w:after="0" w:line="10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OMMITTEE</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780" w:type="dxa"/>
            <w:vAlign w:val="bottom"/>
            <w:shd w:val="clear" w:color="auto" w:fill="4DC1E4"/>
          </w:tcPr>
          <w:p>
            <w:pPr>
              <w:spacing w:after="0"/>
              <w:rPr>
                <w:sz w:val="18"/>
                <w:szCs w:val="18"/>
                <w:color w:val="auto"/>
              </w:rPr>
            </w:pPr>
          </w:p>
        </w:tc>
        <w:tc>
          <w:tcPr>
            <w:tcW w:w="10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960" w:type="dxa"/>
            <w:vAlign w:val="bottom"/>
            <w:shd w:val="clear" w:color="auto" w:fill="4DC1E4"/>
          </w:tcPr>
          <w:p>
            <w:pPr>
              <w:spacing w:after="0"/>
              <w:rPr>
                <w:sz w:val="18"/>
                <w:szCs w:val="18"/>
                <w:color w:val="auto"/>
              </w:rPr>
            </w:pPr>
          </w:p>
        </w:tc>
        <w:tc>
          <w:tcPr>
            <w:tcW w:w="1380" w:type="dxa"/>
            <w:vAlign w:val="bottom"/>
            <w:shd w:val="clear" w:color="auto" w:fill="4DC1E4"/>
          </w:tcPr>
          <w:p>
            <w:pPr>
              <w:spacing w:after="0"/>
              <w:rPr>
                <w:sz w:val="18"/>
                <w:szCs w:val="18"/>
                <w:color w:val="auto"/>
              </w:rPr>
            </w:pPr>
          </w:p>
        </w:tc>
        <w:tc>
          <w:tcPr>
            <w:tcW w:w="820" w:type="dxa"/>
            <w:vAlign w:val="bottom"/>
            <w:shd w:val="clear" w:color="auto" w:fill="4DC1E4"/>
          </w:tcPr>
          <w:p>
            <w:pPr>
              <w:spacing w:after="0"/>
              <w:rPr>
                <w:sz w:val="18"/>
                <w:szCs w:val="18"/>
                <w:color w:val="auto"/>
              </w:rPr>
            </w:pPr>
          </w:p>
        </w:tc>
        <w:tc>
          <w:tcPr>
            <w:tcW w:w="780" w:type="dxa"/>
            <w:vAlign w:val="bottom"/>
            <w:shd w:val="clear" w:color="auto" w:fill="4DC1E4"/>
          </w:tcPr>
          <w:p>
            <w:pPr>
              <w:spacing w:after="0"/>
              <w:rPr>
                <w:sz w:val="18"/>
                <w:szCs w:val="18"/>
                <w:color w:val="auto"/>
              </w:rPr>
            </w:pPr>
          </w:p>
        </w:tc>
        <w:tc>
          <w:tcPr>
            <w:tcW w:w="920" w:type="dxa"/>
            <w:vAlign w:val="bottom"/>
            <w:shd w:val="clear" w:color="auto" w:fill="4DC1E4"/>
          </w:tcPr>
          <w:p>
            <w:pPr>
              <w:spacing w:after="0"/>
              <w:rPr>
                <w:sz w:val="18"/>
                <w:szCs w:val="18"/>
                <w:color w:val="auto"/>
              </w:rPr>
            </w:pPr>
          </w:p>
        </w:tc>
      </w:tr>
      <w:tr>
        <w:trPr>
          <w:trHeight w:val="279"/>
        </w:trPr>
        <w:tc>
          <w:tcPr>
            <w:tcW w:w="35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780" w:type="dxa"/>
            <w:vAlign w:val="bottom"/>
            <w:tcBorders>
              <w:bottom w:val="single" w:sz="8" w:color="4DC1E4"/>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c>
          <w:tcPr>
            <w:tcW w:w="10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INCE</w:t>
            </w:r>
          </w:p>
        </w:tc>
        <w:tc>
          <w:tcPr>
            <w:tcW w:w="1960" w:type="dxa"/>
            <w:vAlign w:val="bottom"/>
            <w:tcBorders>
              <w:bottom w:val="single" w:sz="8" w:color="4DC1E4"/>
            </w:tcBorders>
            <w:shd w:val="clear" w:color="auto" w:fill="4DC1E4"/>
          </w:tcPr>
          <w:p>
            <w:pPr>
              <w:ind w:left="540"/>
              <w:spacing w:after="0"/>
              <w:rPr>
                <w:sz w:val="20"/>
                <w:szCs w:val="20"/>
                <w:color w:val="auto"/>
              </w:rPr>
            </w:pPr>
            <w:r>
              <w:rPr>
                <w:rFonts w:ascii="Times New Roman" w:cs="Times New Roman" w:eastAsia="Times New Roman" w:hAnsi="Times New Roman"/>
                <w:sz w:val="18"/>
                <w:szCs w:val="18"/>
                <w:b w:val="1"/>
                <w:bCs w:val="1"/>
                <w:color w:val="FFFFFF"/>
              </w:rPr>
              <w:t>O</w:t>
            </w:r>
            <w:r>
              <w:rPr>
                <w:rFonts w:ascii="Times New Roman" w:cs="Times New Roman" w:eastAsia="Times New Roman" w:hAnsi="Times New Roman"/>
                <w:sz w:val="13"/>
                <w:szCs w:val="13"/>
                <w:b w:val="1"/>
                <w:bCs w:val="1"/>
                <w:color w:val="FFFFFF"/>
              </w:rPr>
              <w:t>CCUPATION</w:t>
            </w:r>
          </w:p>
        </w:tc>
        <w:tc>
          <w:tcPr>
            <w:tcW w:w="1380" w:type="dxa"/>
            <w:vAlign w:val="bottom"/>
            <w:tcBorders>
              <w:bottom w:val="single" w:sz="8" w:color="4DC1E4"/>
            </w:tcBorders>
            <w:shd w:val="clear" w:color="auto" w:fill="4DC1E4"/>
          </w:tcPr>
          <w:p>
            <w:pPr>
              <w:ind w:left="100"/>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NDEPENDENT</w:t>
            </w:r>
          </w:p>
        </w:tc>
        <w:tc>
          <w:tcPr>
            <w:tcW w:w="820" w:type="dxa"/>
            <w:vAlign w:val="bottom"/>
            <w:tcBorders>
              <w:bottom w:val="single" w:sz="8" w:color="4DC1E4"/>
            </w:tcBorders>
            <w:shd w:val="clear" w:color="auto" w:fill="4DC1E4"/>
          </w:tcPr>
          <w:p>
            <w:pPr>
              <w:ind w:left="300"/>
              <w:spacing w:after="0"/>
              <w:rPr>
                <w:sz w:val="20"/>
                <w:szCs w:val="20"/>
                <w:color w:val="auto"/>
              </w:rPr>
            </w:pPr>
            <w:r>
              <w:rPr>
                <w:rFonts w:ascii="Times New Roman" w:cs="Times New Roman" w:eastAsia="Times New Roman" w:hAnsi="Times New Roman"/>
                <w:sz w:val="18"/>
                <w:szCs w:val="18"/>
                <w:b w:val="1"/>
                <w:bCs w:val="1"/>
                <w:color w:val="FFFFFF"/>
              </w:rPr>
              <w:t>AC</w:t>
            </w:r>
          </w:p>
        </w:tc>
        <w:tc>
          <w:tcPr>
            <w:tcW w:w="780" w:type="dxa"/>
            <w:vAlign w:val="bottom"/>
            <w:tcBorders>
              <w:bottom w:val="single" w:sz="8" w:color="4DC1E4"/>
            </w:tcBorders>
            <w:shd w:val="clear" w:color="auto" w:fill="4DC1E4"/>
          </w:tcPr>
          <w:p>
            <w:pPr>
              <w:ind w:left="280"/>
              <w:spacing w:after="0"/>
              <w:rPr>
                <w:sz w:val="20"/>
                <w:szCs w:val="20"/>
                <w:color w:val="auto"/>
              </w:rPr>
            </w:pPr>
            <w:r>
              <w:rPr>
                <w:rFonts w:ascii="Times New Roman" w:cs="Times New Roman" w:eastAsia="Times New Roman" w:hAnsi="Times New Roman"/>
                <w:sz w:val="18"/>
                <w:szCs w:val="18"/>
                <w:b w:val="1"/>
                <w:bCs w:val="1"/>
                <w:color w:val="FFFFFF"/>
              </w:rPr>
              <w:t>CC</w:t>
            </w:r>
          </w:p>
        </w:tc>
        <w:tc>
          <w:tcPr>
            <w:tcW w:w="920" w:type="dxa"/>
            <w:vAlign w:val="bottom"/>
            <w:tcBorders>
              <w:bottom w:val="single" w:sz="8" w:color="4DC1E4"/>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191"/>
        </w:trPr>
        <w:tc>
          <w:tcPr>
            <w:tcW w:w="35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Thomas E. Hamilton</w:t>
            </w:r>
          </w:p>
        </w:tc>
        <w:tc>
          <w:tcPr>
            <w:tcW w:w="78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9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Managing Member of</w:t>
            </w:r>
          </w:p>
        </w:tc>
        <w:tc>
          <w:tcPr>
            <w:tcW w:w="138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Yes</w:t>
            </w:r>
          </w:p>
        </w:tc>
        <w:tc>
          <w:tcPr>
            <w:tcW w:w="82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M</w:t>
            </w:r>
          </w:p>
        </w:tc>
        <w:tc>
          <w:tcPr>
            <w:tcW w:w="7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3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Friedreich’s Ataxia Life</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Sciences</w:t>
            </w: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31" w:lineRule="exact"/>
        <w:rPr>
          <w:sz w:val="20"/>
          <w:szCs w:val="20"/>
          <w:color w:val="auto"/>
        </w:rPr>
      </w:pPr>
    </w:p>
    <w:p>
      <w:pPr>
        <w:sectPr>
          <w:pgSz w:w="11900" w:h="16838" w:orient="portrait"/>
          <w:cols w:equalWidth="0" w:num="1">
            <w:col w:w="11240"/>
          </w:cols>
          <w:pgMar w:left="320" w:top="1067" w:right="339" w:bottom="1440" w:gutter="0" w:footer="0" w:header="0"/>
        </w:sectPr>
      </w:pPr>
    </w:p>
    <w:p>
      <w:pPr>
        <w:jc w:val="center"/>
        <w:ind w:right="2760"/>
        <w:spacing w:after="0"/>
        <w:rPr>
          <w:sz w:val="20"/>
          <w:szCs w:val="20"/>
          <w:color w:val="auto"/>
        </w:rPr>
      </w:pPr>
      <w:r>
        <w:rPr>
          <w:rFonts w:ascii="Times New Roman" w:cs="Times New Roman" w:eastAsia="Times New Roman" w:hAnsi="Times New Roman"/>
          <w:sz w:val="14"/>
          <w:szCs w:val="14"/>
          <w:color w:val="auto"/>
        </w:rPr>
        <w:t>AC = Audit Committee</w:t>
      </w:r>
    </w:p>
    <w:p>
      <w:pPr>
        <w:jc w:val="center"/>
        <w:ind w:right="2760"/>
        <w:spacing w:after="0" w:line="226" w:lineRule="auto"/>
        <w:rPr>
          <w:sz w:val="20"/>
          <w:szCs w:val="20"/>
          <w:color w:val="auto"/>
        </w:rPr>
      </w:pPr>
      <w:r>
        <w:rPr>
          <w:rFonts w:ascii="Times New Roman" w:cs="Times New Roman" w:eastAsia="Times New Roman" w:hAnsi="Times New Roman"/>
          <w:sz w:val="14"/>
          <w:szCs w:val="14"/>
          <w:color w:val="auto"/>
        </w:rPr>
        <w:t>CC = Compensation Committee</w:t>
      </w:r>
    </w:p>
    <w:p>
      <w:pPr>
        <w:jc w:val="center"/>
        <w:ind w:right="2760"/>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Times New Roman" w:cs="Times New Roman" w:eastAsia="Times New Roman" w:hAnsi="Times New Roman"/>
          <w:sz w:val="14"/>
          <w:szCs w:val="14"/>
          <w:color w:val="auto"/>
        </w:rPr>
        <w:t>M = Member</w:t>
      </w:r>
    </w:p>
    <w:p>
      <w:pPr>
        <w:spacing w:after="0" w:line="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color w:val="auto"/>
        </w:rPr>
        <w:t>C = Chair</w:t>
      </w:r>
    </w:p>
    <w:p>
      <w:pPr>
        <w:spacing w:after="0" w:line="348" w:lineRule="exact"/>
        <w:rPr>
          <w:sz w:val="20"/>
          <w:szCs w:val="20"/>
          <w:color w:val="auto"/>
        </w:rPr>
      </w:pPr>
    </w:p>
    <w:p>
      <w:pPr>
        <w:sectPr>
          <w:pgSz w:w="11900" w:h="16838" w:orient="portrait"/>
          <w:cols w:equalWidth="0" w:num="2">
            <w:col w:w="9100" w:space="720"/>
            <w:col w:w="1420"/>
          </w:cols>
          <w:pgMar w:left="320" w:top="1067" w:right="339" w:bottom="1440" w:gutter="0" w:footer="0" w:header="0"/>
          <w:type w:val="continuous"/>
        </w:sect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20" w:type="dxa"/>
            <w:vAlign w:val="bottom"/>
            <w:tcBorders>
              <w:right w:val="single" w:sz="8" w:color="auto"/>
            </w:tcBorders>
          </w:tcPr>
          <w:p>
            <w:pPr>
              <w:ind w:left="5600"/>
              <w:spacing w:after="0"/>
              <w:rPr>
                <w:sz w:val="20"/>
                <w:szCs w:val="20"/>
                <w:color w:val="auto"/>
              </w:rPr>
            </w:pPr>
            <w:r>
              <w:rPr>
                <w:rFonts w:ascii="Times New Roman" w:cs="Times New Roman" w:eastAsia="Times New Roman" w:hAnsi="Times New Roman"/>
                <w:sz w:val="18"/>
                <w:szCs w:val="18"/>
                <w:b w:val="1"/>
                <w:bCs w:val="1"/>
                <w:color w:val="4DC1E4"/>
                <w:w w:val="99"/>
              </w:rPr>
              <w:t xml:space="preserve">Notice of Annual Meeting of Stockholders </w:t>
            </w:r>
            <w:r>
              <w:rPr>
                <w:rFonts w:ascii="Times New Roman" w:cs="Times New Roman" w:eastAsia="Times New Roman" w:hAnsi="Times New Roman"/>
                <w:sz w:val="18"/>
                <w:szCs w:val="18"/>
                <w:b w:val="1"/>
                <w:bCs w:val="1"/>
                <w:color w:val="000000"/>
                <w:w w:val="99"/>
              </w:rPr>
              <w:t>and 2025 Proxy Statement</w:t>
            </w:r>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78"/>
              </w:rPr>
              <w:t>i</w:t>
            </w:r>
          </w:p>
        </w:tc>
      </w:tr>
      <w:tr>
        <w:trPr>
          <w:trHeight w:val="858"/>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4" w:name="page5"/>
    <w:bookmarkEnd w:id="4"/>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8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tc>
        <w:tc>
          <w:tcPr>
            <w:tcW w:w="2460" w:type="dxa"/>
            <w:vAlign w:val="bottom"/>
          </w:tcPr>
          <w:p>
            <w:pPr>
              <w:spacing w:after="0"/>
              <w:rPr>
                <w:sz w:val="20"/>
                <w:szCs w:val="20"/>
                <w:color w:val="auto"/>
              </w:rPr>
            </w:pPr>
          </w:p>
        </w:tc>
      </w:tr>
      <w:tr>
        <w:trPr>
          <w:trHeight w:val="391"/>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tc>
        <w:tc>
          <w:tcPr>
            <w:tcW w:w="2460" w:type="dxa"/>
            <w:vAlign w:val="bottom"/>
          </w:tcPr>
          <w:p>
            <w:pPr>
              <w:spacing w:after="0"/>
              <w:rPr>
                <w:sz w:val="24"/>
                <w:szCs w:val="24"/>
                <w:color w:val="auto"/>
              </w:rPr>
            </w:pPr>
          </w:p>
        </w:tc>
      </w:tr>
      <w:tr>
        <w:trPr>
          <w:trHeight w:val="213"/>
        </w:trPr>
        <w:tc>
          <w:tcPr>
            <w:tcW w:w="8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r>
      <w:tr>
        <w:trPr>
          <w:trHeight w:val="250"/>
        </w:trPr>
        <w:tc>
          <w:tcPr>
            <w:tcW w:w="8800" w:type="dxa"/>
            <w:vAlign w:val="bottom"/>
            <w:tcBorders>
              <w:left w:val="single" w:sz="8" w:color="auto"/>
              <w:bottom w:val="single" w:sz="8" w:color="auto"/>
              <w:right w:val="single" w:sz="8" w:color="4DC1E4"/>
            </w:tcBorders>
            <w:shd w:val="clear" w:color="auto" w:fill="4DC1E4"/>
          </w:tcPr>
          <w:p>
            <w:pPr>
              <w:ind w:left="4940"/>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OVERNANCE ITEMS</w:t>
            </w:r>
          </w:p>
        </w:tc>
        <w:tc>
          <w:tcPr>
            <w:tcW w:w="2460" w:type="dxa"/>
            <w:vAlign w:val="bottom"/>
            <w:tcBorders>
              <w:bottom w:val="single" w:sz="8" w:color="auto"/>
              <w:right w:val="single" w:sz="8" w:color="auto"/>
            </w:tcBorders>
            <w:shd w:val="clear" w:color="auto" w:fill="4DC1E4"/>
          </w:tcPr>
          <w:p>
            <w:pPr>
              <w:spacing w:after="0"/>
              <w:rPr>
                <w:sz w:val="21"/>
                <w:szCs w:val="21"/>
                <w:color w:val="auto"/>
              </w:rPr>
            </w:pPr>
          </w:p>
        </w:tc>
      </w:tr>
      <w:tr>
        <w:trPr>
          <w:trHeight w:val="226"/>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23"/>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3"/>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Chairperson of the Board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23"/>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Board Self-Evaluation</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30"/>
        </w:trPr>
        <w:tc>
          <w:tcPr>
            <w:tcW w:w="88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Voting Standard for Election of Directors in Uncontested Elections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Plurality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-1087755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189" w:lineRule="exact"/>
        <w:rPr>
          <w:sz w:val="20"/>
          <w:szCs w:val="20"/>
          <w:color w:val="auto"/>
        </w:rPr>
      </w:pPr>
    </w:p>
    <w:p>
      <w:pPr>
        <w:ind w:left="1440" w:hanging="771"/>
        <w:spacing w:after="0" w:line="261"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announced the dosing of the first patient in our open label extension ("OLE") study evaluating 25 mg daily subcutaneous injections of nomlabofusp in participants with Friedreich’s ataxia.</w:t>
      </w:r>
    </w:p>
    <w:p>
      <w:pPr>
        <w:jc w:val="both"/>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announced that the United States Food and Drug Administration (the "FDA") removed the partial clinical hold previously placed on our nomlabofusp clinical program after a review of data from our completed four-week, placebo-controlled Phase 2 dose exploration study.</w:t>
      </w:r>
    </w:p>
    <w:p>
      <w:pPr>
        <w:spacing w:after="0" w:line="1" w:lineRule="exact"/>
        <w:rPr>
          <w:rFonts w:ascii="Times New Roman" w:cs="Times New Roman" w:eastAsia="Times New Roman" w:hAnsi="Times New Roman"/>
          <w:sz w:val="18"/>
          <w:szCs w:val="18"/>
          <w:color w:val="auto"/>
        </w:rPr>
      </w:pPr>
    </w:p>
    <w:p>
      <w:pPr>
        <w:jc w:val="both"/>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30, 2024, we announced that the FDA selected nomlabofusp to participate in the Support for Clinical Trials Advancing Rare Disease Therapeutics ("START") pilot program. START selection was based on demonstrated development program readiness, including the potential of nomlabofusp to address the serious and unmet medical needs in a rare neurodegenerative condition, alignment of chemistry, manufacturing and controls development timelines with clinical development plans, and a proposed communications plan where enhanced communication could accelerate pivotal study initiation and path to potential Biologics License Application ("BLA") submission.</w:t>
      </w:r>
    </w:p>
    <w:p>
      <w:pPr>
        <w:spacing w:after="0" w:line="2" w:lineRule="exact"/>
        <w:rPr>
          <w:rFonts w:ascii="Times New Roman" w:cs="Times New Roman" w:eastAsia="Times New Roman" w:hAnsi="Times New Roman"/>
          <w:sz w:val="18"/>
          <w:szCs w:val="18"/>
          <w:color w:val="auto"/>
        </w:rPr>
      </w:pPr>
    </w:p>
    <w:p>
      <w:pPr>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announced that we received Innovative Licensing and Access Pathway designation from the Medicines and Healthcare Products Regulatory Agency for nomlabofusp for the treatment of adults and children with Friedreich’s ataxia.</w:t>
      </w:r>
    </w:p>
    <w:p>
      <w:pPr>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we presented data from our Phase 1 studies and the Phase 2 dose exploration study of nomlabofusp at the International Congress for Ataxia Research in London, U.K.</w:t>
      </w:r>
    </w:p>
    <w:p>
      <w:pPr>
        <w:jc w:val="both"/>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announced positive initial data from our ongoing long-term OLE study evaluating daily subcutaneous injections of nomlabofusp self-administered or administered by a caregiver in participants with Friedreich’s ataxia. We also provided an update on our nomlabofusp development program that, given the totality of data from three independent clinical studies continues to support the therapeutic potential of nomlabofusp, and we announced that we were increasing the dose to 50 mg nomlabofusp daily for currently enrolled study participants as well as starting newly enrolled participants on 50 mg daily.</w:t>
      </w:r>
    </w:p>
    <w:p>
      <w:pPr>
        <w:spacing w:after="0" w:line="1" w:lineRule="exact"/>
        <w:rPr>
          <w:rFonts w:ascii="Times New Roman" w:cs="Times New Roman" w:eastAsia="Times New Roman" w:hAnsi="Times New Roman"/>
          <w:sz w:val="18"/>
          <w:szCs w:val="18"/>
          <w:color w:val="auto"/>
        </w:rPr>
      </w:pPr>
    </w:p>
    <w:p>
      <w:pPr>
        <w:ind w:left="1440" w:right="2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announced that we started dosing adolescents 12-17 years old with nomlabofusp in our pediatric pharmacokinetic ("PK") run-in study for patients with Friedreich’s ataxia. We recently completed dosing of the adolescent cohort.</w:t>
      </w:r>
    </w:p>
    <w:p>
      <w:pPr>
        <w:jc w:val="both"/>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announced that the FDA stated in written correspondence associated with a meeting through the START pilot program that it is open to considering the use of skin frataxin ("FXN") concentration as a reasonably likely surrogate endpoint ("RLSE") and the acceptability of FXN’s use as an RLSE would ultimately be a matter of review of the data in a future marketing application. The FDA also recommended measuring skin FXN concentrations to support evidence of effectiveness for the accelerated approval pathway and acknowledged submitted data appear sufficient to support relationship between increased skin FXN concentrations and relevant tissues such as heart, dorsal root ganglia and skeletal muscle.</w:t>
      </w:r>
    </w:p>
    <w:p>
      <w:pPr>
        <w:spacing w:after="0" w:line="2" w:lineRule="exact"/>
        <w:rPr>
          <w:rFonts w:ascii="Times New Roman" w:cs="Times New Roman" w:eastAsia="Times New Roman" w:hAnsi="Times New Roman"/>
          <w:sz w:val="18"/>
          <w:szCs w:val="18"/>
          <w:color w:val="auto"/>
        </w:rPr>
      </w:pPr>
    </w:p>
    <w:p>
      <w:pPr>
        <w:ind w:left="1440" w:hanging="771"/>
        <w:spacing w:after="0" w:line="250" w:lineRule="auto"/>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50 mg dose date from the OLE study and available data from the adolescent cohort of the PK run-in study is planned for a program update in September 2025.</w:t>
      </w:r>
    </w:p>
    <w:p>
      <w:pPr>
        <w:ind w:left="1440" w:hanging="771"/>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targeting the BLA submission to seek accelerated approval by the end of 2025.</w:t>
      </w:r>
    </w:p>
    <w:p>
      <w:pPr>
        <w:spacing w:after="0" w:line="200" w:lineRule="exact"/>
        <w:rPr>
          <w:sz w:val="20"/>
          <w:szCs w:val="20"/>
          <w:color w:val="auto"/>
        </w:rPr>
      </w:pPr>
    </w:p>
    <w:p>
      <w:pPr>
        <w:spacing w:after="0" w:line="340" w:lineRule="exact"/>
        <w:rPr>
          <w:sz w:val="20"/>
          <w:szCs w:val="20"/>
          <w:color w:val="auto"/>
        </w:rPr>
      </w:pPr>
    </w:p>
    <w:p>
      <w:pPr>
        <w:ind w:left="5600"/>
        <w:spacing w:after="0"/>
        <w:tabs>
          <w:tab w:leader="none" w:pos="1110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7"/>
          <w:szCs w:val="17"/>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SUMMARY INFORMATION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GENERAL INFORMATION ABOUT THE MEETING</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BOARD OF DIRECTORS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BOARD STRUCTURE AND COMPOSITION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CRITERIA FOR BOARD MEMBERSHIP</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w w:val="99"/>
              </w:rPr>
              <w:t>BOARD OVERSIGHT OF COMPANY CULTURE AND ENVIRONMENTAL, SOCIAL AND GOVERNANCE HIGHLIGHTS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 NOMINEES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CONTINUING DIRECTORS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2"/>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CORPORATE GOVERNANCE AND RISK MANAGEMENT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8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BOARD INDEPENDENCE</w:t>
            </w:r>
          </w:p>
        </w:tc>
        <w:tc>
          <w:tcPr>
            <w:tcW w:w="5640" w:type="dxa"/>
            <w:vAlign w:val="bottom"/>
            <w:gridSpan w:val="13"/>
          </w:tcPr>
          <w:p>
            <w:pPr>
              <w:spacing w:after="0"/>
              <w:rPr>
                <w:sz w:val="18"/>
                <w:szCs w:val="18"/>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BOARD COMMITTEES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RISK MANAGEMENT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EVALUATING BOARD EFFECTIVENESS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CODE OF CONDUCT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 ORIENTATION AND CONTINUING EDUCATION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BOARD ATTENDANCE, COMMITTEE MEETINGS AND COMMITTEE MEMBERSHIP</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STOCKHOLDER ENGAGEMENT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14</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2"/>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 COMPENSATION TABLE</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2"/>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AUDIT COMMITTEE PRE-APPROVAL POLICIES AND PROCEDURES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2"/>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2024 SUMMARY COMPENSATION TABLE</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PLEDGING AND HEDGING POLICIES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OUTSTANDING EQUITY AWARDS AT FISCAL 2024 YEAR-END</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78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EMPLOYMENT AGREEMENTS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POLICIES AND PRACTICES RELATED TO THE GRANT OF CERTAIN EQUITY AWARDS CLOSE IN TIME TO THE</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90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RELEASE OF MATERIAL NONPUBLIC INFORMATION</w:t>
            </w: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tcPr>
          <w:p>
            <w:pPr>
              <w:spacing w:after="0" w:line="20" w:lineRule="exact"/>
              <w:rPr>
                <w:sz w:val="1"/>
                <w:szCs w:val="1"/>
                <w:color w:val="auto"/>
              </w:rPr>
            </w:pPr>
          </w:p>
        </w:tc>
        <w:tc>
          <w:tcPr>
            <w:tcW w:w="18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1780" w:type="dxa"/>
            <w:vAlign w:val="bottom"/>
            <w:tcBorders>
              <w:right w:val="single" w:sz="8" w:color="0000EE"/>
            </w:tcBorders>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47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INDEMNIFICATION AGREEMENTS</w:t>
            </w:r>
          </w:p>
        </w:tc>
        <w:tc>
          <w:tcPr>
            <w:tcW w:w="100" w:type="dxa"/>
            <w:vAlign w:val="bottom"/>
            <w:tcBorders>
              <w:top w:val="single" w:sz="8" w:color="0000EE"/>
            </w:tcBorders>
          </w:tcPr>
          <w:p>
            <w:pPr>
              <w:spacing w:after="0"/>
              <w:rPr>
                <w:sz w:val="18"/>
                <w:szCs w:val="18"/>
                <w:color w:val="auto"/>
              </w:rPr>
            </w:pPr>
          </w:p>
        </w:tc>
        <w:tc>
          <w:tcPr>
            <w:tcW w:w="4560" w:type="dxa"/>
            <w:vAlign w:val="bottom"/>
            <w:gridSpan w:val="8"/>
          </w:tcPr>
          <w:p>
            <w:pPr>
              <w:spacing w:after="0"/>
              <w:rPr>
                <w:sz w:val="18"/>
                <w:szCs w:val="18"/>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9"/>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980" w:type="dxa"/>
            <w:vAlign w:val="bottom"/>
            <w:gridSpan w:val="15"/>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OTHER TRANSACTIONS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gridSpan w:val="9"/>
            <w:shd w:val="clear" w:color="auto" w:fill="0000FF"/>
          </w:tcPr>
          <w:p>
            <w:pPr>
              <w:spacing w:after="0" w:line="20" w:lineRule="exact"/>
              <w:rPr>
                <w:sz w:val="1"/>
                <w:szCs w:val="1"/>
                <w:color w:val="auto"/>
              </w:rPr>
            </w:pPr>
          </w:p>
        </w:tc>
        <w:tc>
          <w:tcPr>
            <w:tcW w:w="3820" w:type="dxa"/>
            <w:vAlign w:val="bottom"/>
            <w:gridSpan w:val="21"/>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547370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-116840</wp:posOffset>
            </wp:positionV>
            <wp:extent cx="825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type w:val="continuous"/>
        </w:sectPr>
      </w:pPr>
    </w:p>
    <w:bookmarkStart w:id="6" w:name="page7"/>
    <w:bookmarkEnd w:id="6"/>
    <w:p>
      <w:pPr>
        <w:ind w:left="100"/>
        <w:spacing w:after="0"/>
        <w:rPr>
          <w:sz w:val="20"/>
          <w:szCs w:val="20"/>
          <w:color w:val="auto"/>
        </w:rPr>
      </w:pPr>
      <w:r>
        <w:rPr>
          <w:rFonts w:ascii="Times New Roman" w:cs="Times New Roman" w:eastAsia="Times New Roman" w:hAnsi="Times New Roman"/>
          <w:sz w:val="21"/>
          <w:szCs w:val="21"/>
          <w:b w:val="1"/>
          <w:bCs w:val="1"/>
          <w:color w:val="auto"/>
        </w:rPr>
        <w:t xml:space="preserve">TABLE OF CONTENTS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40" w:top="1186" w:right="35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ITEMS TO BE VOTED 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1: ELECTION OF CLASS II DIRECTOR FOR A THREE-YEAR TERM EXPIRING AT THE 2028 ANNUAL</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24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MEETING OF STOCKHOLDERS</w:t>
            </w:r>
          </w:p>
        </w:tc>
        <w:tc>
          <w:tcPr>
            <w:tcW w:w="720" w:type="dxa"/>
            <w:vAlign w:val="bottom"/>
            <w:gridSpan w:val="2"/>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APPROVAL, ON AN ADVISORY BASIS, OF THE COMPENSATION OF OUR NAMED EXECUTIVE OFFICERS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96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IN 2024</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PROPOSAL 3: RATIFICATION OF APPOINTMENT OF PRICEWATERHOUSECOOPERS LLP AS OUR INDEPENDENT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4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2025 FISCAL YEAR</w:t>
            </w:r>
          </w:p>
        </w:tc>
        <w:tc>
          <w:tcPr>
            <w:tcW w:w="56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REQUIREMENTS FOR SUBMISSION OF STOCKHOLDER PROPOSALS FOR NEXT YEAR’S ANNUAL MEETING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STOCKHOLDER COMMUNICATIONS TO THE BOARD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AVAILABILITY OF MATERIALS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7"/>
          <w:szCs w:val="17"/>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547370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-116840</wp:posOffset>
            </wp:positionV>
            <wp:extent cx="825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00"/>
          </w:cols>
          <w:pgMar w:left="340" w:top="1186" w:right="359" w:bottom="1440" w:gutter="0" w:footer="0" w:header="0"/>
          <w:type w:val="continuous"/>
        </w:sectPr>
      </w:pPr>
    </w:p>
    <w:bookmarkStart w:id="7" w:name="page8"/>
    <w:bookmarkEnd w:id="7"/>
    <w:p>
      <w:pPr>
        <w:ind w:left="120"/>
        <w:spacing w:after="0"/>
        <w:rPr>
          <w:sz w:val="20"/>
          <w:szCs w:val="20"/>
          <w:color w:val="auto"/>
        </w:rPr>
      </w:pPr>
      <w:r>
        <w:rPr>
          <w:rFonts w:ascii="Times New Roman" w:cs="Times New Roman" w:eastAsia="Times New Roman" w:hAnsi="Times New Roman"/>
          <w:sz w:val="21"/>
          <w:szCs w:val="2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Tuesday, May 13, 2025, at 10:00 a.m., Eastern Time via the Internet at meetnow.global/ML6NWDL.</w:t>
      </w:r>
    </w:p>
    <w:p>
      <w:pPr>
        <w:spacing w:after="0" w:line="293"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8" w:name="page9"/>
    <w:bookmarkEnd w:id="8"/>
    <w:p>
      <w:pPr>
        <w:ind w:left="12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participate in the virtual meeting, visit meetnow.global/ML6NWDL. You will need to enter the 16-digit control number included on your Notice or on your proxy card. The meeting will begin promptly at 10:00 a.m., Eastern Time on Tuesday, May 13, 2025. We encourage you to access the meeting prior to the start time leaving ample time for the check in.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and the proxy card are first being mailed to our stockholders on or about April 11, 2025.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2024 Annual Report are available to beneficial holders of our common stock at </w:t>
      </w:r>
      <w:r>
        <w:rPr>
          <w:rFonts w:ascii="Times New Roman" w:cs="Times New Roman" w:eastAsia="Times New Roman" w:hAnsi="Times New Roman"/>
          <w:sz w:val="18"/>
          <w:szCs w:val="18"/>
          <w:u w:val="single" w:color="auto"/>
          <w:color w:val="2175FF"/>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175FF"/>
        </w:rPr>
        <w:t>http://www.envisionreports.com/LRMR</w:t>
      </w:r>
      <w:r>
        <w:rPr>
          <w:rFonts w:ascii="Times New Roman" w:cs="Times New Roman" w:eastAsia="Times New Roman" w:hAnsi="Times New Roman"/>
          <w:sz w:val="18"/>
          <w:szCs w:val="18"/>
          <w:color w:val="000000"/>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stockholders of record of our common stock at the close of business on March 27, 2025 (the “Record Date”) are entitled to receive the Notice and to vote their shares at the Annual Meeting. As of the Record Date, 64,027,892 shares of our common stock were outstanding. Each share is entitled to one vote on each matter properly brought to the meeting.</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154305</wp:posOffset>
            </wp:positionV>
            <wp:extent cx="40259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2590" cy="3771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163195</wp:posOffset>
            </wp:positionV>
            <wp:extent cx="497205" cy="368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205" cy="36830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188595</wp:posOffset>
            </wp:positionV>
            <wp:extent cx="4032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197485</wp:posOffset>
            </wp:positionV>
            <wp:extent cx="51435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16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rPr>
              <w:t>MAIL</w:t>
            </w:r>
          </w:p>
        </w:tc>
        <w:tc>
          <w:tcPr>
            <w:tcW w:w="220" w:type="dxa"/>
            <w:vAlign w:val="bottom"/>
          </w:tcPr>
          <w:p>
            <w:pPr>
              <w:spacing w:after="0"/>
              <w:rPr>
                <w:sz w:val="22"/>
                <w:szCs w:val="22"/>
                <w:color w:val="auto"/>
              </w:rPr>
            </w:pPr>
          </w:p>
        </w:tc>
        <w:tc>
          <w:tcPr>
            <w:tcW w:w="520" w:type="dxa"/>
            <w:vAlign w:val="bottom"/>
            <w:tcBorders>
              <w:bottom w:val="single" w:sz="8" w:color="4DC1E4"/>
            </w:tcBorders>
            <w:shd w:val="clear" w:color="auto" w:fill="4DC1E4"/>
          </w:tcPr>
          <w:p>
            <w:pPr>
              <w:spacing w:after="0"/>
              <w:rPr>
                <w:sz w:val="22"/>
                <w:szCs w:val="22"/>
                <w:color w:val="auto"/>
              </w:rPr>
            </w:pPr>
          </w:p>
        </w:tc>
        <w:tc>
          <w:tcPr>
            <w:tcW w:w="2380" w:type="dxa"/>
            <w:vAlign w:val="bottom"/>
            <w:tcBorders>
              <w:bottom w:val="single" w:sz="8" w:color="4DC1E4"/>
            </w:tcBorders>
            <w:gridSpan w:val="2"/>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auto"/>
              </w:rPr>
              <w:t>INTERNET</w:t>
            </w:r>
          </w:p>
        </w:tc>
        <w:tc>
          <w:tcPr>
            <w:tcW w:w="180" w:type="dxa"/>
            <w:vAlign w:val="bottom"/>
          </w:tcPr>
          <w:p>
            <w:pPr>
              <w:spacing w:after="0"/>
              <w:rPr>
                <w:sz w:val="22"/>
                <w:szCs w:val="22"/>
                <w:color w:val="auto"/>
              </w:rPr>
            </w:pPr>
          </w:p>
        </w:tc>
        <w:tc>
          <w:tcPr>
            <w:tcW w:w="2460" w:type="dxa"/>
            <w:vAlign w:val="bottom"/>
            <w:tcBorders>
              <w:bottom w:val="single" w:sz="8" w:color="4DC1E4"/>
            </w:tcBorders>
            <w:shd w:val="clear" w:color="auto" w:fill="4DC1E4"/>
          </w:tcPr>
          <w:p>
            <w:pPr>
              <w:jc w:val="center"/>
              <w:ind w:left="26"/>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200" w:type="dxa"/>
            <w:vAlign w:val="bottom"/>
          </w:tcPr>
          <w:p>
            <w:pPr>
              <w:spacing w:after="0"/>
              <w:rPr>
                <w:sz w:val="22"/>
                <w:szCs w:val="22"/>
                <w:color w:val="auto"/>
              </w:rPr>
            </w:pPr>
          </w:p>
        </w:tc>
        <w:tc>
          <w:tcPr>
            <w:tcW w:w="3120" w:type="dxa"/>
            <w:vAlign w:val="bottom"/>
            <w:tcBorders>
              <w:bottom w:val="single" w:sz="8" w:color="4DC1E4"/>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rPr>
              <w:t>ONLINE AT THE MEETING</w:t>
            </w:r>
          </w:p>
        </w:tc>
      </w:tr>
      <w:tr>
        <w:trPr>
          <w:trHeight w:val="126"/>
        </w:trPr>
        <w:tc>
          <w:tcPr>
            <w:tcW w:w="2160" w:type="dxa"/>
            <w:vAlign w:val="bottom"/>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Mailing your signed</w:t>
            </w:r>
          </w:p>
        </w:tc>
        <w:tc>
          <w:tcPr>
            <w:tcW w:w="220" w:type="dxa"/>
            <w:vAlign w:val="bottom"/>
          </w:tcPr>
          <w:p>
            <w:pPr>
              <w:spacing w:after="0"/>
              <w:rPr>
                <w:sz w:val="10"/>
                <w:szCs w:val="10"/>
                <w:color w:val="auto"/>
              </w:rPr>
            </w:pPr>
          </w:p>
        </w:tc>
        <w:tc>
          <w:tcPr>
            <w:tcW w:w="520" w:type="dxa"/>
            <w:vAlign w:val="bottom"/>
            <w:shd w:val="clear" w:color="auto" w:fill="F2F2F2"/>
          </w:tcPr>
          <w:p>
            <w:pPr>
              <w:spacing w:after="0"/>
              <w:rPr>
                <w:sz w:val="10"/>
                <w:szCs w:val="10"/>
                <w:color w:val="auto"/>
              </w:rPr>
            </w:pPr>
          </w:p>
        </w:tc>
        <w:tc>
          <w:tcPr>
            <w:tcW w:w="2380" w:type="dxa"/>
            <w:vAlign w:val="bottom"/>
            <w:gridSpan w:val="2"/>
            <w:shd w:val="clear" w:color="auto" w:fill="F2F2F2"/>
          </w:tcPr>
          <w:p>
            <w:pPr>
              <w:jc w:val="center"/>
              <w:ind w:right="400"/>
              <w:spacing w:after="0" w:line="126" w:lineRule="exact"/>
              <w:rPr>
                <w:sz w:val="20"/>
                <w:szCs w:val="20"/>
                <w:color w:val="auto"/>
              </w:rPr>
            </w:pPr>
            <w:r>
              <w:rPr>
                <w:rFonts w:ascii="Times New Roman" w:cs="Times New Roman" w:eastAsia="Times New Roman" w:hAnsi="Times New Roman"/>
                <w:sz w:val="14"/>
                <w:szCs w:val="14"/>
                <w:color w:val="auto"/>
              </w:rPr>
              <w:t>Using the Internet at</w:t>
            </w:r>
          </w:p>
        </w:tc>
        <w:tc>
          <w:tcPr>
            <w:tcW w:w="180" w:type="dxa"/>
            <w:vAlign w:val="bottom"/>
          </w:tcPr>
          <w:p>
            <w:pPr>
              <w:spacing w:after="0"/>
              <w:rPr>
                <w:sz w:val="10"/>
                <w:szCs w:val="10"/>
                <w:color w:val="auto"/>
              </w:rPr>
            </w:pPr>
          </w:p>
        </w:tc>
        <w:tc>
          <w:tcPr>
            <w:tcW w:w="2460" w:type="dxa"/>
            <w:vAlign w:val="bottom"/>
            <w:shd w:val="clear" w:color="auto" w:fill="F2F2F2"/>
          </w:tcPr>
          <w:p>
            <w:pPr>
              <w:jc w:val="center"/>
              <w:ind w:left="46"/>
              <w:spacing w:after="0" w:line="126" w:lineRule="exact"/>
              <w:rPr>
                <w:sz w:val="20"/>
                <w:szCs w:val="20"/>
                <w:color w:val="auto"/>
              </w:rPr>
            </w:pPr>
            <w:r>
              <w:rPr>
                <w:rFonts w:ascii="Times New Roman" w:cs="Times New Roman" w:eastAsia="Times New Roman" w:hAnsi="Times New Roman"/>
                <w:sz w:val="14"/>
                <w:szCs w:val="14"/>
                <w:color w:val="auto"/>
              </w:rPr>
              <w:t>Calling toll-free from the</w:t>
            </w:r>
          </w:p>
        </w:tc>
        <w:tc>
          <w:tcPr>
            <w:tcW w:w="200" w:type="dxa"/>
            <w:vAlign w:val="bottom"/>
          </w:tcPr>
          <w:p>
            <w:pPr>
              <w:spacing w:after="0"/>
              <w:rPr>
                <w:sz w:val="10"/>
                <w:szCs w:val="10"/>
                <w:color w:val="auto"/>
              </w:rPr>
            </w:pPr>
          </w:p>
        </w:tc>
        <w:tc>
          <w:tcPr>
            <w:tcW w:w="3120" w:type="dxa"/>
            <w:vAlign w:val="bottom"/>
            <w:gridSpan w:val="3"/>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You can vote at the meeting at</w:t>
            </w:r>
          </w:p>
        </w:tc>
      </w:tr>
      <w:tr>
        <w:trPr>
          <w:trHeight w:val="158"/>
        </w:trPr>
        <w:tc>
          <w:tcPr>
            <w:tcW w:w="2160" w:type="dxa"/>
            <w:vAlign w:val="bottom"/>
            <w:shd w:val="clear" w:color="auto" w:fill="F2F2F2"/>
          </w:tcPr>
          <w:p>
            <w:pPr>
              <w:jc w:val="center"/>
              <w:spacing w:after="0" w:line="158" w:lineRule="exact"/>
              <w:rPr>
                <w:sz w:val="20"/>
                <w:szCs w:val="20"/>
                <w:color w:val="auto"/>
              </w:rPr>
            </w:pPr>
            <w:r>
              <w:rPr>
                <w:rFonts w:ascii="Times New Roman" w:cs="Times New Roman" w:eastAsia="Times New Roman" w:hAnsi="Times New Roman"/>
                <w:sz w:val="14"/>
                <w:szCs w:val="14"/>
                <w:color w:val="auto"/>
              </w:rPr>
              <w:t>proxy card or voter</w:t>
            </w:r>
          </w:p>
        </w:tc>
        <w:tc>
          <w:tcPr>
            <w:tcW w:w="220" w:type="dxa"/>
            <w:vAlign w:val="bottom"/>
          </w:tcPr>
          <w:p>
            <w:pPr>
              <w:spacing w:after="0"/>
              <w:rPr>
                <w:sz w:val="13"/>
                <w:szCs w:val="13"/>
                <w:color w:val="auto"/>
              </w:rPr>
            </w:pPr>
          </w:p>
        </w:tc>
        <w:tc>
          <w:tcPr>
            <w:tcW w:w="520" w:type="dxa"/>
            <w:vAlign w:val="bottom"/>
            <w:shd w:val="clear" w:color="auto" w:fill="F2F2F2"/>
          </w:tcPr>
          <w:p>
            <w:pPr>
              <w:spacing w:after="0"/>
              <w:rPr>
                <w:sz w:val="13"/>
                <w:szCs w:val="13"/>
                <w:color w:val="auto"/>
              </w:rPr>
            </w:pPr>
          </w:p>
        </w:tc>
        <w:tc>
          <w:tcPr>
            <w:tcW w:w="2380" w:type="dxa"/>
            <w:vAlign w:val="bottom"/>
            <w:gridSpan w:val="2"/>
            <w:shd w:val="clear" w:color="auto" w:fill="F2F2F2"/>
          </w:tcPr>
          <w:p>
            <w:pPr>
              <w:jc w:val="center"/>
              <w:ind w:right="420"/>
              <w:spacing w:after="0" w:line="158" w:lineRule="exact"/>
              <w:rPr>
                <w:sz w:val="20"/>
                <w:szCs w:val="20"/>
                <w:color w:val="auto"/>
              </w:rPr>
            </w:pPr>
            <w:r>
              <w:rPr>
                <w:rFonts w:ascii="Times New Roman" w:cs="Times New Roman" w:eastAsia="Times New Roman" w:hAnsi="Times New Roman"/>
                <w:sz w:val="14"/>
                <w:szCs w:val="14"/>
                <w:color w:val="2B7CF4"/>
              </w:rPr>
              <w:t>www.envisionreports.com/LRMR</w:t>
            </w:r>
          </w:p>
        </w:tc>
        <w:tc>
          <w:tcPr>
            <w:tcW w:w="180" w:type="dxa"/>
            <w:vAlign w:val="bottom"/>
          </w:tcPr>
          <w:p>
            <w:pPr>
              <w:spacing w:after="0"/>
              <w:rPr>
                <w:sz w:val="13"/>
                <w:szCs w:val="13"/>
                <w:color w:val="auto"/>
              </w:rPr>
            </w:pPr>
          </w:p>
        </w:tc>
        <w:tc>
          <w:tcPr>
            <w:tcW w:w="2460" w:type="dxa"/>
            <w:vAlign w:val="bottom"/>
            <w:shd w:val="clear" w:color="auto" w:fill="F2F2F2"/>
          </w:tcPr>
          <w:p>
            <w:pPr>
              <w:jc w:val="center"/>
              <w:ind w:left="46"/>
              <w:spacing w:after="0" w:line="158" w:lineRule="exact"/>
              <w:rPr>
                <w:sz w:val="20"/>
                <w:szCs w:val="20"/>
                <w:color w:val="auto"/>
              </w:rPr>
            </w:pPr>
            <w:r>
              <w:rPr>
                <w:rFonts w:ascii="Times New Roman" w:cs="Times New Roman" w:eastAsia="Times New Roman" w:hAnsi="Times New Roman"/>
                <w:sz w:val="14"/>
                <w:szCs w:val="14"/>
                <w:color w:val="auto"/>
              </w:rPr>
              <w:t>United States, U.S.</w:t>
            </w:r>
          </w:p>
        </w:tc>
        <w:tc>
          <w:tcPr>
            <w:tcW w:w="200" w:type="dxa"/>
            <w:vAlign w:val="bottom"/>
          </w:tcPr>
          <w:p>
            <w:pPr>
              <w:spacing w:after="0"/>
              <w:rPr>
                <w:sz w:val="13"/>
                <w:szCs w:val="13"/>
                <w:color w:val="auto"/>
              </w:rPr>
            </w:pPr>
          </w:p>
        </w:tc>
        <w:tc>
          <w:tcPr>
            <w:tcW w:w="720" w:type="dxa"/>
            <w:vAlign w:val="bottom"/>
            <w:shd w:val="clear" w:color="auto" w:fill="F2F2F2"/>
          </w:tcPr>
          <w:p>
            <w:pPr>
              <w:spacing w:after="0"/>
              <w:rPr>
                <w:sz w:val="13"/>
                <w:szCs w:val="13"/>
                <w:color w:val="auto"/>
              </w:rPr>
            </w:pPr>
          </w:p>
        </w:tc>
        <w:tc>
          <w:tcPr>
            <w:tcW w:w="2400" w:type="dxa"/>
            <w:vAlign w:val="bottom"/>
            <w:gridSpan w:val="2"/>
            <w:shd w:val="clear" w:color="auto" w:fill="F2F2F2"/>
          </w:tcPr>
          <w:p>
            <w:pPr>
              <w:jc w:val="center"/>
              <w:ind w:right="720"/>
              <w:spacing w:after="0" w:line="158" w:lineRule="exact"/>
              <w:rPr>
                <w:sz w:val="20"/>
                <w:szCs w:val="20"/>
                <w:color w:val="auto"/>
              </w:rPr>
            </w:pPr>
            <w:r>
              <w:rPr>
                <w:rFonts w:ascii="Times New Roman" w:cs="Times New Roman" w:eastAsia="Times New Roman" w:hAnsi="Times New Roman"/>
                <w:sz w:val="14"/>
                <w:szCs w:val="14"/>
                <w:color w:val="auto"/>
              </w:rPr>
              <w:t>meetnow.global/ML6NWDL</w:t>
            </w:r>
          </w:p>
        </w:tc>
      </w:tr>
      <w:tr>
        <w:trPr>
          <w:trHeight w:val="119"/>
        </w:trPr>
        <w:tc>
          <w:tcPr>
            <w:tcW w:w="2160" w:type="dxa"/>
            <w:vAlign w:val="bottom"/>
            <w:tcBorders>
              <w:top w:val="single" w:sz="8" w:color="F2F2F2"/>
            </w:tcBorders>
            <w:shd w:val="clear" w:color="auto" w:fill="F2F2F2"/>
          </w:tcPr>
          <w:p>
            <w:pPr>
              <w:jc w:val="center"/>
              <w:spacing w:after="0" w:line="119" w:lineRule="exact"/>
              <w:rPr>
                <w:sz w:val="20"/>
                <w:szCs w:val="20"/>
                <w:color w:val="auto"/>
              </w:rPr>
            </w:pPr>
            <w:r>
              <w:rPr>
                <w:rFonts w:ascii="Times New Roman" w:cs="Times New Roman" w:eastAsia="Times New Roman" w:hAnsi="Times New Roman"/>
                <w:sz w:val="13"/>
                <w:szCs w:val="13"/>
                <w:color w:val="auto"/>
              </w:rPr>
              <w:t>instruction card.</w:t>
            </w:r>
          </w:p>
        </w:tc>
        <w:tc>
          <w:tcPr>
            <w:tcW w:w="220" w:type="dxa"/>
            <w:vAlign w:val="bottom"/>
          </w:tcPr>
          <w:p>
            <w:pPr>
              <w:spacing w:after="0"/>
              <w:rPr>
                <w:sz w:val="10"/>
                <w:szCs w:val="10"/>
                <w:color w:val="auto"/>
              </w:rPr>
            </w:pPr>
          </w:p>
        </w:tc>
        <w:tc>
          <w:tcPr>
            <w:tcW w:w="520" w:type="dxa"/>
            <w:vAlign w:val="bottom"/>
            <w:tcBorders>
              <w:top w:val="single" w:sz="8" w:color="F2F2F2"/>
            </w:tcBorders>
            <w:shd w:val="clear" w:color="auto" w:fill="F2F2F2"/>
          </w:tcPr>
          <w:p>
            <w:pPr>
              <w:spacing w:after="0"/>
              <w:rPr>
                <w:sz w:val="10"/>
                <w:szCs w:val="10"/>
                <w:color w:val="auto"/>
              </w:rPr>
            </w:pPr>
          </w:p>
        </w:tc>
        <w:tc>
          <w:tcPr>
            <w:tcW w:w="1960" w:type="dxa"/>
            <w:vAlign w:val="bottom"/>
            <w:tcBorders>
              <w:top w:val="single" w:sz="8" w:color="2B7CF4"/>
            </w:tcBorders>
            <w:shd w:val="clear" w:color="auto" w:fill="F2F2F2"/>
          </w:tcPr>
          <w:p>
            <w:pPr>
              <w:spacing w:after="0"/>
              <w:rPr>
                <w:sz w:val="10"/>
                <w:szCs w:val="10"/>
                <w:color w:val="auto"/>
              </w:rPr>
            </w:pPr>
          </w:p>
        </w:tc>
        <w:tc>
          <w:tcPr>
            <w:tcW w:w="420" w:type="dxa"/>
            <w:vAlign w:val="bottom"/>
            <w:tcBorders>
              <w:top w:val="single" w:sz="8" w:color="F2F2F2"/>
            </w:tcBorders>
            <w:shd w:val="clear" w:color="auto" w:fill="F2F2F2"/>
          </w:tcPr>
          <w:p>
            <w:pPr>
              <w:spacing w:after="0"/>
              <w:rPr>
                <w:sz w:val="10"/>
                <w:szCs w:val="10"/>
                <w:color w:val="auto"/>
              </w:rPr>
            </w:pPr>
          </w:p>
        </w:tc>
        <w:tc>
          <w:tcPr>
            <w:tcW w:w="180" w:type="dxa"/>
            <w:vAlign w:val="bottom"/>
          </w:tcPr>
          <w:p>
            <w:pPr>
              <w:spacing w:after="0"/>
              <w:rPr>
                <w:sz w:val="10"/>
                <w:szCs w:val="10"/>
                <w:color w:val="auto"/>
              </w:rPr>
            </w:pPr>
          </w:p>
        </w:tc>
        <w:tc>
          <w:tcPr>
            <w:tcW w:w="2460" w:type="dxa"/>
            <w:vAlign w:val="bottom"/>
            <w:tcBorders>
              <w:top w:val="single" w:sz="8" w:color="F2F2F2"/>
            </w:tcBorders>
            <w:shd w:val="clear" w:color="auto" w:fill="F2F2F2"/>
          </w:tcPr>
          <w:p>
            <w:pPr>
              <w:jc w:val="center"/>
              <w:ind w:left="46"/>
              <w:spacing w:after="0" w:line="119" w:lineRule="exact"/>
              <w:rPr>
                <w:sz w:val="20"/>
                <w:szCs w:val="20"/>
                <w:color w:val="auto"/>
              </w:rPr>
            </w:pPr>
            <w:r>
              <w:rPr>
                <w:rFonts w:ascii="Times New Roman" w:cs="Times New Roman" w:eastAsia="Times New Roman" w:hAnsi="Times New Roman"/>
                <w:sz w:val="13"/>
                <w:szCs w:val="13"/>
                <w:color w:val="auto"/>
              </w:rPr>
              <w:t>territories and</w:t>
            </w:r>
          </w:p>
        </w:tc>
        <w:tc>
          <w:tcPr>
            <w:tcW w:w="200" w:type="dxa"/>
            <w:vAlign w:val="bottom"/>
          </w:tcPr>
          <w:p>
            <w:pPr>
              <w:spacing w:after="0"/>
              <w:rPr>
                <w:sz w:val="10"/>
                <w:szCs w:val="10"/>
                <w:color w:val="auto"/>
              </w:rPr>
            </w:pPr>
          </w:p>
        </w:tc>
        <w:tc>
          <w:tcPr>
            <w:tcW w:w="720" w:type="dxa"/>
            <w:vAlign w:val="bottom"/>
            <w:tcBorders>
              <w:top w:val="single" w:sz="8" w:color="F2F2F2"/>
            </w:tcBorders>
            <w:shd w:val="clear" w:color="auto" w:fill="F2F2F2"/>
          </w:tcPr>
          <w:p>
            <w:pPr>
              <w:spacing w:after="0"/>
              <w:rPr>
                <w:sz w:val="10"/>
                <w:szCs w:val="10"/>
                <w:color w:val="auto"/>
              </w:rPr>
            </w:pPr>
          </w:p>
        </w:tc>
        <w:tc>
          <w:tcPr>
            <w:tcW w:w="1680" w:type="dxa"/>
            <w:vAlign w:val="bottom"/>
            <w:tcBorders>
              <w:top w:val="single" w:sz="8" w:color="auto"/>
            </w:tcBorders>
            <w:shd w:val="clear" w:color="auto" w:fill="F2F2F2"/>
          </w:tcPr>
          <w:p>
            <w:pPr>
              <w:spacing w:after="0"/>
              <w:rPr>
                <w:sz w:val="10"/>
                <w:szCs w:val="10"/>
                <w:color w:val="auto"/>
              </w:rPr>
            </w:pPr>
          </w:p>
        </w:tc>
        <w:tc>
          <w:tcPr>
            <w:tcW w:w="720" w:type="dxa"/>
            <w:vAlign w:val="bottom"/>
            <w:tcBorders>
              <w:top w:val="single" w:sz="8" w:color="F2F2F2"/>
            </w:tcBorders>
            <w:shd w:val="clear" w:color="auto" w:fill="F2F2F2"/>
          </w:tcPr>
          <w:p>
            <w:pPr>
              <w:spacing w:after="0"/>
              <w:rPr>
                <w:sz w:val="10"/>
                <w:szCs w:val="10"/>
                <w:color w:val="auto"/>
              </w:rPr>
            </w:pPr>
          </w:p>
        </w:tc>
      </w:tr>
      <w:tr>
        <w:trPr>
          <w:trHeight w:val="148"/>
        </w:trPr>
        <w:tc>
          <w:tcPr>
            <w:tcW w:w="2160" w:type="dxa"/>
            <w:vAlign w:val="bottom"/>
            <w:shd w:val="clear" w:color="auto" w:fill="F2F2F2"/>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shd w:val="clear" w:color="auto" w:fill="F2F2F2"/>
          </w:tcPr>
          <w:p>
            <w:pPr>
              <w:spacing w:after="0"/>
              <w:rPr>
                <w:sz w:val="12"/>
                <w:szCs w:val="12"/>
                <w:color w:val="auto"/>
              </w:rPr>
            </w:pPr>
          </w:p>
        </w:tc>
        <w:tc>
          <w:tcPr>
            <w:tcW w:w="1960" w:type="dxa"/>
            <w:vAlign w:val="bottom"/>
            <w:shd w:val="clear" w:color="auto" w:fill="F2F2F2"/>
          </w:tcPr>
          <w:p>
            <w:pPr>
              <w:spacing w:after="0"/>
              <w:rPr>
                <w:sz w:val="12"/>
                <w:szCs w:val="12"/>
                <w:color w:val="auto"/>
              </w:rPr>
            </w:pPr>
          </w:p>
        </w:tc>
        <w:tc>
          <w:tcPr>
            <w:tcW w:w="420" w:type="dxa"/>
            <w:vAlign w:val="bottom"/>
            <w:shd w:val="clear" w:color="auto" w:fill="F2F2F2"/>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shd w:val="clear" w:color="auto" w:fill="F2F2F2"/>
          </w:tcPr>
          <w:p>
            <w:pPr>
              <w:jc w:val="center"/>
              <w:ind w:left="46"/>
              <w:spacing w:after="0" w:line="149" w:lineRule="exact"/>
              <w:rPr>
                <w:sz w:val="20"/>
                <w:szCs w:val="20"/>
                <w:color w:val="auto"/>
              </w:rPr>
            </w:pPr>
            <w:r>
              <w:rPr>
                <w:rFonts w:ascii="Times New Roman" w:cs="Times New Roman" w:eastAsia="Times New Roman" w:hAnsi="Times New Roman"/>
                <w:sz w:val="14"/>
                <w:szCs w:val="14"/>
                <w:color w:val="auto"/>
              </w:rPr>
              <w:t>Canada to</w:t>
            </w:r>
          </w:p>
        </w:tc>
        <w:tc>
          <w:tcPr>
            <w:tcW w:w="200" w:type="dxa"/>
            <w:vAlign w:val="bottom"/>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168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r>
      <w:tr>
        <w:trPr>
          <w:trHeight w:val="188"/>
        </w:trPr>
        <w:tc>
          <w:tcPr>
            <w:tcW w:w="2160" w:type="dxa"/>
            <w:vAlign w:val="bottom"/>
            <w:shd w:val="clear" w:color="auto" w:fill="F2F2F2"/>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196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shd w:val="clear" w:color="auto" w:fill="F2F2F2"/>
          </w:tcPr>
          <w:p>
            <w:pPr>
              <w:jc w:val="center"/>
              <w:ind w:left="46"/>
              <w:spacing w:after="0"/>
              <w:rPr>
                <w:sz w:val="20"/>
                <w:szCs w:val="20"/>
                <w:color w:val="auto"/>
              </w:rPr>
            </w:pPr>
            <w:r>
              <w:rPr>
                <w:rFonts w:ascii="Times New Roman" w:cs="Times New Roman" w:eastAsia="Times New Roman" w:hAnsi="Times New Roman"/>
                <w:sz w:val="14"/>
                <w:szCs w:val="14"/>
                <w:color w:val="auto"/>
              </w:rPr>
              <w:t>1-800-652-8683</w:t>
            </w:r>
          </w:p>
        </w:tc>
        <w:tc>
          <w:tcPr>
            <w:tcW w:w="200" w:type="dxa"/>
            <w:vAlign w:val="bottom"/>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r>
      <w:tr>
        <w:trPr>
          <w:trHeight w:val="37"/>
        </w:trPr>
        <w:tc>
          <w:tcPr>
            <w:tcW w:w="2160" w:type="dxa"/>
            <w:vAlign w:val="bottom"/>
            <w:shd w:val="clear" w:color="auto" w:fill="F2F2F2"/>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shd w:val="clear" w:color="auto" w:fill="F2F2F2"/>
          </w:tcPr>
          <w:p>
            <w:pPr>
              <w:spacing w:after="0"/>
              <w:rPr>
                <w:sz w:val="3"/>
                <w:szCs w:val="3"/>
                <w:color w:val="auto"/>
              </w:rPr>
            </w:pPr>
          </w:p>
        </w:tc>
        <w:tc>
          <w:tcPr>
            <w:tcW w:w="1960" w:type="dxa"/>
            <w:vAlign w:val="bottom"/>
            <w:shd w:val="clear" w:color="auto" w:fill="F2F2F2"/>
          </w:tcPr>
          <w:p>
            <w:pPr>
              <w:spacing w:after="0"/>
              <w:rPr>
                <w:sz w:val="3"/>
                <w:szCs w:val="3"/>
                <w:color w:val="auto"/>
              </w:rPr>
            </w:pPr>
          </w:p>
        </w:tc>
        <w:tc>
          <w:tcPr>
            <w:tcW w:w="420" w:type="dxa"/>
            <w:vAlign w:val="bottom"/>
            <w:shd w:val="clear" w:color="auto" w:fill="F2F2F2"/>
          </w:tcPr>
          <w:p>
            <w:pPr>
              <w:spacing w:after="0"/>
              <w:rPr>
                <w:sz w:val="3"/>
                <w:szCs w:val="3"/>
                <w:color w:val="auto"/>
              </w:rPr>
            </w:pPr>
          </w:p>
        </w:tc>
        <w:tc>
          <w:tcPr>
            <w:tcW w:w="180" w:type="dxa"/>
            <w:vAlign w:val="bottom"/>
          </w:tcPr>
          <w:p>
            <w:pPr>
              <w:spacing w:after="0"/>
              <w:rPr>
                <w:sz w:val="3"/>
                <w:szCs w:val="3"/>
                <w:color w:val="auto"/>
              </w:rPr>
            </w:pPr>
          </w:p>
        </w:tc>
        <w:tc>
          <w:tcPr>
            <w:tcW w:w="2460" w:type="dxa"/>
            <w:vAlign w:val="bottom"/>
            <w:shd w:val="clear" w:color="auto" w:fill="F2F2F2"/>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shd w:val="clear" w:color="auto" w:fill="F2F2F2"/>
          </w:tcPr>
          <w:p>
            <w:pPr>
              <w:spacing w:after="0"/>
              <w:rPr>
                <w:sz w:val="3"/>
                <w:szCs w:val="3"/>
                <w:color w:val="auto"/>
              </w:rPr>
            </w:pPr>
          </w:p>
        </w:tc>
        <w:tc>
          <w:tcPr>
            <w:tcW w:w="1680" w:type="dxa"/>
            <w:vAlign w:val="bottom"/>
            <w:shd w:val="clear" w:color="auto" w:fill="F2F2F2"/>
          </w:tcPr>
          <w:p>
            <w:pPr>
              <w:spacing w:after="0"/>
              <w:rPr>
                <w:sz w:val="3"/>
                <w:szCs w:val="3"/>
                <w:color w:val="auto"/>
              </w:rPr>
            </w:pPr>
          </w:p>
        </w:tc>
        <w:tc>
          <w:tcPr>
            <w:tcW w:w="720" w:type="dxa"/>
            <w:vAlign w:val="bottom"/>
            <w:shd w:val="clear" w:color="auto" w:fill="F2F2F2"/>
          </w:tcPr>
          <w:p>
            <w:pPr>
              <w:spacing w:after="0"/>
              <w:rPr>
                <w:sz w:val="3"/>
                <w:szCs w:val="3"/>
                <w:color w:val="auto"/>
              </w:rPr>
            </w:pPr>
          </w:p>
        </w:tc>
      </w:tr>
    </w:tbl>
    <w:p>
      <w:pPr>
        <w:spacing w:after="0" w:line="200" w:lineRule="exact"/>
        <w:rPr>
          <w:sz w:val="20"/>
          <w:szCs w:val="20"/>
          <w:color w:val="auto"/>
        </w:rPr>
      </w:pPr>
    </w:p>
    <w:p>
      <w:pPr>
        <w:spacing w:after="0" w:line="331"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9" w:name="page10"/>
    <w:bookmarkEnd w:id="9"/>
    <w:p>
      <w:pPr>
        <w:ind w:left="12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149" w:lineRule="exact"/>
        <w:rPr>
          <w:sz w:val="20"/>
          <w:szCs w:val="20"/>
          <w:color w:val="auto"/>
        </w:rPr>
      </w:pPr>
    </w:p>
    <w:p>
      <w:pPr>
        <w:ind w:left="1560" w:hanging="774"/>
        <w:spacing w:after="0" w:line="261" w:lineRule="auto"/>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 11:59 p.m., Eastern Time, on May 12, 2025.</w:t>
      </w:r>
    </w:p>
    <w:p>
      <w:pPr>
        <w:ind w:left="1560" w:hanging="774"/>
        <w:spacing w:after="0" w:line="250" w:lineRule="auto"/>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May 12, 2025. Only your latest dated proxy card will be counted.</w:t>
      </w:r>
    </w:p>
    <w:p>
      <w:pPr>
        <w:ind w:left="1560" w:hanging="774"/>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Secretary written notice before or during the meeting that you want to revoke your proxy.</w:t>
      </w:r>
    </w:p>
    <w:p>
      <w:pPr>
        <w:spacing w:after="0" w:line="9" w:lineRule="exact"/>
        <w:rPr>
          <w:rFonts w:ascii="Times New Roman" w:cs="Times New Roman" w:eastAsia="Times New Roman" w:hAnsi="Times New Roman"/>
          <w:sz w:val="18"/>
          <w:szCs w:val="18"/>
          <w:color w:val="auto"/>
        </w:rPr>
      </w:pPr>
    </w:p>
    <w:p>
      <w:pPr>
        <w:ind w:left="1560" w:right="20" w:hanging="774"/>
        <w:spacing w:after="0" w:line="260" w:lineRule="auto"/>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at meetnow.global/ML6NWDL. Virtually attending the Annual Meeting will not by itself revoke a previously granted proxy.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Deadline for Voting. The deadline for voting by telephone or Internet, other than by virtually attending the Annual Meeting, is 11:59 p.m. Eastern Time on May 12, 2025. If you are a registered stockholder and virtually attend the Annual Meeting, you may deliver your vote online during the Annual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940" w:type="dxa"/>
            <w:vAlign w:val="bottom"/>
            <w:tcBorders>
              <w:top w:val="single" w:sz="8" w:color="auto"/>
              <w:left w:val="single" w:sz="8" w:color="auto"/>
            </w:tcBorders>
            <w:shd w:val="clear" w:color="auto" w:fill="4DC1E4"/>
          </w:tcPr>
          <w:p>
            <w:pPr>
              <w:spacing w:after="0"/>
              <w:rPr>
                <w:sz w:val="18"/>
                <w:szCs w:val="18"/>
                <w:color w:val="auto"/>
              </w:rPr>
            </w:pPr>
          </w:p>
        </w:tc>
        <w:tc>
          <w:tcPr>
            <w:tcW w:w="2080" w:type="dxa"/>
            <w:vAlign w:val="bottom"/>
            <w:tcBorders>
              <w:top w:val="single" w:sz="8" w:color="auto"/>
            </w:tcBorders>
            <w:shd w:val="clear" w:color="auto" w:fill="4DC1E4"/>
          </w:tcPr>
          <w:p>
            <w:pPr>
              <w:spacing w:after="0"/>
              <w:rPr>
                <w:sz w:val="18"/>
                <w:szCs w:val="18"/>
                <w:color w:val="auto"/>
              </w:rPr>
            </w:pPr>
          </w:p>
        </w:tc>
        <w:tc>
          <w:tcPr>
            <w:tcW w:w="3620" w:type="dxa"/>
            <w:vAlign w:val="bottom"/>
            <w:tcBorders>
              <w:top w:val="single" w:sz="8" w:color="auto"/>
            </w:tcBorders>
            <w:shd w:val="clear" w:color="auto" w:fill="4DC1E4"/>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REATMENT</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F</w:t>
            </w:r>
          </w:p>
        </w:tc>
        <w:tc>
          <w:tcPr>
            <w:tcW w:w="160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3940" w:type="dxa"/>
            <w:vAlign w:val="bottom"/>
            <w:tcBorders>
              <w:left w:val="single" w:sz="8" w:color="auto"/>
            </w:tcBorders>
            <w:shd w:val="clear" w:color="auto" w:fill="4DC1E4"/>
          </w:tcPr>
          <w:p>
            <w:pPr>
              <w:spacing w:after="0"/>
              <w:rPr>
                <w:sz w:val="18"/>
                <w:szCs w:val="18"/>
                <w:color w:val="auto"/>
              </w:rPr>
            </w:pPr>
          </w:p>
        </w:tc>
        <w:tc>
          <w:tcPr>
            <w:tcW w:w="2080" w:type="dxa"/>
            <w:vAlign w:val="bottom"/>
            <w:shd w:val="clear" w:color="auto" w:fill="4DC1E4"/>
          </w:tcPr>
          <w:p>
            <w:pPr>
              <w:spacing w:after="0"/>
              <w:rPr>
                <w:sz w:val="18"/>
                <w:szCs w:val="18"/>
                <w:color w:val="auto"/>
              </w:rPr>
            </w:pPr>
          </w:p>
        </w:tc>
        <w:tc>
          <w:tcPr>
            <w:tcW w:w="3620" w:type="dxa"/>
            <w:vAlign w:val="bottom"/>
            <w:shd w:val="clear" w:color="auto" w:fill="4DC1E4"/>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W</w:t>
            </w:r>
            <w:r>
              <w:rPr>
                <w:rFonts w:ascii="Times New Roman" w:cs="Times New Roman" w:eastAsia="Times New Roman" w:hAnsi="Times New Roman"/>
                <w:sz w:val="13"/>
                <w:szCs w:val="13"/>
                <w:b w:val="1"/>
                <w:bCs w:val="1"/>
                <w:color w:val="FFFFFF"/>
              </w:rPr>
              <w:t>ITHHELD</w:t>
            </w:r>
            <w:r>
              <w:rPr>
                <w:rFonts w:ascii="Times New Roman" w:cs="Times New Roman" w:eastAsia="Times New Roman" w:hAnsi="Times New Roman"/>
                <w:sz w:val="18"/>
                <w:szCs w:val="18"/>
                <w:b w:val="1"/>
                <w:bCs w:val="1"/>
                <w:color w:val="FFFFFF"/>
              </w:rPr>
              <w:t>, A</w:t>
            </w:r>
            <w:r>
              <w:rPr>
                <w:rFonts w:ascii="Times New Roman" w:cs="Times New Roman" w:eastAsia="Times New Roman" w:hAnsi="Times New Roman"/>
                <w:sz w:val="13"/>
                <w:szCs w:val="13"/>
                <w:b w:val="1"/>
                <w:bCs w:val="1"/>
                <w:color w:val="FFFFFF"/>
              </w:rPr>
              <w:t>BSTENTIONS AND</w:t>
            </w:r>
          </w:p>
        </w:tc>
        <w:tc>
          <w:tcPr>
            <w:tcW w:w="1600" w:type="dxa"/>
            <w:vAlign w:val="bottom"/>
            <w:tcBorders>
              <w:right w:val="single" w:sz="8" w:color="auto"/>
            </w:tcBorders>
            <w:shd w:val="clear" w:color="auto" w:fill="4DC1E4"/>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r>
      <w:tr>
        <w:trPr>
          <w:trHeight w:val="216"/>
        </w:trPr>
        <w:tc>
          <w:tcPr>
            <w:tcW w:w="3940" w:type="dxa"/>
            <w:vAlign w:val="bottom"/>
            <w:tcBorders>
              <w:left w:val="single" w:sz="8" w:color="auto"/>
            </w:tcBorders>
            <w:shd w:val="clear" w:color="auto" w:fill="4DC1E4"/>
          </w:tcPr>
          <w:p>
            <w:pPr>
              <w:spacing w:after="0"/>
              <w:rPr>
                <w:sz w:val="18"/>
                <w:szCs w:val="18"/>
                <w:color w:val="auto"/>
              </w:rPr>
            </w:pPr>
          </w:p>
        </w:tc>
        <w:tc>
          <w:tcPr>
            <w:tcW w:w="2080" w:type="dxa"/>
            <w:vAlign w:val="bottom"/>
            <w:shd w:val="clear" w:color="auto" w:fill="4DC1E4"/>
          </w:tcPr>
          <w:p>
            <w:pPr>
              <w:spacing w:after="0"/>
              <w:rPr>
                <w:sz w:val="18"/>
                <w:szCs w:val="18"/>
                <w:color w:val="auto"/>
              </w:rPr>
            </w:pPr>
          </w:p>
        </w:tc>
        <w:tc>
          <w:tcPr>
            <w:tcW w:w="3620" w:type="dxa"/>
            <w:vAlign w:val="bottom"/>
            <w:shd w:val="clear" w:color="auto" w:fill="4DC1E4"/>
          </w:tcPr>
          <w:p>
            <w:pPr>
              <w:jc w:val="center"/>
              <w:ind w:right="7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c>
          <w:tcPr>
            <w:tcW w:w="1600" w:type="dxa"/>
            <w:vAlign w:val="bottom"/>
            <w:tcBorders>
              <w:right w:val="single" w:sz="8" w:color="auto"/>
            </w:tcBorders>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ISCRETIONARY</w:t>
            </w:r>
          </w:p>
        </w:tc>
      </w:tr>
      <w:tr>
        <w:trPr>
          <w:trHeight w:val="284"/>
        </w:trPr>
        <w:tc>
          <w:tcPr>
            <w:tcW w:w="3940" w:type="dxa"/>
            <w:vAlign w:val="bottom"/>
            <w:tcBorders>
              <w:left w:val="single" w:sz="8" w:color="auto"/>
              <w:bottom w:val="single" w:sz="8" w:color="4DC1E4"/>
            </w:tcBorders>
            <w:shd w:val="clear" w:color="auto" w:fill="4DC1E4"/>
          </w:tcPr>
          <w:p>
            <w:pPr>
              <w:ind w:left="132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2080" w:type="dxa"/>
            <w:vAlign w:val="bottom"/>
            <w:tcBorders>
              <w:bottom w:val="single" w:sz="8" w:color="4DC1E4"/>
            </w:tcBorders>
            <w:shd w:val="clear" w:color="auto" w:fill="4DC1E4"/>
          </w:tcPr>
          <w:p>
            <w:pPr>
              <w:ind w:left="38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R</w:t>
            </w:r>
            <w:r>
              <w:rPr>
                <w:rFonts w:ascii="Times New Roman" w:cs="Times New Roman" w:eastAsia="Times New Roman" w:hAnsi="Times New Roman"/>
                <w:sz w:val="13"/>
                <w:szCs w:val="13"/>
                <w:b w:val="1"/>
                <w:bCs w:val="1"/>
                <w:color w:val="FFFFFF"/>
              </w:rPr>
              <w:t>EQUIRED</w:t>
            </w:r>
          </w:p>
        </w:tc>
        <w:tc>
          <w:tcPr>
            <w:tcW w:w="3620" w:type="dxa"/>
            <w:vAlign w:val="bottom"/>
            <w:tcBorders>
              <w:bottom w:val="single" w:sz="8" w:color="4DC1E4"/>
            </w:tcBorders>
            <w:shd w:val="clear" w:color="auto" w:fill="4DC1E4"/>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p>
        </w:tc>
        <w:tc>
          <w:tcPr>
            <w:tcW w:w="1600" w:type="dxa"/>
            <w:vAlign w:val="bottom"/>
            <w:tcBorders>
              <w:bottom w:val="single" w:sz="8" w:color="4DC1E4"/>
              <w:right w:val="single" w:sz="8" w:color="auto"/>
            </w:tcBorders>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p>
        </w:tc>
      </w:tr>
      <w:tr>
        <w:trPr>
          <w:trHeight w:val="205"/>
        </w:trPr>
        <w:tc>
          <w:tcPr>
            <w:tcW w:w="3940" w:type="dxa"/>
            <w:vAlign w:val="bottom"/>
            <w:tcBorders>
              <w:top w:val="single" w:sz="8" w:color="auto"/>
              <w:left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 Director for a</w:t>
            </w:r>
          </w:p>
        </w:tc>
        <w:tc>
          <w:tcPr>
            <w:tcW w:w="208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Plurality of the votes cast</w:t>
            </w:r>
          </w:p>
        </w:tc>
        <w:tc>
          <w:tcPr>
            <w:tcW w:w="362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Votes withheld and broker non-votes will not</w:t>
            </w:r>
          </w:p>
        </w:tc>
        <w:tc>
          <w:tcPr>
            <w:tcW w:w="1600" w:type="dxa"/>
            <w:vAlign w:val="bottom"/>
            <w:tcBorders>
              <w:top w:val="single" w:sz="8" w:color="auto"/>
              <w:right w:val="single" w:sz="8" w:color="auto"/>
            </w:tcBorders>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Three-Year Term Expiring at the 2028 Annual</w:t>
            </w:r>
          </w:p>
        </w:tc>
        <w:tc>
          <w:tcPr>
            <w:tcW w:w="208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taken into account in determining the</w:t>
            </w:r>
          </w:p>
        </w:tc>
        <w:tc>
          <w:tcPr>
            <w:tcW w:w="1600" w:type="dxa"/>
            <w:vAlign w:val="bottom"/>
            <w:tcBorders>
              <w:right w:val="single" w:sz="8" w:color="auto"/>
            </w:tcBorders>
          </w:tcPr>
          <w:p>
            <w:pPr>
              <w:spacing w:after="0"/>
              <w:rPr>
                <w:sz w:val="18"/>
                <w:szCs w:val="18"/>
                <w:color w:val="auto"/>
              </w:rPr>
            </w:pPr>
          </w:p>
        </w:tc>
      </w:tr>
      <w:tr>
        <w:trPr>
          <w:trHeight w:val="234"/>
        </w:trPr>
        <w:tc>
          <w:tcPr>
            <w:tcW w:w="39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Meeting of Stockholders</w:t>
            </w:r>
          </w:p>
        </w:tc>
        <w:tc>
          <w:tcPr>
            <w:tcW w:w="20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outcome of the proposal</w:t>
            </w:r>
          </w:p>
        </w:tc>
        <w:tc>
          <w:tcPr>
            <w:tcW w:w="1600" w:type="dxa"/>
            <w:vAlign w:val="bottom"/>
            <w:tcBorders>
              <w:bottom w:val="single" w:sz="8" w:color="auto"/>
              <w:right w:val="single" w:sz="8" w:color="auto"/>
            </w:tcBorders>
          </w:tcPr>
          <w:p>
            <w:pPr>
              <w:spacing w:after="0"/>
              <w:rPr>
                <w:sz w:val="20"/>
                <w:szCs w:val="20"/>
                <w:color w:val="auto"/>
              </w:rPr>
            </w:pPr>
          </w:p>
        </w:tc>
      </w:tr>
      <w:tr>
        <w:trPr>
          <w:trHeight w:val="205"/>
        </w:trPr>
        <w:tc>
          <w:tcPr>
            <w:tcW w:w="3940" w:type="dxa"/>
            <w:vAlign w:val="bottom"/>
            <w:tcBorders>
              <w:left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w:t>
            </w:r>
          </w:p>
        </w:tc>
        <w:tc>
          <w:tcPr>
            <w:tcW w:w="20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Majority of the votes cast</w:t>
            </w:r>
          </w:p>
        </w:tc>
        <w:tc>
          <w:tcPr>
            <w:tcW w:w="36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c>
          <w:tcPr>
            <w:tcW w:w="1600" w:type="dxa"/>
            <w:vAlign w:val="bottom"/>
            <w:tcBorders>
              <w:right w:val="single" w:sz="8" w:color="auto"/>
            </w:tcBorders>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9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the Compensation of our Named Executive Officers</w:t>
            </w:r>
          </w:p>
        </w:tc>
        <w:tc>
          <w:tcPr>
            <w:tcW w:w="208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taken into account in determining the outcome</w:t>
            </w:r>
          </w:p>
        </w:tc>
        <w:tc>
          <w:tcPr>
            <w:tcW w:w="1600" w:type="dxa"/>
            <w:vAlign w:val="bottom"/>
            <w:tcBorders>
              <w:right w:val="single" w:sz="8" w:color="auto"/>
            </w:tcBorders>
          </w:tcPr>
          <w:p>
            <w:pPr>
              <w:spacing w:after="0"/>
              <w:rPr>
                <w:sz w:val="18"/>
                <w:szCs w:val="18"/>
                <w:color w:val="auto"/>
              </w:rPr>
            </w:pPr>
          </w:p>
        </w:tc>
      </w:tr>
      <w:tr>
        <w:trPr>
          <w:trHeight w:val="234"/>
        </w:trPr>
        <w:tc>
          <w:tcPr>
            <w:tcW w:w="39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in 2024</w:t>
            </w:r>
          </w:p>
        </w:tc>
        <w:tc>
          <w:tcPr>
            <w:tcW w:w="20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proposal</w:t>
            </w:r>
          </w:p>
        </w:tc>
        <w:tc>
          <w:tcPr>
            <w:tcW w:w="1600" w:type="dxa"/>
            <w:vAlign w:val="bottom"/>
            <w:tcBorders>
              <w:bottom w:val="single" w:sz="8" w:color="auto"/>
              <w:right w:val="single" w:sz="8" w:color="auto"/>
            </w:tcBorders>
          </w:tcPr>
          <w:p>
            <w:pPr>
              <w:spacing w:after="0"/>
              <w:rPr>
                <w:sz w:val="20"/>
                <w:szCs w:val="20"/>
                <w:color w:val="auto"/>
              </w:rPr>
            </w:pPr>
          </w:p>
        </w:tc>
      </w:tr>
      <w:tr>
        <w:trPr>
          <w:trHeight w:val="205"/>
        </w:trPr>
        <w:tc>
          <w:tcPr>
            <w:tcW w:w="3940" w:type="dxa"/>
            <w:vAlign w:val="bottom"/>
            <w:tcBorders>
              <w:left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 Appointment of</w:t>
            </w:r>
          </w:p>
        </w:tc>
        <w:tc>
          <w:tcPr>
            <w:tcW w:w="20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Majority of the votes cast</w:t>
            </w:r>
          </w:p>
        </w:tc>
        <w:tc>
          <w:tcPr>
            <w:tcW w:w="36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c>
          <w:tcPr>
            <w:tcW w:w="16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9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PricewaterhouseCoopers LLP as our Independent</w:t>
            </w:r>
          </w:p>
        </w:tc>
        <w:tc>
          <w:tcPr>
            <w:tcW w:w="208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taken into account in determining the outcome</w:t>
            </w:r>
          </w:p>
        </w:tc>
        <w:tc>
          <w:tcPr>
            <w:tcW w:w="1600" w:type="dxa"/>
            <w:vAlign w:val="bottom"/>
            <w:tcBorders>
              <w:right w:val="single" w:sz="8" w:color="auto"/>
            </w:tcBorders>
          </w:tcPr>
          <w:p>
            <w:pPr>
              <w:spacing w:after="0"/>
              <w:rPr>
                <w:sz w:val="18"/>
                <w:szCs w:val="18"/>
                <w:color w:val="auto"/>
              </w:rPr>
            </w:pPr>
          </w:p>
        </w:tc>
      </w:tr>
      <w:tr>
        <w:trPr>
          <w:trHeight w:val="216"/>
        </w:trPr>
        <w:tc>
          <w:tcPr>
            <w:tcW w:w="39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Registered Public Accounting Firm for the 2025</w:t>
            </w:r>
          </w:p>
        </w:tc>
        <w:tc>
          <w:tcPr>
            <w:tcW w:w="208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proposal</w:t>
            </w:r>
          </w:p>
        </w:tc>
        <w:tc>
          <w:tcPr>
            <w:tcW w:w="1600" w:type="dxa"/>
            <w:vAlign w:val="bottom"/>
            <w:tcBorders>
              <w:right w:val="single" w:sz="8" w:color="auto"/>
            </w:tcBorders>
          </w:tcPr>
          <w:p>
            <w:pPr>
              <w:spacing w:after="0"/>
              <w:rPr>
                <w:sz w:val="18"/>
                <w:szCs w:val="18"/>
                <w:color w:val="auto"/>
              </w:rPr>
            </w:pPr>
          </w:p>
        </w:tc>
      </w:tr>
      <w:tr>
        <w:trPr>
          <w:trHeight w:val="241"/>
        </w:trPr>
        <w:tc>
          <w:tcPr>
            <w:tcW w:w="39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4DC1E4"/>
              </w:rPr>
              <w:t>Fiscal Year</w:t>
            </w:r>
          </w:p>
        </w:tc>
        <w:tc>
          <w:tcPr>
            <w:tcW w:w="20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31"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0" w:name="page11"/>
    <w:bookmarkEnd w:id="10"/>
    <w:p>
      <w:pPr>
        <w:ind w:left="12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293"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ind w:left="120"/>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4DC1E4"/>
        </w:rPr>
        <w:t>Our Board has nominated Thomas E. Hamilton for re-election as a Class II director at our Annual Meeting to hold office until our 2028 Annual Meeting of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with each class holding office for a three-year term. Thomas E. Hamilton, the current Class II director, has been nominated by our Board for re-election at the Annual Meeting for a three-year term that will expire at our 2028 Annual Meeting of Stockholders and until his successor, if any, is elected or appointed, or his earlier death, resignation, or removal. Mr. Hamilton has agreed to be named and to serve, and we expect him to be able to serve if elected. If Mr. Hamilton is unable to serve, the Nominating and Corporate Governance Committee will recommend to our Board a replacement nominee. The Board may then designate the other nominee to stand for election. If you voted for the unavailable nominee, your vote will be cast for his replacement.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number of members of our Board shall be fixed by the Board from time to time. Our Board is currently fixed at six members. Our Board is divided into three classes with staggered three-year terms. The Nominating and Corporate Governance Committee is responsible for identifying individuals that it believes are qualified to become Board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certain criteria in identifying director nominees. Important general criteria and considerations for Board membership include: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ENERAL</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left="1340" w:hanging="774"/>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Board’s range of talent, skill, and experience to provide sound and prudent guidance with respect to the</w:t>
      </w:r>
    </w:p>
    <w:p>
      <w:pPr>
        <w:spacing w:after="0" w:line="225" w:lineRule="exact"/>
        <w:rPr>
          <w:sz w:val="20"/>
          <w:szCs w:val="20"/>
          <w:color w:val="auto"/>
        </w:rPr>
      </w:pPr>
    </w:p>
    <w:p>
      <w:pPr>
        <w:ind w:left="2880" w:hanging="785"/>
        <w:spacing w:after="0"/>
        <w:tabs>
          <w:tab w:leader="none" w:pos="2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at senior levels in public companies;</w:t>
      </w:r>
    </w:p>
    <w:p>
      <w:pPr>
        <w:spacing w:after="0" w:line="27" w:lineRule="exact"/>
        <w:rPr>
          <w:rFonts w:ascii="Times New Roman" w:cs="Times New Roman" w:eastAsia="Times New Roman" w:hAnsi="Times New Roman"/>
          <w:sz w:val="18"/>
          <w:szCs w:val="18"/>
          <w:color w:val="auto"/>
        </w:rPr>
      </w:pPr>
    </w:p>
    <w:p>
      <w:pPr>
        <w:ind w:left="2880" w:hanging="785"/>
        <w:spacing w:after="0"/>
        <w:tabs>
          <w:tab w:leader="none" w:pos="2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expertise;</w:t>
      </w:r>
    </w:p>
    <w:p>
      <w:pPr>
        <w:spacing w:after="0" w:line="9" w:lineRule="exact"/>
        <w:rPr>
          <w:rFonts w:ascii="Times New Roman" w:cs="Times New Roman" w:eastAsia="Times New Roman" w:hAnsi="Times New Roman"/>
          <w:sz w:val="18"/>
          <w:szCs w:val="18"/>
          <w:color w:val="auto"/>
        </w:rPr>
      </w:pPr>
    </w:p>
    <w:p>
      <w:pPr>
        <w:ind w:left="2880" w:hanging="785"/>
        <w:spacing w:after="0" w:line="250" w:lineRule="auto"/>
        <w:tabs>
          <w:tab w:leader="none" w:pos="2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leadership roles in clinical and commercial-stage companies in the biotechnology or healthcare fields;</w:t>
      </w:r>
    </w:p>
    <w:p>
      <w:pPr>
        <w:ind w:left="1340" w:hanging="77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integrity and ethical character, commitment and independence of thought and judgment;</w:t>
      </w:r>
    </w:p>
    <w:p>
      <w:pPr>
        <w:spacing w:after="0" w:line="9" w:lineRule="exact"/>
        <w:rPr>
          <w:rFonts w:ascii="Times New Roman" w:cs="Times New Roman" w:eastAsia="Times New Roman" w:hAnsi="Times New Roman"/>
          <w:sz w:val="18"/>
          <w:szCs w:val="18"/>
          <w:color w:val="auto"/>
        </w:rPr>
      </w:pPr>
    </w:p>
    <w:p>
      <w:pPr>
        <w:ind w:left="1340" w:hanging="77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to fairly and equally act in the best interest of our stockholders;</w:t>
      </w:r>
    </w:p>
    <w:p>
      <w:pPr>
        <w:spacing w:after="0" w:line="9" w:lineRule="exact"/>
        <w:rPr>
          <w:rFonts w:ascii="Times New Roman" w:cs="Times New Roman" w:eastAsia="Times New Roman" w:hAnsi="Times New Roman"/>
          <w:sz w:val="18"/>
          <w:szCs w:val="18"/>
          <w:color w:val="auto"/>
        </w:rPr>
      </w:pPr>
    </w:p>
    <w:p>
      <w:pPr>
        <w:jc w:val="both"/>
        <w:ind w:left="1340" w:hanging="774"/>
        <w:spacing w:after="0" w:line="250"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and willingness to express ideas and engage in constructive discussion with other Board members and management, to actively participate in the Board’s decision-making process and make difficult decisions in the best interest of the Company and our stockholders;</w:t>
      </w:r>
    </w:p>
    <w:p>
      <w:pPr>
        <w:spacing w:after="0" w:line="1" w:lineRule="exact"/>
        <w:rPr>
          <w:rFonts w:ascii="Times New Roman" w:cs="Times New Roman" w:eastAsia="Times New Roman" w:hAnsi="Times New Roman"/>
          <w:sz w:val="18"/>
          <w:szCs w:val="18"/>
          <w:color w:val="auto"/>
        </w:rPr>
      </w:pPr>
    </w:p>
    <w:p>
      <w:pPr>
        <w:ind w:left="1340" w:hanging="774"/>
        <w:spacing w:after="0" w:line="250"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diversity of personal and professional experiences, skills, knowledge, opinions, perspectives, and backgrounds on the Board;</w:t>
      </w:r>
    </w:p>
    <w:p>
      <w:pPr>
        <w:ind w:left="1340" w:hanging="77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and ability to devote sufficient time, energy and attention to the affairs of the Company and the Board; and</w:t>
      </w:r>
    </w:p>
    <w:p>
      <w:pPr>
        <w:spacing w:after="0" w:line="9" w:lineRule="exact"/>
        <w:rPr>
          <w:rFonts w:ascii="Times New Roman" w:cs="Times New Roman" w:eastAsia="Times New Roman" w:hAnsi="Times New Roman"/>
          <w:sz w:val="18"/>
          <w:szCs w:val="18"/>
          <w:color w:val="auto"/>
        </w:rPr>
      </w:pPr>
    </w:p>
    <w:p>
      <w:pPr>
        <w:ind w:left="1340" w:hanging="77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actual and potential conflicts of interest.</w:t>
      </w:r>
    </w:p>
    <w:p>
      <w:pPr>
        <w:spacing w:after="0" w:line="324"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left="120"/>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skills and overall service to the Company, including level of participation and quality of performance,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Company seeks to maintain a Board comprised of talented and dedicated directors whose skills and backgrounds reflect the diverse nature of the business environment in which the Company operates. The Nominating and Corporate Governance Committee considers the value of diversity on the Board in evaluating director nominees and accordingly, includes in their evaluation consideration of their ability to contribute to the diversity of personal and professional experiences, skills, knowledge, opinions, perspectives and backgrounds on the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181" w:lineRule="exact"/>
        <w:rPr>
          <w:sz w:val="20"/>
          <w:szCs w:val="20"/>
          <w:color w:val="auto"/>
        </w:rPr>
      </w:pPr>
    </w:p>
    <w:p>
      <w:pPr>
        <w:jc w:val="both"/>
        <w:ind w:left="1320" w:hanging="768"/>
        <w:spacing w:after="0" w:line="257"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Separate Chairperson of the Board and Chief Executive Officer: </w:t>
      </w:r>
      <w:r>
        <w:rPr>
          <w:rFonts w:ascii="Times New Roman" w:cs="Times New Roman" w:eastAsia="Times New Roman" w:hAnsi="Times New Roman"/>
          <w:sz w:val="18"/>
          <w:szCs w:val="18"/>
          <w:color w:val="auto"/>
        </w:rPr>
        <w:t>The offices of Chief Executive Officer (“CEO”) and Chairperson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are separated, which allows our CEO to focus on strategic planning 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w:t>
      </w:r>
    </w:p>
    <w:p>
      <w:pPr>
        <w:spacing w:after="0" w:line="304"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ind w:left="1320" w:hanging="768"/>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committees consist entirely of independent directors.</w:t>
      </w:r>
    </w:p>
    <w:p>
      <w:pPr>
        <w:spacing w:after="0" w:line="31" w:lineRule="exact"/>
        <w:rPr>
          <w:rFonts w:ascii="Times New Roman" w:cs="Times New Roman" w:eastAsia="Times New Roman" w:hAnsi="Times New Roman"/>
          <w:sz w:val="18"/>
          <w:szCs w:val="18"/>
          <w:color w:val="auto"/>
        </w:rPr>
      </w:pPr>
    </w:p>
    <w:p>
      <w:pPr>
        <w:ind w:left="1320" w:hanging="768"/>
        <w:spacing w:after="0" w:line="250"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 executive session on a regular basis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matters relating to the Company and the Board, without members of the management team present.</w:t>
      </w:r>
    </w:p>
    <w:p>
      <w:pPr>
        <w:ind w:left="1320" w:hanging="768"/>
        <w:spacing w:after="0" w:line="250"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Business Conduct and Ethics",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on our website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under “Investors – Corporate Governance.”</w:t>
      </w:r>
    </w:p>
    <w:p>
      <w:pPr>
        <w:jc w:val="both"/>
        <w:ind w:left="1320" w:hanging="768"/>
        <w:spacing w:after="0" w:line="255" w:lineRule="auto"/>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 support the development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with a competitive compensation and benefits package, health and wellness programs, internal advancement, and individualized development opportunities.</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4DC1E4"/>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II DIRECTOR —   PRESENT TERM EXPIRING AT THE ANNUAL MEETING AND PROPOSED TERM TO EXPIRE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227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HOMAS</w:t>
      </w:r>
      <w:r>
        <w:rPr>
          <w:rFonts w:ascii="Times New Roman" w:cs="Times New Roman" w:eastAsia="Times New Roman" w:hAnsi="Times New Roman"/>
          <w:sz w:val="18"/>
          <w:szCs w:val="18"/>
          <w:b w:val="1"/>
          <w:bCs w:val="1"/>
          <w:color w:val="FFFFFF"/>
        </w:rPr>
        <w:t xml:space="preserve"> E. H</w:t>
      </w:r>
      <w:r>
        <w:rPr>
          <w:rFonts w:ascii="Times New Roman" w:cs="Times New Roman" w:eastAsia="Times New Roman" w:hAnsi="Times New Roman"/>
          <w:sz w:val="13"/>
          <w:szCs w:val="13"/>
          <w:b w:val="1"/>
          <w:bCs w:val="1"/>
          <w:color w:val="FFFFFF"/>
        </w:rPr>
        <w:t>AMILTON</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tc>
        <w:tc>
          <w:tcPr>
            <w:tcW w:w="35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42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Other Public Directorships: </w:t>
            </w:r>
            <w:r>
              <w:rPr>
                <w:rFonts w:ascii="Times New Roman" w:cs="Times New Roman" w:eastAsia="Times New Roman" w:hAnsi="Times New Roman"/>
                <w:sz w:val="18"/>
                <w:szCs w:val="18"/>
                <w:color w:val="auto"/>
              </w:rPr>
              <w:t>Annaly Capital</w:t>
            </w:r>
          </w:p>
        </w:tc>
      </w:tr>
      <w:tr>
        <w:trPr>
          <w:trHeight w:val="238"/>
        </w:trPr>
        <w:tc>
          <w:tcPr>
            <w:tcW w:w="33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Audit, Nominating and Corporate Governance</w:t>
            </w:r>
          </w:p>
        </w:tc>
        <w:tc>
          <w:tcPr>
            <w:tcW w:w="4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Management Inc.</w:t>
            </w:r>
          </w:p>
        </w:tc>
      </w:tr>
      <w:tr>
        <w:trPr>
          <w:trHeight w:val="216"/>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Thomas E. Hamilton </w:t>
      </w:r>
      <w:r>
        <w:rPr>
          <w:rFonts w:ascii="Times New Roman" w:cs="Times New Roman" w:eastAsia="Times New Roman" w:hAnsi="Times New Roman"/>
          <w:sz w:val="18"/>
          <w:szCs w:val="18"/>
          <w:color w:val="auto"/>
        </w:rPr>
        <w:t>has served as a member of the Board since May 2020. Mr. Hamilton served as the Chairman of the board of directors of Chondrial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(“Chondrial”), with which we completed a business combination with in 2020,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Hamilton’s qualifications to sit on the Board include his extensive experience in the financial industry and leadership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cure for Friedreich’s ataxia, including leadership roles in organizations focused on the development of a cure for Friedreich’s ataxia.</w:t>
      </w:r>
    </w:p>
    <w:p>
      <w:pPr>
        <w:spacing w:after="0" w:line="276"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4" w:name="page15"/>
    <w:bookmarkEnd w:id="14"/>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  TERMS EXPIRING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227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RANK</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HOMAS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55</w:t>
            </w:r>
          </w:p>
        </w:tc>
        <w:tc>
          <w:tcPr>
            <w:tcW w:w="36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8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7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2014</w:t>
            </w:r>
          </w:p>
        </w:tc>
        <w:tc>
          <w:tcPr>
            <w:tcW w:w="36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Audit (Chair), Compensation</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Spero Therapeutics, Inc.</w:t>
            </w:r>
          </w:p>
        </w:tc>
      </w:tr>
      <w:tr>
        <w:trPr>
          <w:trHeight w:val="216"/>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Frank Thomas </w:t>
      </w:r>
      <w:r>
        <w:rPr>
          <w:rFonts w:ascii="Times New Roman" w:cs="Times New Roman" w:eastAsia="Times New Roman" w:hAnsi="Times New Roman"/>
          <w:sz w:val="18"/>
          <w:szCs w:val="18"/>
          <w:color w:val="auto"/>
        </w:rPr>
        <w:t>has served as a member of the Board since June 2014. Mr. Thomas has been the President and Chief Operating Officer of Orchard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In January 2024, Orchard was acquired by Kyowa Kirin Co., Ltd., a Japan-based global specialty pharmaceutical company. Prior to joining Orchard, Mr. Thomas served as President and Chief Operating Officer of AMAG Pharmaceuticals, Inc. (“AMAG”), a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biopharmaceutical company, and Esperion Therapeutics, Inc., a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and as chairman of its board of directors since January 2025. Mr. Thomas was a member of the board of directors of the Massachusetts Biotechnology Council from 2007 to 2015. Mr. Thomas holds a B.B.A. from the University of Michigan, Ann Arbor.</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Thomas’ qualifications to sit on the Board include his extensive management experience at biopharmaceutical companies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financial matters, including senior leadership and board of director roles at various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227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AROLE</w:t>
      </w:r>
      <w:r>
        <w:rPr>
          <w:rFonts w:ascii="Times New Roman" w:cs="Times New Roman" w:eastAsia="Times New Roman" w:hAnsi="Times New Roman"/>
          <w:sz w:val="18"/>
          <w:szCs w:val="18"/>
          <w:b w:val="1"/>
          <w:bCs w:val="1"/>
          <w:color w:val="FFFFFF"/>
        </w:rPr>
        <w:t xml:space="preserve"> S. B</w:t>
      </w:r>
      <w:r>
        <w:rPr>
          <w:rFonts w:ascii="Times New Roman" w:cs="Times New Roman" w:eastAsia="Times New Roman" w:hAnsi="Times New Roman"/>
          <w:sz w:val="13"/>
          <w:szCs w:val="13"/>
          <w:b w:val="1"/>
          <w:bCs w:val="1"/>
          <w:color w:val="FFFFFF"/>
        </w:rPr>
        <w:t>EN</w:t>
      </w:r>
      <w:r>
        <w:rPr>
          <w:rFonts w:ascii="Times New Roman" w:cs="Times New Roman" w:eastAsia="Times New Roman" w:hAnsi="Times New Roman"/>
          <w:sz w:val="18"/>
          <w:szCs w:val="18"/>
          <w:b w:val="1"/>
          <w:bCs w:val="1"/>
          <w:color w:val="FFFFFF"/>
        </w:rPr>
        <w:t>-M</w:t>
      </w:r>
      <w:r>
        <w:rPr>
          <w:rFonts w:ascii="Times New Roman" w:cs="Times New Roman" w:eastAsia="Times New Roman" w:hAnsi="Times New Roman"/>
          <w:sz w:val="13"/>
          <w:szCs w:val="13"/>
          <w:b w:val="1"/>
          <w:bCs w:val="1"/>
          <w:color w:val="FFFFFF"/>
        </w:rPr>
        <w:t>AIMON</w:t>
      </w:r>
      <w:r>
        <w:rPr>
          <w:rFonts w:ascii="Times New Roman" w:cs="Times New Roman" w:eastAsia="Times New Roman" w:hAnsi="Times New Roman"/>
          <w:sz w:val="18"/>
          <w:szCs w:val="18"/>
          <w:b w:val="1"/>
          <w:bCs w:val="1"/>
          <w:color w:val="FFFFFF"/>
        </w:rPr>
        <w:t>, M.D.</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66</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7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None</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Carole S. Ben-Maimon, M.D. </w:t>
      </w:r>
      <w:r>
        <w:rPr>
          <w:rFonts w:ascii="Times New Roman" w:cs="Times New Roman" w:eastAsia="Times New Roman" w:hAnsi="Times New Roman"/>
          <w:sz w:val="18"/>
          <w:szCs w:val="18"/>
          <w:color w:val="auto"/>
        </w:rPr>
        <w:t>has served as a member of the Board since May 2020. Dr. Ben-Maimon has served as the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Company since May 2020. Dr. Ben-Maimon served as the President, Chief Executive Officer of Chondrial and as a member of Chondrial’s board of directors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316"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5" w:name="page16"/>
    <w:bookmarkEnd w:id="15"/>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Dr. Ben-Maimon’s qualifications to sit on the Board include her knowledge of Larimar’s business, as well as her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and biopharmaceutical industry experience, including senior leadership roles at publicly-traded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227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OSEPH</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RUITT</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60</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7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Audit, Compensation (Chair)</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Joseph Truitt </w:t>
      </w:r>
      <w:r>
        <w:rPr>
          <w:rFonts w:ascii="Times New Roman" w:cs="Times New Roman" w:eastAsia="Times New Roman" w:hAnsi="Times New Roman"/>
          <w:sz w:val="18"/>
          <w:szCs w:val="18"/>
          <w:color w:val="auto"/>
        </w:rPr>
        <w:t>has served as a member of the Board since May 2020. Mr. Truitt has served as the Chief Executive Officer of iECURE, Inc., a gene editing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March 2021 and has served on the board of Code Biotherapeutics, Inc., a gene therapy development company since December 2020.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Truitt’s qualifications to sit on the Board include extensive management experience, his prior experience as a public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his deep knowledge of the biopharmaceutical business.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227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2"/>
          <w:szCs w:val="12"/>
          <w:b w:val="1"/>
          <w:bCs w:val="1"/>
          <w:color w:val="FFFFFF"/>
        </w:rPr>
        <w:t>onathan</w:t>
      </w:r>
      <w:r>
        <w:rPr>
          <w:rFonts w:ascii="Times New Roman" w:cs="Times New Roman" w:eastAsia="Times New Roman" w:hAnsi="Times New Roman"/>
          <w:sz w:val="18"/>
          <w:szCs w:val="18"/>
          <w:b w:val="1"/>
          <w:bCs w:val="1"/>
          <w:color w:val="FFFFFF"/>
        </w:rPr>
        <w:t xml:space="preserve"> L</w:t>
      </w:r>
      <w:r>
        <w:rPr>
          <w:rFonts w:ascii="Times New Roman" w:cs="Times New Roman" w:eastAsia="Times New Roman" w:hAnsi="Times New Roman"/>
          <w:sz w:val="12"/>
          <w:szCs w:val="12"/>
          <w:b w:val="1"/>
          <w:bCs w:val="1"/>
          <w:color w:val="FFFFFF"/>
        </w:rPr>
        <w:t>eff</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Committee Memberships: </w:t>
            </w:r>
            <w:r>
              <w:rPr>
                <w:rFonts w:ascii="Times New Roman" w:cs="Times New Roman" w:eastAsia="Times New Roman" w:hAnsi="Times New Roman"/>
                <w:sz w:val="18"/>
                <w:szCs w:val="18"/>
                <w:color w:val="auto"/>
              </w:rPr>
              <w:t>Compensation,</w:t>
            </w:r>
          </w:p>
        </w:tc>
        <w:tc>
          <w:tcPr>
            <w:tcW w:w="37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7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 (Chair)</w:t>
            </w:r>
          </w:p>
        </w:tc>
        <w:tc>
          <w:tcPr>
            <w:tcW w:w="37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Biomx Inc.</w:t>
            </w:r>
          </w:p>
        </w:tc>
      </w:tr>
      <w:tr>
        <w:trPr>
          <w:trHeight w:val="216"/>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Leff </w:t>
      </w:r>
      <w:r>
        <w:rPr>
          <w:rFonts w:ascii="Times New Roman" w:cs="Times New Roman" w:eastAsia="Times New Roman" w:hAnsi="Times New Roman"/>
          <w:sz w:val="18"/>
          <w:szCs w:val="18"/>
          <w:color w:val="auto"/>
        </w:rPr>
        <w:t>has served as a member of the Board since May 2020. Mr. Leff served as a member of the Chondrial Board from December 2016 until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Mr. Leff currently serves on the board of directors of Biomx Inc., a publicly-traded company. Mr. Leff previously served on the boards of several other publicly-traded biotechnology and pharmaceutical companies, including ARS Pharmaceuticals, Inc. from 2018 to 2023, Proteon Therapeutics, Inc. from 2017 to 2019 and Mirum Pharmaceuticals, Inc. from 2018 to 2019.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w:t>
      </w:r>
    </w:p>
    <w:p>
      <w:pPr>
        <w:spacing w:after="0" w:line="309"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6" w:name="page17"/>
    <w:bookmarkEnd w:id="16"/>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Skills &amp; Qualifications</w:t>
      </w:r>
      <w:r>
        <w:rPr>
          <w:rFonts w:ascii="Times New Roman" w:cs="Times New Roman" w:eastAsia="Times New Roman" w:hAnsi="Times New Roman"/>
          <w:sz w:val="18"/>
          <w:szCs w:val="18"/>
          <w:color w:val="auto"/>
        </w:rPr>
        <w:t>: Mr. Leff’s qualifications to sit on the Board include his extensive leadership, executive, managerial and business experience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sciences companies, including experience in the investment, development and sale of multiple companies in the life sciences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227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2733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EFFREY</w:t>
      </w:r>
      <w:r>
        <w:rPr>
          <w:rFonts w:ascii="Times New Roman" w:cs="Times New Roman" w:eastAsia="Times New Roman" w:hAnsi="Times New Roman"/>
          <w:sz w:val="18"/>
          <w:szCs w:val="18"/>
          <w:b w:val="1"/>
          <w:bCs w:val="1"/>
          <w:color w:val="FFFFFF"/>
        </w:rPr>
        <w:t xml:space="preserve"> W. S</w:t>
      </w:r>
      <w:r>
        <w:rPr>
          <w:rFonts w:ascii="Times New Roman" w:cs="Times New Roman" w:eastAsia="Times New Roman" w:hAnsi="Times New Roman"/>
          <w:sz w:val="13"/>
          <w:szCs w:val="13"/>
          <w:b w:val="1"/>
          <w:bCs w:val="1"/>
          <w:color w:val="FFFFFF"/>
        </w:rPr>
        <w:t>HERMAN</w:t>
      </w:r>
      <w:r>
        <w:rPr>
          <w:rFonts w:ascii="Times New Roman" w:cs="Times New Roman" w:eastAsia="Times New Roman" w:hAnsi="Times New Roman"/>
          <w:sz w:val="18"/>
          <w:szCs w:val="18"/>
          <w:b w:val="1"/>
          <w:bCs w:val="1"/>
          <w:color w:val="FFFFFF"/>
        </w:rPr>
        <w:t>, M.D., F</w:t>
      </w:r>
      <w:r>
        <w:rPr>
          <w:rFonts w:ascii="Times New Roman" w:cs="Times New Roman" w:eastAsia="Times New Roman" w:hAnsi="Times New Roman"/>
          <w:sz w:val="13"/>
          <w:szCs w:val="13"/>
          <w:b w:val="1"/>
          <w:bCs w:val="1"/>
          <w:color w:val="FFFFFF"/>
        </w:rPr>
        <w:t>ACP</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70</w:t>
            </w:r>
          </w:p>
        </w:tc>
        <w:tc>
          <w:tcPr>
            <w:tcW w:w="3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Committee Memberships: </w:t>
            </w:r>
            <w:r>
              <w:rPr>
                <w:rFonts w:ascii="Times New Roman" w:cs="Times New Roman" w:eastAsia="Times New Roman" w:hAnsi="Times New Roman"/>
                <w:sz w:val="18"/>
                <w:szCs w:val="18"/>
                <w:color w:val="auto"/>
              </w:rPr>
              <w:t>Nominating</w:t>
            </w:r>
          </w:p>
        </w:tc>
        <w:tc>
          <w:tcPr>
            <w:tcW w:w="41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3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3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 Corporate Governance</w:t>
            </w:r>
          </w:p>
        </w:tc>
        <w:tc>
          <w:tcPr>
            <w:tcW w:w="4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Xeris Biopharma Holdings, Inc.</w:t>
            </w:r>
          </w:p>
        </w:tc>
      </w:tr>
      <w:tr>
        <w:trPr>
          <w:trHeight w:val="216"/>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Jeffrey W. Sherman, M.D., FACP </w:t>
      </w:r>
      <w:r>
        <w:rPr>
          <w:rFonts w:ascii="Times New Roman" w:cs="Times New Roman" w:eastAsia="Times New Roman" w:hAnsi="Times New Roman"/>
          <w:sz w:val="18"/>
          <w:szCs w:val="18"/>
          <w:color w:val="auto"/>
        </w:rPr>
        <w:t>has served as a member of the Board since October 2023. Dr. Sherman has served as a consultant at Amgen Inc.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2023. From 2009 to October 2023, Dr. Sherman held several positions of increasing responsibility at Horizon Therapeutics Public Limited Company (“Horizon Therapeutics”), a biotechnology company acquired by Amgen Inc. in October 2023, most recently serving as the Executive Vice President, Chief Medical Officer.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member of the board of advisors of the Center for Information and Study on Clinical Research Participation, a former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 He completed an internal medicine internship, residency and chief medical residency at the McGaw Medical Center at Northwestern University Feinberg School of Medicine, an infectious diseases fellowship at the University of California, San Francisco (“UCSF”), and was a research associate at the Howard Hughes Medical Institute at UCSF.</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Dr. Sherman’s qualifications to sit on the Board include his extensive pharmaceutical experience, including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and clinical strategy and therapeutic development for rare diseases.</w:t>
      </w:r>
    </w:p>
    <w:p>
      <w:pPr>
        <w:spacing w:after="0" w:line="276" w:lineRule="exact"/>
        <w:rPr>
          <w:sz w:val="20"/>
          <w:szCs w:val="20"/>
          <w:color w:val="auto"/>
        </w:rPr>
      </w:pPr>
    </w:p>
    <w:p>
      <w:pPr>
        <w:ind w:left="5600"/>
        <w:spacing w:after="0"/>
        <w:tabs>
          <w:tab w:leader="none" w:pos="11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sz w:val="20"/>
          <w:szCs w:val="20"/>
          <w:color w:val="auto"/>
        </w:rPr>
        <w:tab/>
      </w:r>
      <w:r>
        <w:rPr>
          <w:rFonts w:ascii="Times New Roman" w:cs="Times New Roman" w:eastAsia="Times New Roman" w:hAnsi="Times New Roman"/>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7" w:name="page18"/>
    <w:bookmarkEnd w:id="17"/>
    <w:p>
      <w:pPr>
        <w:ind w:left="120"/>
        <w:spacing w:after="0"/>
        <w:rPr>
          <w:sz w:val="20"/>
          <w:szCs w:val="20"/>
          <w:color w:val="auto"/>
        </w:rPr>
      </w:pPr>
      <w:r>
        <w:rPr>
          <w:rFonts w:ascii="Times New Roman" w:cs="Times New Roman" w:eastAsia="Times New Roman" w:hAnsi="Times New Roman"/>
          <w:sz w:val="21"/>
          <w:szCs w:val="21"/>
          <w:b w:val="1"/>
          <w:bCs w:val="1"/>
          <w:color w:val="auto"/>
        </w:rPr>
        <w:t>CORPORATE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DC1E4"/>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 xml:space="preserve">Our governance practices are documented in our Ninth Amended and Restated Certificate of Incorporation, as amended, our Bylaws, our Code of Conduct, our Corporate Governance Guidelines and the charters of the committees of the Board (the “Committees”). Aspects of our governance documents are summarized below. You can find our charters for each Committee and our Code of Business Conduct and Ethics on our website at </w:t>
      </w:r>
      <w:r>
        <w:rPr>
          <w:rFonts w:ascii="Times New Roman" w:cs="Times New Roman" w:eastAsia="Times New Roman" w:hAnsi="Times New Roman"/>
          <w:sz w:val="18"/>
          <w:szCs w:val="18"/>
          <w:u w:val="single" w:color="auto"/>
          <w:color w:val="4DC1E4"/>
        </w:rPr>
        <w:t>www.larimartx.com</w:t>
      </w:r>
      <w:r>
        <w:rPr>
          <w:rFonts w:ascii="Times New Roman" w:cs="Times New Roman" w:eastAsia="Times New Roman" w:hAnsi="Times New Roman"/>
          <w:sz w:val="18"/>
          <w:szCs w:val="18"/>
          <w:color w:val="4DC1E4"/>
        </w:rPr>
        <w:t xml:space="preserve"> under “Investors — Corporate Governance.”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determined that each of our current directors, with the exception of Dr. Ben-Maimon,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306"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18" w:name="page19"/>
    <w:bookmarkEnd w:id="18"/>
    <w:p>
      <w:pPr>
        <w:ind w:left="120"/>
        <w:spacing w:after="0"/>
        <w:rPr>
          <w:sz w:val="20"/>
          <w:szCs w:val="20"/>
          <w:color w:val="auto"/>
        </w:rPr>
      </w:pPr>
      <w:r>
        <w:rPr>
          <w:rFonts w:ascii="Times New Roman" w:cs="Times New Roman" w:eastAsia="Times New Roman" w:hAnsi="Times New Roman"/>
          <w:sz w:val="21"/>
          <w:szCs w:val="21"/>
          <w:b w:val="1"/>
          <w:bCs w:val="1"/>
          <w:color w:val="auto"/>
        </w:rPr>
        <w:t xml:space="preserve">CORPORATE GOVERNANCE AND RISK MANAGEMENT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123190</wp:posOffset>
            </wp:positionV>
            <wp:extent cx="3446145" cy="2648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461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written Code of Business Conduct and Ethics (the "Code of Conduct") that applies to our directors, officers and employees, including our principal executive officer ("PEO"),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www.larimartx.com under “Investors – Corporate Governance.”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our 2024 Annual Report. In addition, with regard to the Company's trading in its own securities, it is our policy to comply with the federal securities laws and the applicable exchange listing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director education programs.</w:t>
      </w:r>
    </w:p>
    <w:p>
      <w:pPr>
        <w:spacing w:after="0" w:line="297"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9" w:name="page20"/>
    <w:bookmarkEnd w:id="19"/>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Our Corporate Governance Guidelines are reviewed periodically by the Nominating and Corporate Governance Committee, which recommends any proposed changes to our Board for approval.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6700" w:type="dxa"/>
            <w:vAlign w:val="bottom"/>
            <w:tcBorders>
              <w:top w:val="single" w:sz="8" w:color="auto"/>
              <w:left w:val="single" w:sz="8" w:color="auto"/>
              <w:bottom w:val="single" w:sz="8" w:color="4DC1E4"/>
            </w:tcBorders>
            <w:shd w:val="clear" w:color="auto" w:fill="4DC1E4"/>
          </w:tcPr>
          <w:p>
            <w:pPr>
              <w:ind w:left="134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68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NDEPENDENCE</w:t>
            </w:r>
          </w:p>
        </w:tc>
        <w:tc>
          <w:tcPr>
            <w:tcW w:w="92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w:t>
            </w:r>
          </w:p>
        </w:tc>
        <w:tc>
          <w:tcPr>
            <w:tcW w:w="54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w:t>
            </w:r>
          </w:p>
        </w:tc>
        <w:tc>
          <w:tcPr>
            <w:tcW w:w="54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CC</w:t>
            </w:r>
          </w:p>
        </w:tc>
        <w:tc>
          <w:tcPr>
            <w:tcW w:w="860" w:type="dxa"/>
            <w:vAlign w:val="bottom"/>
            <w:tcBorders>
              <w:top w:val="single" w:sz="8" w:color="auto"/>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210"/>
        </w:trPr>
        <w:tc>
          <w:tcPr>
            <w:tcW w:w="670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6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Thomas E. Hamilton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09"/>
        </w:trPr>
        <w:tc>
          <w:tcPr>
            <w:tcW w:w="6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Jonathan Leff</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0"/>
        </w:trPr>
        <w:tc>
          <w:tcPr>
            <w:tcW w:w="6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860" w:type="dxa"/>
            <w:vAlign w:val="bottom"/>
            <w:tcBorders>
              <w:bottom w:val="single" w:sz="8" w:color="auto"/>
              <w:right w:val="single" w:sz="8" w:color="auto"/>
            </w:tcBorders>
          </w:tcPr>
          <w:p>
            <w:pPr>
              <w:spacing w:after="0"/>
              <w:rPr>
                <w:sz w:val="18"/>
                <w:szCs w:val="18"/>
                <w:color w:val="auto"/>
              </w:rPr>
            </w:pPr>
          </w:p>
        </w:tc>
      </w:tr>
      <w:tr>
        <w:trPr>
          <w:trHeight w:val="209"/>
        </w:trPr>
        <w:tc>
          <w:tcPr>
            <w:tcW w:w="6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Joseph Truitt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860" w:type="dxa"/>
            <w:vAlign w:val="bottom"/>
            <w:tcBorders>
              <w:bottom w:val="single" w:sz="8" w:color="auto"/>
              <w:right w:val="single" w:sz="8" w:color="auto"/>
            </w:tcBorders>
          </w:tcPr>
          <w:p>
            <w:pPr>
              <w:spacing w:after="0"/>
              <w:rPr>
                <w:sz w:val="18"/>
                <w:szCs w:val="18"/>
                <w:color w:val="auto"/>
              </w:rPr>
            </w:pPr>
          </w:p>
        </w:tc>
      </w:tr>
      <w:tr>
        <w:trPr>
          <w:trHeight w:val="209"/>
        </w:trPr>
        <w:tc>
          <w:tcPr>
            <w:tcW w:w="67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bl>
    <w:p>
      <w:pPr>
        <w:spacing w:after="0" w:line="18" w:lineRule="exact"/>
        <w:rPr>
          <w:sz w:val="20"/>
          <w:szCs w:val="20"/>
          <w:color w:val="auto"/>
        </w:rPr>
      </w:pPr>
    </w:p>
    <w:p>
      <w:pPr>
        <w:sectPr>
          <w:pgSz w:w="11900" w:h="16838" w:orient="portrait"/>
          <w:cols w:equalWidth="0" w:num="1">
            <w:col w:w="11240"/>
          </w:cols>
          <w:pgMar w:left="320" w:top="1186" w:right="339" w:bottom="1440" w:gutter="0" w:footer="0" w:header="0"/>
        </w:sectPr>
      </w:pPr>
    </w:p>
    <w:p>
      <w:pPr>
        <w:jc w:val="center"/>
        <w:ind w:right="1680"/>
        <w:spacing w:after="0"/>
        <w:rPr>
          <w:sz w:val="20"/>
          <w:szCs w:val="20"/>
          <w:color w:val="auto"/>
        </w:rPr>
      </w:pPr>
      <w:r>
        <w:rPr>
          <w:rFonts w:ascii="Times New Roman" w:cs="Times New Roman" w:eastAsia="Times New Roman" w:hAnsi="Times New Roman"/>
          <w:sz w:val="14"/>
          <w:szCs w:val="14"/>
          <w:color w:val="auto"/>
        </w:rPr>
        <w:t>AC = Audit Committee</w:t>
      </w:r>
    </w:p>
    <w:p>
      <w:pPr>
        <w:spacing w:after="0" w:line="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4"/>
          <w:szCs w:val="14"/>
          <w:color w:val="auto"/>
        </w:rPr>
        <w:t>CC = Compensation Committee</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Times New Roman" w:cs="Times New Roman" w:eastAsia="Times New Roman" w:hAnsi="Times New Roman"/>
          <w:sz w:val="14"/>
          <w:szCs w:val="14"/>
          <w:color w:val="auto"/>
        </w:rPr>
        <w:t>M = Member</w:t>
      </w:r>
    </w:p>
    <w:p>
      <w:pPr>
        <w:spacing w:after="0" w:line="4"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4"/>
          <w:szCs w:val="14"/>
          <w:color w:val="auto"/>
        </w:rPr>
        <w:t>C = Chair</w:t>
      </w:r>
    </w:p>
    <w:p>
      <w:pPr>
        <w:spacing w:after="0" w:line="39" w:lineRule="exact"/>
        <w:rPr>
          <w:sz w:val="20"/>
          <w:szCs w:val="20"/>
          <w:color w:val="auto"/>
        </w:rPr>
      </w:pPr>
    </w:p>
    <w:p>
      <w:pPr>
        <w:sectPr>
          <w:pgSz w:w="11900" w:h="16838" w:orient="portrait"/>
          <w:cols w:equalWidth="0" w:num="2">
            <w:col w:w="7320" w:space="720"/>
            <w:col w:w="3200"/>
          </w:cols>
          <w:pgMar w:left="320" w:top="1186" w:right="3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p>
      <w:pPr>
        <w:sectPr>
          <w:pgSz w:w="11900" w:h="16838" w:orient="portrait"/>
          <w:cols w:equalWidth="0" w:num="1">
            <w:col w:w="11240"/>
          </w:cols>
          <w:pgMar w:left="320" w:top="1186" w:right="339" w:bottom="1440" w:gutter="0" w:footer="0" w:header="0"/>
          <w:type w:val="continuous"/>
        </w:sectPr>
      </w:pP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our Board held seven meetings, our Audit Committee held five meetings, our Compensation Committee held four meetings and our Nominating and Corporate Governance Committee held three meetings. Each director attended at least 75% of the meetings of the Board and meetings of each Committee on which he or she served during 2024.</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 All of our then serving directors attended the 2024 Annual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Audit Committee’s responsibilities include:</w:t>
      </w:r>
    </w:p>
    <w:p>
      <w:pPr>
        <w:spacing w:after="0" w:line="158" w:lineRule="exact"/>
        <w:rPr>
          <w:sz w:val="20"/>
          <w:szCs w:val="20"/>
          <w:color w:val="auto"/>
        </w:rPr>
      </w:pP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accounting firm to audit our consolidated financial statements;</w:t>
      </w:r>
    </w:p>
    <w:p>
      <w:pPr>
        <w:spacing w:after="0" w:line="27"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1560" w:right="20" w:hanging="774"/>
        <w:spacing w:after="0" w:line="250"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Code of Conduct for financial management;</w:t>
      </w:r>
    </w:p>
    <w:p>
      <w:pPr>
        <w:spacing w:after="0" w:line="9" w:lineRule="exact"/>
        <w:rPr>
          <w:rFonts w:ascii="Times New Roman" w:cs="Times New Roman" w:eastAsia="Times New Roman" w:hAnsi="Times New Roman"/>
          <w:sz w:val="18"/>
          <w:szCs w:val="18"/>
          <w:color w:val="auto"/>
        </w:rPr>
      </w:pPr>
    </w:p>
    <w:p>
      <w:pPr>
        <w:jc w:val="both"/>
        <w:ind w:left="1560" w:hanging="774"/>
        <w:spacing w:after="0" w:line="250"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significant existing and emerging cybersecurity risks, material cybersecurity incidents or threats, the impact on the Company of any significant cybersecurity incident or threat and any disclosure obligations arising from such incident or threat, and all back-up of information systems and other measures the Company has implemented to monitor and control such exposures;</w:t>
      </w:r>
    </w:p>
    <w:p>
      <w:pPr>
        <w:spacing w:after="0" w:line="1"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9" w:lineRule="exact"/>
        <w:rPr>
          <w:rFonts w:ascii="Times New Roman" w:cs="Times New Roman" w:eastAsia="Times New Roman" w:hAnsi="Times New Roman"/>
          <w:sz w:val="18"/>
          <w:szCs w:val="18"/>
          <w:color w:val="auto"/>
        </w:rPr>
      </w:pPr>
    </w:p>
    <w:p>
      <w:pPr>
        <w:ind w:left="1560" w:hanging="774"/>
        <w:spacing w:after="0" w:line="260"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297"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20" w:name="page21"/>
    <w:bookmarkEnd w:id="20"/>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156" w:lineRule="exact"/>
        <w:rPr>
          <w:sz w:val="20"/>
          <w:szCs w:val="20"/>
          <w:color w:val="auto"/>
        </w:rPr>
      </w:pPr>
    </w:p>
    <w:p>
      <w:pPr>
        <w:ind w:left="1560" w:hanging="77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w:t>
      </w:r>
    </w:p>
    <w:p>
      <w:pPr>
        <w:spacing w:after="0" w:line="27"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matters.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Leff (chair), Mr. Hamilton and Dr. Sherman. The Board has determined that all Nominating and Corporate Governance Committee members are independent under the listing standards of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w:t>
      </w:r>
    </w:p>
    <w:p>
      <w:pPr>
        <w:spacing w:after="0" w:line="139" w:lineRule="exact"/>
        <w:rPr>
          <w:sz w:val="20"/>
          <w:szCs w:val="20"/>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w:t>
      </w:r>
    </w:p>
    <w:p>
      <w:pPr>
        <w:spacing w:after="0" w:line="27"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 and</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key human capital management strategies.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Radford (an operating unit of Aon plc and a widely recognized leader in gathering and analyzing industry compensation trends) serves as our independent compensation consultant for executive compensation.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an affiliate of Radford, serves as our insurance broker for all of our commercial lines of insurance.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Mr. Truitt (Chair), Mr. Leff and Mr. Thomas.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29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1" w:name="page22"/>
    <w:bookmarkEnd w:id="21"/>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2024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goal is to communicate with our stockholders through various platforms, including via our website at </w:t>
      </w:r>
      <w:r>
        <w:rPr>
          <w:rFonts w:ascii="Times New Roman" w:cs="Times New Roman" w:eastAsia="Times New Roman" w:hAnsi="Times New Roman"/>
          <w:sz w:val="18"/>
          <w:szCs w:val="18"/>
          <w:u w:val="single" w:color="auto"/>
          <w:color w:val="2175FF"/>
        </w:rPr>
        <w:t>www.larimartx.com</w:t>
      </w:r>
      <w:r>
        <w:rPr>
          <w:rFonts w:ascii="Times New Roman" w:cs="Times New Roman" w:eastAsia="Times New Roman" w:hAnsi="Times New Roman"/>
          <w:sz w:val="18"/>
          <w:szCs w:val="18"/>
          <w:color w:val="auto"/>
        </w:rPr>
        <w:t>, in print and in person at investor presentations or stockholder meetings. We view communication between our stockholders and our Board as a dialogue.</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3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How to</w:t>
            </w:r>
          </w:p>
        </w:tc>
        <w:tc>
          <w:tcPr>
            <w:tcW w:w="35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By mail:</w:t>
            </w:r>
          </w:p>
        </w:tc>
      </w:tr>
      <w:tr>
        <w:trPr>
          <w:trHeight w:val="220"/>
        </w:trPr>
        <w:tc>
          <w:tcPr>
            <w:tcW w:w="336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Communicate with our Directors</w:t>
            </w:r>
          </w:p>
        </w:tc>
        <w:tc>
          <w:tcPr>
            <w:tcW w:w="3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Secretary, Larimar Therapeutics, Inc.</w:t>
            </w:r>
          </w:p>
        </w:tc>
      </w:tr>
      <w:tr>
        <w:trPr>
          <w:trHeight w:val="216"/>
        </w:trPr>
        <w:tc>
          <w:tcPr>
            <w:tcW w:w="3360" w:type="dxa"/>
            <w:vAlign w:val="bottom"/>
          </w:tcPr>
          <w:p>
            <w:pPr>
              <w:spacing w:after="0"/>
              <w:rPr>
                <w:sz w:val="18"/>
                <w:szCs w:val="18"/>
                <w:color w:val="auto"/>
              </w:rPr>
            </w:pPr>
          </w:p>
        </w:tc>
        <w:tc>
          <w:tcPr>
            <w:tcW w:w="3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Three Bala Plaza East, Suite 506</w:t>
            </w:r>
          </w:p>
        </w:tc>
      </w:tr>
      <w:tr>
        <w:trPr>
          <w:trHeight w:val="234"/>
        </w:trPr>
        <w:tc>
          <w:tcPr>
            <w:tcW w:w="3360" w:type="dxa"/>
            <w:vAlign w:val="bottom"/>
          </w:tcPr>
          <w:p>
            <w:pPr>
              <w:spacing w:after="0"/>
              <w:rPr>
                <w:sz w:val="20"/>
                <w:szCs w:val="20"/>
                <w:color w:val="auto"/>
              </w:rPr>
            </w:pPr>
          </w:p>
        </w:tc>
        <w:tc>
          <w:tcPr>
            <w:tcW w:w="35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4568825" cy="1534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6882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2" w:name="page23"/>
    <w:bookmarkEnd w:id="22"/>
    <w:p>
      <w:pPr>
        <w:ind w:left="12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2024 non-employee director compensation policy is set forth in the table below.</w:t>
      </w: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LEMENTS –</w:t>
      </w:r>
      <w:r>
        <w:rPr>
          <w:rFonts w:ascii="Times New Roman" w:cs="Times New Roman" w:eastAsia="Times New Roman" w:hAnsi="Times New Roman"/>
          <w:sz w:val="18"/>
          <w:szCs w:val="18"/>
          <w:b w:val="1"/>
          <w:bCs w:val="1"/>
          <w:color w:val="FFFFFF"/>
        </w:rPr>
        <w:t xml:space="preserve"> 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3"/>
          <w:szCs w:val="13"/>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3"/>
          <w:szCs w:val="13"/>
          <w:b w:val="1"/>
          <w:bCs w:val="1"/>
          <w:color w:val="FFFFFF"/>
        </w:rPr>
        <w:t>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63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6040" w:type="dxa"/>
            <w:vAlign w:val="bottom"/>
            <w:tcBorders>
              <w:top w:val="single" w:sz="8" w:color="auto"/>
              <w:bottom w:val="single" w:sz="8" w:color="auto"/>
            </w:tcBorders>
          </w:tcPr>
          <w:p>
            <w:pPr>
              <w:spacing w:after="0"/>
              <w:rPr>
                <w:sz w:val="19"/>
                <w:szCs w:val="19"/>
                <w:color w:val="auto"/>
              </w:rPr>
            </w:pPr>
          </w:p>
        </w:tc>
      </w:tr>
      <w:tr>
        <w:trPr>
          <w:trHeight w:val="209"/>
        </w:trPr>
        <w:tc>
          <w:tcPr>
            <w:tcW w:w="5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Cash Retainer</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$35,000</w:t>
            </w:r>
          </w:p>
        </w:tc>
      </w:tr>
      <w:tr>
        <w:trPr>
          <w:trHeight w:val="210"/>
        </w:trPr>
        <w:tc>
          <w:tcPr>
            <w:tcW w:w="5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$30,000</w:t>
            </w:r>
          </w:p>
        </w:tc>
      </w:tr>
      <w:tr>
        <w:trPr>
          <w:trHeight w:val="209"/>
        </w:trPr>
        <w:tc>
          <w:tcPr>
            <w:tcW w:w="5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604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Audit</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$15,000</w:t>
            </w:r>
          </w:p>
        </w:tc>
      </w:tr>
      <w:tr>
        <w:trPr>
          <w:trHeight w:val="209"/>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Compensation</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5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6040" w:type="dxa"/>
            <w:vAlign w:val="bottom"/>
            <w:tcBorders>
              <w:bottom w:val="single" w:sz="8" w:color="auto"/>
            </w:tcBorders>
          </w:tcPr>
          <w:p>
            <w:pPr>
              <w:spacing w:after="0"/>
              <w:rPr>
                <w:sz w:val="18"/>
                <w:szCs w:val="18"/>
                <w:color w:val="auto"/>
              </w:rPr>
            </w:pPr>
          </w:p>
        </w:tc>
      </w:tr>
      <w:tr>
        <w:trPr>
          <w:trHeight w:val="209"/>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Audit</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$7,500</w:t>
            </w:r>
          </w:p>
        </w:tc>
      </w:tr>
      <w:tr>
        <w:trPr>
          <w:trHeight w:val="209"/>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Compensation</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52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$3,750</w:t>
            </w:r>
          </w:p>
        </w:tc>
      </w:tr>
      <w:tr>
        <w:trPr>
          <w:trHeight w:val="209"/>
        </w:trPr>
        <w:tc>
          <w:tcPr>
            <w:tcW w:w="52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6040" w:type="dxa"/>
            <w:vAlign w:val="bottom"/>
            <w:tcBorders>
              <w:bottom w:val="single" w:sz="8" w:color="auto"/>
            </w:tcBorders>
          </w:tcPr>
          <w:p>
            <w:pPr>
              <w:spacing w:after="0"/>
              <w:rPr>
                <w:sz w:val="18"/>
                <w:szCs w:val="18"/>
                <w:color w:val="auto"/>
              </w:rPr>
            </w:pPr>
          </w:p>
        </w:tc>
      </w:tr>
      <w:tr>
        <w:trPr>
          <w:trHeight w:val="191"/>
        </w:trPr>
        <w:tc>
          <w:tcPr>
            <w:tcW w:w="520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60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Option to purchase 38,000 shares of common stock, vesting monthly</w:t>
            </w:r>
          </w:p>
        </w:tc>
      </w:tr>
      <w:tr>
        <w:trPr>
          <w:trHeight w:val="234"/>
        </w:trPr>
        <w:tc>
          <w:tcPr>
            <w:tcW w:w="520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over a three year period</w:t>
            </w:r>
          </w:p>
        </w:tc>
      </w:tr>
      <w:tr>
        <w:trPr>
          <w:trHeight w:val="191"/>
        </w:trPr>
        <w:tc>
          <w:tcPr>
            <w:tcW w:w="520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Annual Equity Grant</w:t>
            </w:r>
          </w:p>
        </w:tc>
        <w:tc>
          <w:tcPr>
            <w:tcW w:w="60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Option to purchase 19,000 shares of common stock, vesting upon the</w:t>
            </w:r>
          </w:p>
        </w:tc>
      </w:tr>
      <w:tr>
        <w:trPr>
          <w:trHeight w:val="216"/>
        </w:trPr>
        <w:tc>
          <w:tcPr>
            <w:tcW w:w="5200" w:type="dxa"/>
            <w:vAlign w:val="bottom"/>
            <w:tcBorders>
              <w:right w:val="single" w:sz="8" w:color="auto"/>
            </w:tcBorders>
          </w:tcPr>
          <w:p>
            <w:pPr>
              <w:spacing w:after="0"/>
              <w:rPr>
                <w:sz w:val="18"/>
                <w:szCs w:val="18"/>
                <w:color w:val="auto"/>
              </w:rPr>
            </w:pPr>
          </w:p>
        </w:tc>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earlier of the first anniversary of the date of grant or the date of the</w:t>
            </w:r>
          </w:p>
        </w:tc>
      </w:tr>
      <w:tr>
        <w:trPr>
          <w:trHeight w:val="234"/>
        </w:trPr>
        <w:tc>
          <w:tcPr>
            <w:tcW w:w="520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following annual meeting of stockholders after the grant date</w:t>
            </w:r>
          </w:p>
        </w:tc>
      </w:tr>
      <w:tr>
        <w:trPr>
          <w:trHeight w:val="42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tc>
        <w:tc>
          <w:tcPr>
            <w:tcW w:w="6040" w:type="dxa"/>
            <w:vAlign w:val="bottom"/>
          </w:tcPr>
          <w:p>
            <w:pPr>
              <w:spacing w:after="0"/>
              <w:rPr>
                <w:sz w:val="24"/>
                <w:szCs w:val="24"/>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summary information regarding the compensation of our non-employee directors for the fiscal year ended December 31, 2024.</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360" w:type="dxa"/>
            <w:vAlign w:val="bottom"/>
            <w:tcBorders>
              <w:top w:val="single" w:sz="8" w:color="auto"/>
              <w:left w:val="single" w:sz="8" w:color="auto"/>
            </w:tcBorders>
            <w:shd w:val="clear" w:color="auto" w:fill="4DC1E4"/>
          </w:tcPr>
          <w:p>
            <w:pPr>
              <w:spacing w:after="0"/>
              <w:rPr>
                <w:sz w:val="18"/>
                <w:szCs w:val="18"/>
                <w:color w:val="auto"/>
              </w:rPr>
            </w:pPr>
          </w:p>
        </w:tc>
        <w:tc>
          <w:tcPr>
            <w:tcW w:w="182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F</w:t>
            </w:r>
            <w:r>
              <w:rPr>
                <w:rFonts w:ascii="Times New Roman" w:cs="Times New Roman" w:eastAsia="Times New Roman" w:hAnsi="Times New Roman"/>
                <w:sz w:val="13"/>
                <w:szCs w:val="13"/>
                <w:b w:val="1"/>
                <w:bCs w:val="1"/>
                <w:i w:val="1"/>
                <w:iCs w:val="1"/>
                <w:color w:val="FFFFFF"/>
              </w:rPr>
              <w:t>EES</w:t>
            </w:r>
            <w:r>
              <w:rPr>
                <w:rFonts w:ascii="Times New Roman" w:cs="Times New Roman" w:eastAsia="Times New Roman" w:hAnsi="Times New Roman"/>
                <w:sz w:val="18"/>
                <w:szCs w:val="18"/>
                <w:b w:val="1"/>
                <w:bCs w:val="1"/>
                <w:i w:val="1"/>
                <w:iCs w:val="1"/>
                <w:color w:val="FFFFFF"/>
              </w:rPr>
              <w:t xml:space="preserve"> E</w:t>
            </w:r>
            <w:r>
              <w:rPr>
                <w:rFonts w:ascii="Times New Roman" w:cs="Times New Roman" w:eastAsia="Times New Roman" w:hAnsi="Times New Roman"/>
                <w:sz w:val="13"/>
                <w:szCs w:val="13"/>
                <w:b w:val="1"/>
                <w:bCs w:val="1"/>
                <w:i w:val="1"/>
                <w:iCs w:val="1"/>
                <w:color w:val="FFFFFF"/>
              </w:rPr>
              <w:t>ARNED</w:t>
            </w:r>
          </w:p>
        </w:tc>
        <w:tc>
          <w:tcPr>
            <w:tcW w:w="1580" w:type="dxa"/>
            <w:vAlign w:val="bottom"/>
            <w:tcBorders>
              <w:top w:val="single" w:sz="8" w:color="auto"/>
            </w:tcBorders>
            <w:vMerge w:val="restart"/>
            <w:shd w:val="clear" w:color="auto" w:fill="4DC1E4"/>
          </w:tcPr>
          <w:p>
            <w:pPr>
              <w:ind w:left="460"/>
              <w:spacing w:after="0"/>
              <w:rPr>
                <w:sz w:val="20"/>
                <w:szCs w:val="20"/>
                <w:color w:val="auto"/>
              </w:rPr>
            </w:pPr>
            <w:r>
              <w:rPr>
                <w:rFonts w:ascii="Times New Roman" w:cs="Times New Roman" w:eastAsia="Times New Roman" w:hAnsi="Times New Roman"/>
                <w:sz w:val="13"/>
                <w:szCs w:val="13"/>
                <w:b w:val="1"/>
                <w:bCs w:val="1"/>
                <w:i w:val="1"/>
                <w:iCs w:val="1"/>
                <w:color w:val="FFFFFF"/>
              </w:rPr>
              <w:t>OPTION</w:t>
            </w:r>
          </w:p>
        </w:tc>
        <w:tc>
          <w:tcPr>
            <w:tcW w:w="1480" w:type="dxa"/>
            <w:vAlign w:val="bottom"/>
            <w:tcBorders>
              <w:top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360" w:type="dxa"/>
            <w:vAlign w:val="bottom"/>
            <w:tcBorders>
              <w:left w:val="single" w:sz="8" w:color="auto"/>
            </w:tcBorders>
            <w:shd w:val="clear" w:color="auto" w:fill="4DC1E4"/>
          </w:tcPr>
          <w:p>
            <w:pPr>
              <w:spacing w:after="0"/>
              <w:rPr>
                <w:sz w:val="5"/>
                <w:szCs w:val="5"/>
                <w:color w:val="auto"/>
              </w:rPr>
            </w:pPr>
          </w:p>
        </w:tc>
        <w:tc>
          <w:tcPr>
            <w:tcW w:w="182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FFFFFF"/>
              </w:rPr>
              <w:t xml:space="preserve">OR </w:t>
            </w:r>
            <w:r>
              <w:rPr>
                <w:rFonts w:ascii="Times New Roman" w:cs="Times New Roman" w:eastAsia="Times New Roman" w:hAnsi="Times New Roman"/>
                <w:sz w:val="17"/>
                <w:szCs w:val="17"/>
                <w:b w:val="1"/>
                <w:bCs w:val="1"/>
                <w:i w:val="1"/>
                <w:iCs w:val="1"/>
                <w:color w:val="FFFFFF"/>
              </w:rPr>
              <w:t>P</w:t>
            </w:r>
            <w:r>
              <w:rPr>
                <w:rFonts w:ascii="Times New Roman" w:cs="Times New Roman" w:eastAsia="Times New Roman" w:hAnsi="Times New Roman"/>
                <w:sz w:val="13"/>
                <w:szCs w:val="13"/>
                <w:b w:val="1"/>
                <w:bCs w:val="1"/>
                <w:i w:val="1"/>
                <w:iCs w:val="1"/>
                <w:color w:val="FFFFFF"/>
              </w:rPr>
              <w:t>AID IN</w:t>
            </w:r>
          </w:p>
        </w:tc>
        <w:tc>
          <w:tcPr>
            <w:tcW w:w="1580" w:type="dxa"/>
            <w:vAlign w:val="bottom"/>
            <w:vMerge w:val="continue"/>
            <w:shd w:val="clear" w:color="auto" w:fill="4DC1E4"/>
          </w:tcPr>
          <w:p>
            <w:pPr>
              <w:spacing w:after="0"/>
              <w:rPr>
                <w:sz w:val="5"/>
                <w:szCs w:val="5"/>
                <w:color w:val="auto"/>
              </w:rPr>
            </w:pPr>
          </w:p>
        </w:tc>
        <w:tc>
          <w:tcPr>
            <w:tcW w:w="148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tcBorders>
              <w:left w:val="single" w:sz="8" w:color="auto"/>
            </w:tcBorders>
            <w:vMerge w:val="restart"/>
            <w:shd w:val="clear" w:color="auto" w:fill="4DC1E4"/>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FFFFFF"/>
              </w:rPr>
              <w:t>N</w:t>
            </w:r>
            <w:r>
              <w:rPr>
                <w:rFonts w:ascii="Times New Roman" w:cs="Times New Roman" w:eastAsia="Times New Roman" w:hAnsi="Times New Roman"/>
                <w:sz w:val="12"/>
                <w:szCs w:val="12"/>
                <w:b w:val="1"/>
                <w:bCs w:val="1"/>
                <w:i w:val="1"/>
                <w:iCs w:val="1"/>
                <w:color w:val="FFFFFF"/>
              </w:rPr>
              <w:t>AME</w:t>
            </w:r>
          </w:p>
        </w:tc>
        <w:tc>
          <w:tcPr>
            <w:tcW w:w="1820" w:type="dxa"/>
            <w:vAlign w:val="bottom"/>
            <w:vMerge w:val="continue"/>
            <w:shd w:val="clear" w:color="auto" w:fill="4DC1E4"/>
          </w:tcPr>
          <w:p>
            <w:pPr>
              <w:spacing w:after="0"/>
              <w:rPr>
                <w:sz w:val="16"/>
                <w:szCs w:val="16"/>
                <w:color w:val="auto"/>
              </w:rPr>
            </w:pPr>
          </w:p>
        </w:tc>
        <w:tc>
          <w:tcPr>
            <w:tcW w:w="1580" w:type="dxa"/>
            <w:vAlign w:val="bottom"/>
            <w:shd w:val="clear" w:color="auto" w:fill="4DC1E4"/>
          </w:tcPr>
          <w:p>
            <w:pPr>
              <w:ind w:left="420"/>
              <w:spacing w:after="0" w:line="184" w:lineRule="exact"/>
              <w:rPr>
                <w:sz w:val="20"/>
                <w:szCs w:val="20"/>
                <w:color w:val="auto"/>
              </w:rPr>
            </w:pPr>
            <w:r>
              <w:rPr>
                <w:rFonts w:ascii="Times New Roman" w:cs="Times New Roman" w:eastAsia="Times New Roman" w:hAnsi="Times New Roman"/>
                <w:sz w:val="18"/>
                <w:szCs w:val="18"/>
                <w:b w:val="1"/>
                <w:bCs w:val="1"/>
                <w:i w:val="1"/>
                <w:iCs w:val="1"/>
                <w:color w:val="FFFFFF"/>
              </w:rPr>
              <w:t>A</w:t>
            </w:r>
            <w:r>
              <w:rPr>
                <w:rFonts w:ascii="Times New Roman" w:cs="Times New Roman" w:eastAsia="Times New Roman" w:hAnsi="Times New Roman"/>
                <w:sz w:val="13"/>
                <w:szCs w:val="13"/>
                <w:b w:val="1"/>
                <w:bCs w:val="1"/>
                <w:i w:val="1"/>
                <w:iCs w:val="1"/>
                <w:color w:val="FFFFFF"/>
              </w:rPr>
              <w:t>WARDS</w:t>
            </w:r>
          </w:p>
        </w:tc>
        <w:tc>
          <w:tcPr>
            <w:tcW w:w="1480" w:type="dxa"/>
            <w:vAlign w:val="bottom"/>
            <w:tcBorders>
              <w:right w:val="single" w:sz="8" w:color="auto"/>
            </w:tcBorders>
            <w:shd w:val="clear" w:color="auto" w:fill="4DC1E4"/>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60" w:type="dxa"/>
            <w:vAlign w:val="bottom"/>
            <w:tcBorders>
              <w:left w:val="single" w:sz="8" w:color="auto"/>
              <w:bottom w:val="single" w:sz="8" w:color="4DC1E4"/>
            </w:tcBorders>
            <w:vMerge w:val="continue"/>
            <w:shd w:val="clear" w:color="auto" w:fill="4DC1E4"/>
          </w:tcPr>
          <w:p>
            <w:pPr>
              <w:spacing w:after="0"/>
              <w:rPr>
                <w:sz w:val="21"/>
                <w:szCs w:val="21"/>
                <w:color w:val="auto"/>
              </w:rPr>
            </w:pPr>
          </w:p>
        </w:tc>
        <w:tc>
          <w:tcPr>
            <w:tcW w:w="1820" w:type="dxa"/>
            <w:vAlign w:val="bottom"/>
            <w:tcBorders>
              <w:bottom w:val="single" w:sz="8" w:color="4DC1E4"/>
            </w:tcBorders>
            <w:shd w:val="clear" w:color="auto" w:fill="4DC1E4"/>
          </w:tcPr>
          <w:p>
            <w:pPr>
              <w:jc w:val="center"/>
              <w:spacing w:after="0" w:line="202" w:lineRule="exact"/>
              <w:rPr>
                <w:sz w:val="20"/>
                <w:szCs w:val="20"/>
                <w:color w:val="auto"/>
              </w:rPr>
            </w:pPr>
            <w:r>
              <w:rPr>
                <w:rFonts w:ascii="Times New Roman" w:cs="Times New Roman" w:eastAsia="Times New Roman" w:hAnsi="Times New Roman"/>
                <w:sz w:val="18"/>
                <w:szCs w:val="18"/>
                <w:b w:val="1"/>
                <w:bCs w:val="1"/>
                <w:i w:val="1"/>
                <w:iCs w:val="1"/>
                <w:color w:val="FFFFFF"/>
              </w:rPr>
              <w:t>C</w:t>
            </w:r>
            <w:r>
              <w:rPr>
                <w:rFonts w:ascii="Times New Roman" w:cs="Times New Roman" w:eastAsia="Times New Roman" w:hAnsi="Times New Roman"/>
                <w:sz w:val="13"/>
                <w:szCs w:val="13"/>
                <w:b w:val="1"/>
                <w:bCs w:val="1"/>
                <w:i w:val="1"/>
                <w:iCs w:val="1"/>
                <w:color w:val="FFFFFF"/>
              </w:rPr>
              <w:t>ASH ($)</w:t>
            </w:r>
          </w:p>
        </w:tc>
        <w:tc>
          <w:tcPr>
            <w:tcW w:w="1580" w:type="dxa"/>
            <w:vAlign w:val="bottom"/>
            <w:tcBorders>
              <w:bottom w:val="single" w:sz="8" w:color="4DC1E4"/>
            </w:tcBorders>
            <w:shd w:val="clear" w:color="auto" w:fill="4DC1E4"/>
          </w:tcPr>
          <w:p>
            <w:pPr>
              <w:ind w:left="540"/>
              <w:spacing w:after="0" w:line="202" w:lineRule="exact"/>
              <w:rPr>
                <w:sz w:val="20"/>
                <w:szCs w:val="20"/>
                <w:color w:val="auto"/>
              </w:rPr>
            </w:pPr>
            <w:r>
              <w:rPr>
                <w:rFonts w:ascii="Times New Roman" w:cs="Times New Roman" w:eastAsia="Times New Roman" w:hAnsi="Times New Roman"/>
                <w:sz w:val="23"/>
                <w:szCs w:val="23"/>
                <w:b w:val="1"/>
                <w:bCs w:val="1"/>
                <w:i w:val="1"/>
                <w:iCs w:val="1"/>
                <w:color w:val="FFFFFF"/>
                <w:vertAlign w:val="subscript"/>
              </w:rPr>
              <w:t>($)</w:t>
            </w:r>
            <w:r>
              <w:rPr>
                <w:rFonts w:ascii="Times New Roman" w:cs="Times New Roman" w:eastAsia="Times New Roman" w:hAnsi="Times New Roman"/>
                <w:sz w:val="8"/>
                <w:szCs w:val="8"/>
                <w:b w:val="1"/>
                <w:bCs w:val="1"/>
                <w:i w:val="1"/>
                <w:iCs w:val="1"/>
                <w:color w:val="FFFFFF"/>
              </w:rPr>
              <w:t>(1)(2)</w:t>
            </w:r>
          </w:p>
        </w:tc>
        <w:tc>
          <w:tcPr>
            <w:tcW w:w="1480" w:type="dxa"/>
            <w:vAlign w:val="bottom"/>
            <w:tcBorders>
              <w:bottom w:val="single" w:sz="8" w:color="4DC1E4"/>
              <w:right w:val="single" w:sz="8" w:color="auto"/>
            </w:tcBorders>
            <w:shd w:val="clear" w:color="auto" w:fill="4DC1E4"/>
          </w:tcPr>
          <w:p>
            <w:pPr>
              <w:jc w:val="right"/>
              <w:ind w:right="414"/>
              <w:spacing w:after="0"/>
              <w:rPr>
                <w:sz w:val="20"/>
                <w:szCs w:val="20"/>
                <w:color w:val="auto"/>
              </w:rPr>
            </w:pPr>
            <w:r>
              <w:rPr>
                <w:rFonts w:ascii="Times New Roman" w:cs="Times New Roman" w:eastAsia="Times New Roman" w:hAnsi="Times New Roman"/>
                <w:sz w:val="13"/>
                <w:szCs w:val="13"/>
                <w:b w:val="1"/>
                <w:bCs w:val="1"/>
                <w:i w:val="1"/>
                <w:iCs w:val="1"/>
                <w:color w:val="FFFFFF"/>
              </w:rPr>
              <w:t>Total ($)</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E. Hamilton</w:t>
            </w:r>
          </w:p>
        </w:tc>
        <w:tc>
          <w:tcPr>
            <w:tcW w:w="18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$46,250</w:t>
            </w:r>
          </w:p>
        </w:tc>
        <w:tc>
          <w:tcPr>
            <w:tcW w:w="15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$102,991</w:t>
            </w:r>
          </w:p>
        </w:tc>
        <w:tc>
          <w:tcPr>
            <w:tcW w:w="148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$149,241</w:t>
            </w:r>
          </w:p>
        </w:tc>
        <w:tc>
          <w:tcPr>
            <w:tcW w:w="0" w:type="dxa"/>
            <w:vAlign w:val="bottom"/>
          </w:tcPr>
          <w:p>
            <w:pPr>
              <w:spacing w:after="0"/>
              <w:rPr>
                <w:sz w:val="1"/>
                <w:szCs w:val="1"/>
                <w:color w:val="auto"/>
              </w:rPr>
            </w:pPr>
          </w:p>
        </w:tc>
      </w:tr>
      <w:tr>
        <w:trPr>
          <w:trHeight w:val="210"/>
        </w:trPr>
        <w:tc>
          <w:tcPr>
            <w:tcW w:w="6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Jonathan Leff</w:t>
            </w:r>
          </w:p>
        </w:tc>
        <w:tc>
          <w:tcPr>
            <w:tcW w:w="1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$47,500</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$102,991</w:t>
            </w:r>
          </w:p>
        </w:tc>
        <w:tc>
          <w:tcPr>
            <w:tcW w:w="1480" w:type="dxa"/>
            <w:vAlign w:val="bottom"/>
            <w:tcBorders>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$150,491</w:t>
            </w:r>
          </w:p>
        </w:tc>
        <w:tc>
          <w:tcPr>
            <w:tcW w:w="0" w:type="dxa"/>
            <w:vAlign w:val="bottom"/>
          </w:tcPr>
          <w:p>
            <w:pPr>
              <w:spacing w:after="0"/>
              <w:rPr>
                <w:sz w:val="1"/>
                <w:szCs w:val="1"/>
                <w:color w:val="auto"/>
              </w:rPr>
            </w:pPr>
          </w:p>
        </w:tc>
      </w:tr>
      <w:tr>
        <w:trPr>
          <w:trHeight w:val="209"/>
        </w:trPr>
        <w:tc>
          <w:tcPr>
            <w:tcW w:w="6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Frank Thomas</w:t>
            </w:r>
          </w:p>
        </w:tc>
        <w:tc>
          <w:tcPr>
            <w:tcW w:w="1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$55,000</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$102,991</w:t>
            </w:r>
          </w:p>
        </w:tc>
        <w:tc>
          <w:tcPr>
            <w:tcW w:w="1480" w:type="dxa"/>
            <w:vAlign w:val="bottom"/>
            <w:tcBorders>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$157,991</w:t>
            </w:r>
          </w:p>
        </w:tc>
        <w:tc>
          <w:tcPr>
            <w:tcW w:w="0" w:type="dxa"/>
            <w:vAlign w:val="bottom"/>
          </w:tcPr>
          <w:p>
            <w:pPr>
              <w:spacing w:after="0"/>
              <w:rPr>
                <w:sz w:val="1"/>
                <w:szCs w:val="1"/>
                <w:color w:val="auto"/>
              </w:rPr>
            </w:pPr>
          </w:p>
        </w:tc>
      </w:tr>
      <w:tr>
        <w:trPr>
          <w:trHeight w:val="210"/>
        </w:trPr>
        <w:tc>
          <w:tcPr>
            <w:tcW w:w="6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Joseph Truitt</w:t>
            </w:r>
          </w:p>
        </w:tc>
        <w:tc>
          <w:tcPr>
            <w:tcW w:w="1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$82,500</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$102,991</w:t>
            </w:r>
          </w:p>
        </w:tc>
        <w:tc>
          <w:tcPr>
            <w:tcW w:w="1480" w:type="dxa"/>
            <w:vAlign w:val="bottom"/>
            <w:tcBorders>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$185,491</w:t>
            </w:r>
          </w:p>
        </w:tc>
        <w:tc>
          <w:tcPr>
            <w:tcW w:w="0" w:type="dxa"/>
            <w:vAlign w:val="bottom"/>
          </w:tcPr>
          <w:p>
            <w:pPr>
              <w:spacing w:after="0"/>
              <w:rPr>
                <w:sz w:val="1"/>
                <w:szCs w:val="1"/>
                <w:color w:val="auto"/>
              </w:rPr>
            </w:pPr>
          </w:p>
        </w:tc>
      </w:tr>
      <w:tr>
        <w:trPr>
          <w:trHeight w:val="210"/>
        </w:trPr>
        <w:tc>
          <w:tcPr>
            <w:tcW w:w="6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$38,750</w:t>
            </w: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$102,991</w:t>
            </w:r>
          </w:p>
        </w:tc>
        <w:tc>
          <w:tcPr>
            <w:tcW w:w="1480" w:type="dxa"/>
            <w:vAlign w:val="bottom"/>
            <w:tcBorders>
              <w:bottom w:val="single" w:sz="8" w:color="auto"/>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$141,741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80" w:hanging="772"/>
        <w:spacing w:after="0" w:line="25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each stock option granted in 2024 determined in accordance with the provisions of Financial Accounting Standards Board Accounting Standards, Codification Topic 718, Compensation — Stock Compensation (“FASB ASC Topic 718”). The assumptions made in the calculation of these amounts are included in Note 7 of the Notes to the Consolidated Financial Statements included in our 2024 Annual Report.</w:t>
      </w:r>
    </w:p>
    <w:p>
      <w:pPr>
        <w:spacing w:after="0" w:line="2" w:lineRule="exact"/>
        <w:rPr>
          <w:rFonts w:ascii="Times New Roman" w:cs="Times New Roman" w:eastAsia="Times New Roman" w:hAnsi="Times New Roman"/>
          <w:sz w:val="18"/>
          <w:szCs w:val="18"/>
          <w:color w:val="auto"/>
        </w:rPr>
      </w:pPr>
    </w:p>
    <w:p>
      <w:pPr>
        <w:ind w:left="780" w:hanging="772"/>
        <w:spacing w:after="0" w:line="26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Dr. Sherman and Messrs. Hamilton, Leff, Thomas and Truitt held options to purchase 35,600, 60,500, 60,500, 53,794, and 60,500 shares of our common stock, respectively.</w:t>
      </w:r>
    </w:p>
    <w:p>
      <w:pPr>
        <w:spacing w:after="0" w:line="29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ind w:left="120"/>
        <w:spacing w:after="0"/>
        <w:rPr>
          <w:sz w:val="20"/>
          <w:szCs w:val="20"/>
          <w:color w:val="auto"/>
        </w:rPr>
      </w:pPr>
      <w:r>
        <w:rPr>
          <w:rFonts w:ascii="Times New Roman" w:cs="Times New Roman" w:eastAsia="Times New Roman" w:hAnsi="Times New Roman"/>
          <w:sz w:val="21"/>
          <w:szCs w:val="21"/>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PwC for the Company and is ultimately responsible for approving those fees. The following is a summary and description of fees for services provided by PwC in 2024 and 2023:</w:t>
      </w:r>
    </w:p>
    <w:p>
      <w:pPr>
        <w:spacing w:after="0" w:line="160" w:lineRule="exact"/>
        <w:rPr>
          <w:sz w:val="20"/>
          <w:szCs w:val="20"/>
          <w:color w:val="auto"/>
        </w:rPr>
      </w:pPr>
    </w:p>
    <w:tbl>
      <w:tblPr>
        <w:tblLayout w:type="fixed"/>
        <w:tblInd w:w="1150" w:type="dxa"/>
        <w:tblCellMar>
          <w:top w:w="0" w:type="dxa"/>
          <w:left w:w="0" w:type="dxa"/>
          <w:bottom w:w="0" w:type="dxa"/>
          <w:right w:w="0" w:type="dxa"/>
        </w:tblCellMar>
      </w:tblPr>
      <w:tr>
        <w:trPr>
          <w:trHeight w:val="275"/>
        </w:trPr>
        <w:tc>
          <w:tcPr>
            <w:tcW w:w="6060" w:type="dxa"/>
            <w:vAlign w:val="bottom"/>
            <w:tcBorders>
              <w:top w:val="single" w:sz="8" w:color="auto"/>
              <w:left w:val="single" w:sz="8" w:color="auto"/>
              <w:bottom w:val="single" w:sz="8" w:color="4DC1E4"/>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ERVICE</w:t>
            </w:r>
          </w:p>
        </w:tc>
        <w:tc>
          <w:tcPr>
            <w:tcW w:w="1460" w:type="dxa"/>
            <w:vAlign w:val="bottom"/>
            <w:tcBorders>
              <w:top w:val="single" w:sz="8" w:color="auto"/>
              <w:bottom w:val="single" w:sz="8" w:color="4DC1E4"/>
              <w:right w:val="single" w:sz="8" w:color="auto"/>
            </w:tcBorders>
            <w:shd w:val="clear" w:color="auto" w:fill="4DC1E4"/>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2024</w:t>
            </w:r>
          </w:p>
        </w:tc>
        <w:tc>
          <w:tcPr>
            <w:tcW w:w="1460" w:type="dxa"/>
            <w:vAlign w:val="bottom"/>
            <w:tcBorders>
              <w:top w:val="single" w:sz="8" w:color="auto"/>
              <w:bottom w:val="single" w:sz="8" w:color="4DC1E4"/>
              <w:right w:val="single" w:sz="8" w:color="auto"/>
            </w:tcBorders>
            <w:shd w:val="clear" w:color="auto" w:fill="4DC1E4"/>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2023</w:t>
            </w:r>
          </w:p>
        </w:tc>
      </w:tr>
      <w:tr>
        <w:trPr>
          <w:trHeight w:val="209"/>
        </w:trPr>
        <w:tc>
          <w:tcPr>
            <w:tcW w:w="60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Fees</w:t>
            </w:r>
          </w:p>
        </w:tc>
        <w:tc>
          <w:tcPr>
            <w:tcW w:w="146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$570,000</w:t>
            </w:r>
          </w:p>
        </w:tc>
        <w:tc>
          <w:tcPr>
            <w:tcW w:w="146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$689,000</w:t>
            </w:r>
          </w:p>
        </w:tc>
      </w:tr>
      <w:tr>
        <w:trPr>
          <w:trHeight w:val="209"/>
        </w:trPr>
        <w:tc>
          <w:tcPr>
            <w:tcW w:w="6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Audit-Related Fees</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Fees</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Other Fees</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$2,000</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6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$572,000</w:t>
            </w: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$690,000</w:t>
            </w: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other fees</w:t>
      </w:r>
      <w:r>
        <w:rPr>
          <w:rFonts w:ascii="Times New Roman" w:cs="Times New Roman" w:eastAsia="Times New Roman" w:hAnsi="Times New Roman"/>
          <w:sz w:val="18"/>
          <w:szCs w:val="18"/>
          <w:color w:val="auto"/>
        </w:rPr>
        <w:t>” represents payment for access to PwC’s technical accounting and reporting software tools. These fees were approved by the Audit Committee.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such audit and permissible non-audit services were pre-approved in accordance with this policy during the fiscal year ended December 31, 2024.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301"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24" w:name="page25"/>
    <w:bookmarkEnd w:id="24"/>
    <w:p>
      <w:pPr>
        <w:ind w:left="120"/>
        <w:spacing w:after="0"/>
        <w:rPr>
          <w:sz w:val="20"/>
          <w:szCs w:val="20"/>
          <w:color w:val="auto"/>
        </w:rPr>
      </w:pPr>
      <w:r>
        <w:rPr>
          <w:rFonts w:ascii="Times New Roman" w:cs="Times New Roman" w:eastAsia="Times New Roman" w:hAnsi="Times New Roman"/>
          <w:sz w:val="21"/>
          <w:szCs w:val="21"/>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2024, PwC, is responsible for performing an independent audit of the consolidated financial statements and expressing an opinion on the conformity of those consolidated financial statements with generally accepted accounting principles.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contained in the Company’s 2024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2024 Annual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Thomas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Truitt</w:t>
      </w:r>
    </w:p>
    <w:p>
      <w:pPr>
        <w:spacing w:after="0" w:line="324"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25" w:name="page26"/>
    <w:bookmarkEnd w:id="25"/>
    <w:p>
      <w:pPr>
        <w:ind w:left="12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140" w:type="dxa"/>
            <w:vAlign w:val="bottom"/>
            <w:tcBorders>
              <w:top w:val="single" w:sz="8" w:color="auto"/>
              <w:left w:val="single" w:sz="8" w:color="auto"/>
              <w:bottom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4200" w:type="dxa"/>
            <w:vAlign w:val="bottom"/>
            <w:tcBorders>
              <w:top w:val="single" w:sz="8" w:color="auto"/>
              <w:bottom w:val="single" w:sz="8" w:color="auto"/>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OSITION</w:t>
            </w:r>
          </w:p>
        </w:tc>
        <w:tc>
          <w:tcPr>
            <w:tcW w:w="1900" w:type="dxa"/>
            <w:vAlign w:val="bottom"/>
            <w:tcBorders>
              <w:top w:val="single" w:sz="8" w:color="auto"/>
              <w:bottom w:val="single" w:sz="8" w:color="auto"/>
              <w:right w:val="single" w:sz="8" w:color="auto"/>
            </w:tcBorders>
            <w:shd w:val="clear" w:color="auto" w:fill="4DC1E4"/>
          </w:tcPr>
          <w:p>
            <w:pPr>
              <w:jc w:val="right"/>
              <w:ind w:right="1310"/>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r>
      <w:tr>
        <w:trPr>
          <w:trHeight w:val="209"/>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Celano</w:t>
            </w: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19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9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1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Russell G. Clayton, DO</w:t>
            </w: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c>
          <w:tcPr>
            <w:tcW w:w="190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Carole S. Ben-Maimon, M.D. </w:t>
      </w:r>
      <w:r>
        <w:rPr>
          <w:rFonts w:ascii="Times New Roman" w:cs="Times New Roman" w:eastAsia="Times New Roman" w:hAnsi="Times New Roman"/>
          <w:sz w:val="18"/>
          <w:szCs w:val="18"/>
          <w:color w:val="auto"/>
        </w:rPr>
        <w:t>— For biographical information for Carole S. Ben-Maimon, M.D., see “Board of Directors — Continuing Directors.”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Celano </w:t>
      </w:r>
      <w:r>
        <w:rPr>
          <w:rFonts w:ascii="Times New Roman" w:cs="Times New Roman" w:eastAsia="Times New Roman" w:hAnsi="Times New Roman"/>
          <w:sz w:val="18"/>
          <w:szCs w:val="18"/>
          <w:color w:val="auto"/>
        </w:rPr>
        <w:t>has served as our Chief Financial Officer since May 2020 and as our Secretary since April 2021. Prior to joining the Company, Mr. Celano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formerly Recro Pharma, Inc., and from July 2016 to January 2018, Mr. Celano served as their Chief Financial Officer.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2004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Gopi Shankar, Ph.D., MBA, FAAPS </w:t>
      </w:r>
      <w:r>
        <w:rPr>
          <w:rFonts w:ascii="Times New Roman" w:cs="Times New Roman" w:eastAsia="Times New Roman" w:hAnsi="Times New Roman"/>
          <w:sz w:val="18"/>
          <w:szCs w:val="18"/>
          <w:color w:val="auto"/>
        </w:rPr>
        <w:t>has served as our Chief Development Officer since February 2023. Before joining the Company, Dr. Shankar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Global Head, Biologics Development Sciences at Janssen Research &amp; Development, Inc. (“Janssen R&amp;D”), a pharmaceutical company of Johnson &amp; Johnson, Inc. (“Johnson &amp; Johnson”) from April 2018 to April 2022, where he led a global, 175-person R&amp;D department that contributed to more than 60 combined investigational new drug applications, biologics license applications, and marketing authorization application filings, after which he undertook a sabbatical from April 2022 to February 2023. Dr. Shankar had also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of the American Association of Pharmaceutical Scientists (“AAPS”) and previously served as the AAPS’ President. Dr. Shankar holds a B.S. in Biology from Saint Mary’s University, an M.S. in Molecular and Cell Biology from Oklahoma State University, a Ph.D. in Immunology from the University of Kentucky and a MBA in Leadership &amp; General Management from Drexel University’s LeBow College of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Russell G. Clayton, DO </w:t>
      </w:r>
      <w:r>
        <w:rPr>
          <w:rFonts w:ascii="Times New Roman" w:cs="Times New Roman" w:eastAsia="Times New Roman" w:hAnsi="Times New Roman"/>
          <w:sz w:val="18"/>
          <w:szCs w:val="18"/>
          <w:color w:val="auto"/>
        </w:rPr>
        <w:t>has served as our Chief Medical Officer since July 2023. Prior to joining the Company, Dr. Clayton served as Principal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Aeremedea, a company providing consulting services, including translational and clinical research, regulatory affairs, medical affairs, and management/operations to companies developing pharmaceuticals, biologics, or medical devices either directly or through clinical research organizations, from April 2017 to July 2023, where he worked with the Company and several other companies as an advisor, contractor, and interim Chief Medical Officer to support the development and commercialization of therapies targeting rare diseases across several therapeutic areas. Dr. Clayton has also served as a member and Chair of the Company’s Scientific Advisory Board since June 2021. From June 2015 to April 2017, Dr. Clayton served as the Chief Medical Officer at Alcresta Therapeutics, Inc. (“Alcresta”), a medical device company. While at Alcresta, Dr. Clayton led clinical development and medical affairs, overseeing the design and execution of pivotal clinical studies as well as developing a medical affairs capability in support of a new product launch. Dr. Clayton previously served in a number of roles at Discovery Laboratories, Inc. (“Discovery”), a pharmaceutical and medical device company, including Senior Vice President, Research and Development from October 2011 to November 2014, Vice President, Research and Development from June 2009 to October 2011, Vice President, Medical and Academic Affairs from September 2007 to June 2009, Vice President, Global Research and Development from May 2006 to September 2007</w:t>
      </w:r>
    </w:p>
    <w:p>
      <w:pPr>
        <w:spacing w:after="0" w:line="30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6" w:name="page27"/>
    <w:bookmarkEnd w:id="26"/>
    <w:p>
      <w:pPr>
        <w:ind w:left="120"/>
        <w:spacing w:after="0"/>
        <w:rPr>
          <w:sz w:val="20"/>
          <w:szCs w:val="20"/>
          <w:color w:val="auto"/>
        </w:rPr>
      </w:pPr>
      <w:r>
        <w:rPr>
          <w:rFonts w:ascii="Times New Roman" w:cs="Times New Roman" w:eastAsia="Times New Roman" w:hAnsi="Times New Roman"/>
          <w:sz w:val="21"/>
          <w:szCs w:val="21"/>
          <w:b w:val="1"/>
          <w:bCs w:val="1"/>
          <w:color w:val="auto"/>
        </w:rPr>
        <w:t xml:space="preserve">EXECUTIVE OFFICERS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Vice President of Medical Affairs from December 2005 to April 2006. At Discovery, Dr. Clayton led the scientific and regulatory efforts leading to the marketing authorization of Discovery’s first product. Prior to joining Discovery, Dr. Clayton served as the Director of International Regulatory Affairs and Regional Medical Director, Medical and Scientific Affairs at Merck &amp; Company. Dr. Clayton is a board-certified pediatric pulmonologist and previously served as Attending Pulmonologist at both the Children’s Hospital of Philadelphia, where he was Director of the Asthma Program for the Division of Pulmonary Medicine and Associate Director for the Cystic Fibrosis Center, and St. Christopher’s Hospital for Children in Philadelphia. Dr. Clayton also served as Assistant Professor of Pediatrics at Temple University School of Medicine and the University of Pennsylvania School of Medicine. Dr. Clayton has dedicated his career to improving neonatal and pediatric respiratory and critical care medicine, is published in scientific literature and has presented at universities, hospitals, and medical conferences and otherwise routinely engaged in scientific exchange on the topic of neonatal pulmonary medicine. Dr. Clayton holds a B.A. in Biology from La Salle University and a DO from the Philadelphia College of Osteopathic Medicine.</w:t>
      </w:r>
    </w:p>
    <w:p>
      <w:pPr>
        <w:spacing w:after="0" w:line="306"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type w:val="continuous"/>
        </w:sectPr>
      </w:pPr>
    </w:p>
    <w:bookmarkStart w:id="27" w:name="page28"/>
    <w:bookmarkEnd w:id="27"/>
    <w:p>
      <w:pPr>
        <w:ind w:left="1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("NEOs"). In 2024, our NEOs were:</w:t>
      </w:r>
    </w:p>
    <w:p>
      <w:pPr>
        <w:spacing w:after="0" w:line="121" w:lineRule="exact"/>
        <w:rPr>
          <w:sz w:val="20"/>
          <w:szCs w:val="20"/>
          <w:color w:val="auto"/>
        </w:rPr>
      </w:pPr>
    </w:p>
    <w:p>
      <w:pPr>
        <w:ind w:left="1560" w:hanging="774"/>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M.D., our President and Chief Executive Officer;</w:t>
      </w:r>
    </w:p>
    <w:p>
      <w:pPr>
        <w:spacing w:after="0" w:line="27"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 our Chief Financial Officer and Secretary; and</w:t>
      </w:r>
    </w:p>
    <w:p>
      <w:pPr>
        <w:spacing w:after="0" w:line="9" w:lineRule="exact"/>
        <w:rPr>
          <w:rFonts w:ascii="Times New Roman" w:cs="Times New Roman" w:eastAsia="Times New Roman" w:hAnsi="Times New Roman"/>
          <w:sz w:val="18"/>
          <w:szCs w:val="18"/>
          <w:color w:val="auto"/>
        </w:rPr>
      </w:pPr>
    </w:p>
    <w:p>
      <w:pPr>
        <w:ind w:left="1560" w:hanging="774"/>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Gopi Shankar, Ph.D., MBA, FAAPS, our Chief Development Officer</w:t>
      </w:r>
    </w:p>
    <w:p>
      <w:pPr>
        <w:spacing w:after="0" w:line="176" w:lineRule="exact"/>
        <w:rPr>
          <w:sz w:val="20"/>
          <w:szCs w:val="20"/>
          <w:color w:val="auto"/>
        </w:rPr>
      </w:pPr>
    </w:p>
    <w:p>
      <w:pPr>
        <w:ind w:right="5000"/>
        <w:spacing w:after="0" w:line="4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Key Aspects of Our 2024 Executive Compensation Program and 2025 Developments </w:t>
      </w:r>
      <w:r>
        <w:rPr>
          <w:rFonts w:ascii="Times New Roman" w:cs="Times New Roman" w:eastAsia="Times New Roman" w:hAnsi="Times New Roman"/>
          <w:sz w:val="18"/>
          <w:szCs w:val="18"/>
          <w:i w:val="1"/>
          <w:iCs w:val="1"/>
          <w:color w:val="auto"/>
        </w:rPr>
        <w:t>Substantial Majority of CEO Compensation is Variable and At-Risk</w:t>
      </w: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76% of our CEO’s 2024 target total direct compensation (consisting of base salary, target annual cash incentive and target fair value of long-term equity incentives, which consisted of stock options and restricted stock units ("RSUs")) was considered variable and at-risk and approximately 65% of our other NEOs’ 2024 target total direct compensation, on average, was considered variable and at-risk. We consider compensation to be “at-risk” if it is subject to achievement of meaningful pre-set, objective milestone, financial or operating goals, such as in our annual cash incentive program, or if it depends on stock price appreciation or value, as in our long-term equity incentive program. These high proportions of variable and at-risk compensation enhance the strong link between pay and performance for our CEO and other NEOs and the alignment of their interests with those of the Company and our stockholders.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performance-based metrics that were a part of our annual cash incentive program further enhanced the link between pay and performance for the CEO and our other NEOs. Our annual cash incentive program only rewards executives for performance based on our achievement of key goals, which strengthens the alignment of the interests of our CEO and other NEOs with those of our stockholders.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 of Performance-Based Equity in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we have continued to evolve and mature, the Compensation Committee has correspondingly sought to evolve the executive compensation program as appropriate for a company of our stage of development and size. In January 2025, our Compensation Committee, or Board, as applicable, took the next step by granting performance-based restricted stock units (“PSUs”) to our NEOs. Our NEOs will earn a percentage of the PSU awards based upon our achievement of certain regulatory milestones, and, in each case, 50% of such earned portion will vest upon the Compensation Committee’s determination of the achievement of such regulatory milestones (the “Achievement Determination Date”) and the remaining 50% will vest upon the one-year anniversary of the Achievement Determination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NEO Equity Compensation: High Proportion Variable and At-Risk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market practice of similar biopharmaceutical companies, and in order to focus executives on growth and increasing stockholder value at this stage of our development, in 2024, each of our NEOs received stock options and RSUs. The annual stock option and RSU grants to our NEOs considered the strong success of our continued clinical development and subsequent financings, our NEOs' leadership and their efforts to strengthen the Company with a small team as a small-size public company. The target mix of the annual equity grants was approximately 75% stock options and 25% RSUs.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are inherently performance-based, requiring stock price appreciation before there is any value earned, and are a direct and straightforward means of incentivizing our executives. In addition, stock options reward our NEOs for increasing stockholder value over the lengthier term of the option, relative to other forms of equity compensation, which we believe aligns well with the biopharmaceutical development cycle which extends for a number of years. If our stock price does not increase, there is no amount of time that will make a stock option award deliver any value. The RSUs are complementary to the stock options because they have upside potential but deliver some value even during periods of market or stock price underperformance, providing a retention incentive and reinforcing an ownership culture and commitment to the Company.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Short-Term Annual Cash Incentive: Rigorous, Pre-Set Research, Clinical and Regulatory Milestones, With Annual Incentive Plan Payouts Reflecting Pay for Performance Alignment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start of 2024, the Compensation Committee established research, clinical and regulatory milestones and financial goals under our annual performance-based cash incentives. These goals were rigorous, aggressive and challenging, attainable only with strong performance, and took into account the relevant opportunities and risks of our product candidate programs.</w:t>
      </w:r>
    </w:p>
    <w:p>
      <w:pPr>
        <w:spacing w:after="0" w:line="29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28" w:name="page29"/>
    <w:bookmarkEnd w:id="28"/>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early 2025, the Compensation Committee assessed our performance against our 2024 goals under the annual bonus program. These determinations resulted in the Compensation Committee recommending, and the Board approving, a 95% level of achievement for the Company against our 2024 goals. This performance, which falls below the target level, shows the rigor of our goals and of the Compensation Committee’s challenging performance assessment, and demonstrates the strong pay for performance alignment of our program. The alignment of the executive compensation program is underscored in view of the fact that when achievement of corporate goals is below target levels, as it was in 2024, at 95% of target, payouts are less, and when achievement of corporate goals is above target level, as it was in 2023, at 103% of target, payouts are more.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Appropriate Peer Group to Reference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best practices for corporate governance, the Compensation Committee annually reassesses the group of peer companies used as a reference point for evaluating executive compensation. In connection with determining the compensation of our CEO and other executive officers, in September 2023, the Compensation Committee conducted a review of our peer group to ensure its continued appropriateness, and updated the peer group utilized by the Compensation Committee with respect to compensation decisions for 2024. In light of the change in our organizational size and market capitalization, the Compensation Committee revised the peer group selection criteria. The peer group selection criteria were updated to reference a market capitalization range of 1/3x to 5x the Company’s market capitalization and headcount between 15 and 120 employees based on the publicly available data at the time of selection, which resulted in the removal of seven companies and the addition of eight new companies as compared to our 2023 peer group, and resulting in a 19-member compensation peer group.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Support for the Company's Executive Compensation Program</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our advisory vote on executive compensation at our 2024 Annual Meeting of Stockholders. Although this advisory vote on compensation, known as the "say-on-pay" vote, is advisory and not binding on us, the Compensation Committee and the Board value the opinions of stockholders and review the voting results in connection with their ongoing evaluation of our compensation philosophy and compensation decisions.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2024 Annual Meeting of Stockholders, we received the support of approximately 95.4% of the votes cast on our say-on-pay proposal. The Compensation Committee viewed the results of the vote on our say-on-pay proposal as evidence that a substantial majority of stockholders are aligned with our executive compensation program. The Board and the Compensation Committee will continue to carefully consider the results of any vote on a say-on-pay proposal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during the fiscal years ended December 31, 2024 and December 31, 2023:</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920" w:type="dxa"/>
            <w:vAlign w:val="bottom"/>
            <w:tcBorders>
              <w:top w:val="single" w:sz="8" w:color="auto"/>
              <w:left w:val="single" w:sz="8" w:color="auto"/>
            </w:tcBorders>
            <w:shd w:val="clear" w:color="auto" w:fill="4DC1E4"/>
          </w:tcPr>
          <w:p>
            <w:pPr>
              <w:spacing w:after="0"/>
              <w:rPr>
                <w:sz w:val="17"/>
                <w:szCs w:val="17"/>
                <w:color w:val="auto"/>
              </w:rPr>
            </w:pPr>
          </w:p>
        </w:tc>
        <w:tc>
          <w:tcPr>
            <w:tcW w:w="920" w:type="dxa"/>
            <w:vAlign w:val="bottom"/>
            <w:tcBorders>
              <w:top w:val="single" w:sz="8" w:color="auto"/>
            </w:tcBorders>
            <w:shd w:val="clear" w:color="auto" w:fill="4DC1E4"/>
          </w:tcPr>
          <w:p>
            <w:pPr>
              <w:spacing w:after="0"/>
              <w:rPr>
                <w:sz w:val="17"/>
                <w:szCs w:val="17"/>
                <w:color w:val="auto"/>
              </w:rPr>
            </w:pPr>
          </w:p>
        </w:tc>
        <w:tc>
          <w:tcPr>
            <w:tcW w:w="1120" w:type="dxa"/>
            <w:vAlign w:val="bottom"/>
            <w:tcBorders>
              <w:top w:val="single" w:sz="8" w:color="auto"/>
            </w:tcBorders>
            <w:shd w:val="clear" w:color="auto" w:fill="4DC1E4"/>
          </w:tcPr>
          <w:p>
            <w:pPr>
              <w:spacing w:after="0"/>
              <w:rPr>
                <w:sz w:val="17"/>
                <w:szCs w:val="17"/>
                <w:color w:val="auto"/>
              </w:rPr>
            </w:pPr>
          </w:p>
        </w:tc>
        <w:tc>
          <w:tcPr>
            <w:tcW w:w="880" w:type="dxa"/>
            <w:vAlign w:val="bottom"/>
            <w:tcBorders>
              <w:top w:val="single" w:sz="8" w:color="auto"/>
            </w:tcBorders>
            <w:shd w:val="clear" w:color="auto" w:fill="4DC1E4"/>
          </w:tcPr>
          <w:p>
            <w:pPr>
              <w:spacing w:after="0"/>
              <w:rPr>
                <w:sz w:val="17"/>
                <w:szCs w:val="17"/>
                <w:color w:val="auto"/>
              </w:rPr>
            </w:pPr>
          </w:p>
        </w:tc>
        <w:tc>
          <w:tcPr>
            <w:tcW w:w="380" w:type="dxa"/>
            <w:vAlign w:val="bottom"/>
            <w:tcBorders>
              <w:top w:val="single" w:sz="8" w:color="auto"/>
            </w:tcBorders>
            <w:shd w:val="clear" w:color="auto" w:fill="4DC1E4"/>
          </w:tcPr>
          <w:p>
            <w:pPr>
              <w:spacing w:after="0"/>
              <w:rPr>
                <w:sz w:val="17"/>
                <w:szCs w:val="17"/>
                <w:color w:val="auto"/>
              </w:rPr>
            </w:pPr>
          </w:p>
        </w:tc>
        <w:tc>
          <w:tcPr>
            <w:tcW w:w="116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1180" w:type="dxa"/>
            <w:vAlign w:val="bottom"/>
            <w:tcBorders>
              <w:top w:val="single" w:sz="8" w:color="auto"/>
            </w:tcBorders>
            <w:shd w:val="clear" w:color="auto" w:fill="4DC1E4"/>
          </w:tcPr>
          <w:p>
            <w:pPr>
              <w:jc w:val="center"/>
              <w:ind w:left="27"/>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1500" w:type="dxa"/>
            <w:vAlign w:val="bottom"/>
            <w:tcBorders>
              <w:top w:val="single" w:sz="8" w:color="auto"/>
            </w:tcBorders>
            <w:gridSpan w:val="2"/>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LL</w:t>
            </w:r>
            <w:r>
              <w:rPr>
                <w:rFonts w:ascii="Times New Roman" w:cs="Times New Roman" w:eastAsia="Times New Roman" w:hAnsi="Times New Roman"/>
                <w:sz w:val="16"/>
                <w:szCs w:val="16"/>
                <w:b w:val="1"/>
                <w:bCs w:val="1"/>
                <w:color w:val="FFFFFF"/>
              </w:rPr>
              <w:t xml:space="preserve"> O</w:t>
            </w:r>
            <w:r>
              <w:rPr>
                <w:rFonts w:ascii="Times New Roman" w:cs="Times New Roman" w:eastAsia="Times New Roman" w:hAnsi="Times New Roman"/>
                <w:sz w:val="12"/>
                <w:szCs w:val="12"/>
                <w:b w:val="1"/>
                <w:bCs w:val="1"/>
                <w:color w:val="FFFFFF"/>
              </w:rPr>
              <w:t>THER</w:t>
            </w:r>
          </w:p>
        </w:tc>
        <w:tc>
          <w:tcPr>
            <w:tcW w:w="1180" w:type="dxa"/>
            <w:vAlign w:val="bottom"/>
            <w:tcBorders>
              <w:top w:val="single" w:sz="8" w:color="auto"/>
              <w:right w:val="single" w:sz="8" w:color="auto"/>
            </w:tcBorders>
            <w:shd w:val="clear" w:color="auto" w:fill="4DC1E4"/>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920" w:type="dxa"/>
            <w:vAlign w:val="bottom"/>
            <w:tcBorders>
              <w:left w:val="single" w:sz="8" w:color="auto"/>
            </w:tcBorders>
            <w:vMerge w:val="restart"/>
            <w:shd w:val="clear" w:color="auto" w:fill="4DC1E4"/>
          </w:tcPr>
          <w:p>
            <w:pPr>
              <w:ind w:left="10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ND</w:t>
            </w:r>
            <w:r>
              <w:rPr>
                <w:rFonts w:ascii="Times New Roman" w:cs="Times New Roman" w:eastAsia="Times New Roman" w:hAnsi="Times New Roman"/>
                <w:sz w:val="16"/>
                <w:szCs w:val="16"/>
                <w:b w:val="1"/>
                <w:bCs w:val="1"/>
                <w:color w:val="FFFFFF"/>
              </w:rPr>
              <w:t xml:space="preserve"> P</w:t>
            </w:r>
            <w:r>
              <w:rPr>
                <w:rFonts w:ascii="Times New Roman" w:cs="Times New Roman" w:eastAsia="Times New Roman" w:hAnsi="Times New Roman"/>
                <w:sz w:val="12"/>
                <w:szCs w:val="12"/>
                <w:b w:val="1"/>
                <w:bCs w:val="1"/>
                <w:color w:val="FFFFFF"/>
              </w:rPr>
              <w:t>RINCIPAL</w:t>
            </w:r>
            <w:r>
              <w:rPr>
                <w:rFonts w:ascii="Times New Roman" w:cs="Times New Roman" w:eastAsia="Times New Roman" w:hAnsi="Times New Roman"/>
                <w:sz w:val="16"/>
                <w:szCs w:val="16"/>
                <w:b w:val="1"/>
                <w:bCs w:val="1"/>
                <w:color w:val="FFFFFF"/>
              </w:rPr>
              <w:t xml:space="preserve"> P</w:t>
            </w:r>
            <w:r>
              <w:rPr>
                <w:rFonts w:ascii="Times New Roman" w:cs="Times New Roman" w:eastAsia="Times New Roman" w:hAnsi="Times New Roman"/>
                <w:sz w:val="12"/>
                <w:szCs w:val="12"/>
                <w:b w:val="1"/>
                <w:bCs w:val="1"/>
                <w:color w:val="FFFFFF"/>
              </w:rPr>
              <w:t>OSITION</w:t>
            </w:r>
          </w:p>
        </w:tc>
        <w:tc>
          <w:tcPr>
            <w:tcW w:w="920" w:type="dxa"/>
            <w:vAlign w:val="bottom"/>
            <w:vMerge w:val="restart"/>
            <w:shd w:val="clear" w:color="auto" w:fill="4DC1E4"/>
          </w:tcPr>
          <w:p>
            <w:pPr>
              <w:jc w:val="right"/>
              <w:ind w:right="247"/>
              <w:spacing w:after="0"/>
              <w:rPr>
                <w:sz w:val="20"/>
                <w:szCs w:val="20"/>
                <w:color w:val="auto"/>
              </w:rPr>
            </w:pPr>
            <w:r>
              <w:rPr>
                <w:rFonts w:ascii="Times New Roman" w:cs="Times New Roman" w:eastAsia="Times New Roman" w:hAnsi="Times New Roman"/>
                <w:sz w:val="16"/>
                <w:szCs w:val="16"/>
                <w:b w:val="1"/>
                <w:bCs w:val="1"/>
                <w:color w:val="FFFFFF"/>
              </w:rPr>
              <w:t>Y</w:t>
            </w:r>
            <w:r>
              <w:rPr>
                <w:rFonts w:ascii="Times New Roman" w:cs="Times New Roman" w:eastAsia="Times New Roman" w:hAnsi="Times New Roman"/>
                <w:sz w:val="12"/>
                <w:szCs w:val="12"/>
                <w:b w:val="1"/>
                <w:bCs w:val="1"/>
                <w:color w:val="FFFFFF"/>
              </w:rPr>
              <w:t>EAR</w:t>
            </w:r>
          </w:p>
        </w:tc>
        <w:tc>
          <w:tcPr>
            <w:tcW w:w="1120" w:type="dxa"/>
            <w:vAlign w:val="bottom"/>
            <w:shd w:val="clear" w:color="auto" w:fill="4DC1E4"/>
          </w:tcPr>
          <w:p>
            <w:pPr>
              <w:jc w:val="right"/>
              <w:ind w:right="228"/>
              <w:spacing w:after="0" w:line="174"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ALARY</w:t>
            </w:r>
          </w:p>
        </w:tc>
        <w:tc>
          <w:tcPr>
            <w:tcW w:w="880" w:type="dxa"/>
            <w:vAlign w:val="bottom"/>
            <w:shd w:val="clear" w:color="auto" w:fill="4DC1E4"/>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FFFFFF"/>
              </w:rPr>
              <w:t>B</w:t>
            </w:r>
            <w:r>
              <w:rPr>
                <w:rFonts w:ascii="Times New Roman" w:cs="Times New Roman" w:eastAsia="Times New Roman" w:hAnsi="Times New Roman"/>
                <w:sz w:val="12"/>
                <w:szCs w:val="12"/>
                <w:b w:val="1"/>
                <w:bCs w:val="1"/>
                <w:color w:val="FFFFFF"/>
              </w:rPr>
              <w:t>ONUS</w:t>
            </w:r>
          </w:p>
        </w:tc>
        <w:tc>
          <w:tcPr>
            <w:tcW w:w="380" w:type="dxa"/>
            <w:vAlign w:val="bottom"/>
            <w:shd w:val="clear" w:color="auto" w:fill="4DC1E4"/>
          </w:tcPr>
          <w:p>
            <w:pPr>
              <w:spacing w:after="0"/>
              <w:rPr>
                <w:sz w:val="15"/>
                <w:szCs w:val="15"/>
                <w:color w:val="auto"/>
              </w:rPr>
            </w:pPr>
          </w:p>
        </w:tc>
        <w:tc>
          <w:tcPr>
            <w:tcW w:w="1160" w:type="dxa"/>
            <w:vAlign w:val="bottom"/>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180" w:type="dxa"/>
            <w:vAlign w:val="bottom"/>
            <w:shd w:val="clear" w:color="auto" w:fill="4DC1E4"/>
          </w:tcPr>
          <w:p>
            <w:pPr>
              <w:jc w:val="center"/>
              <w:ind w:left="47"/>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500" w:type="dxa"/>
            <w:vAlign w:val="bottom"/>
            <w:gridSpan w:val="2"/>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C</w:t>
            </w:r>
            <w:r>
              <w:rPr>
                <w:rFonts w:ascii="Times New Roman" w:cs="Times New Roman" w:eastAsia="Times New Roman" w:hAnsi="Times New Roman"/>
                <w:sz w:val="12"/>
                <w:szCs w:val="12"/>
                <w:b w:val="1"/>
                <w:bCs w:val="1"/>
                <w:color w:val="FFFFFF"/>
              </w:rPr>
              <w:t>OMPENSATION</w:t>
            </w:r>
          </w:p>
        </w:tc>
        <w:tc>
          <w:tcPr>
            <w:tcW w:w="1180" w:type="dxa"/>
            <w:vAlign w:val="bottom"/>
            <w:tcBorders>
              <w:right w:val="single" w:sz="8" w:color="auto"/>
            </w:tcBorders>
            <w:shd w:val="clear" w:color="auto" w:fill="4DC1E4"/>
          </w:tcPr>
          <w:p>
            <w:pPr>
              <w:jc w:val="right"/>
              <w:ind w:right="288"/>
              <w:spacing w:after="0" w:line="174" w:lineRule="exact"/>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OTAL</w:t>
            </w:r>
          </w:p>
        </w:tc>
        <w:tc>
          <w:tcPr>
            <w:tcW w:w="0" w:type="dxa"/>
            <w:vAlign w:val="bottom"/>
          </w:tcPr>
          <w:p>
            <w:pPr>
              <w:spacing w:after="0"/>
              <w:rPr>
                <w:sz w:val="1"/>
                <w:szCs w:val="1"/>
                <w:color w:val="auto"/>
              </w:rPr>
            </w:pPr>
          </w:p>
        </w:tc>
      </w:tr>
      <w:tr>
        <w:trPr>
          <w:trHeight w:val="219"/>
        </w:trPr>
        <w:tc>
          <w:tcPr>
            <w:tcW w:w="2920" w:type="dxa"/>
            <w:vAlign w:val="bottom"/>
            <w:tcBorders>
              <w:left w:val="single" w:sz="8" w:color="auto"/>
              <w:bottom w:val="single" w:sz="8" w:color="4DC1E4"/>
            </w:tcBorders>
            <w:vMerge w:val="continue"/>
            <w:shd w:val="clear" w:color="auto" w:fill="4DC1E4"/>
          </w:tcPr>
          <w:p>
            <w:pPr>
              <w:spacing w:after="0"/>
              <w:rPr>
                <w:sz w:val="18"/>
                <w:szCs w:val="18"/>
                <w:color w:val="auto"/>
              </w:rPr>
            </w:pPr>
          </w:p>
        </w:tc>
        <w:tc>
          <w:tcPr>
            <w:tcW w:w="920" w:type="dxa"/>
            <w:vAlign w:val="bottom"/>
            <w:vMerge w:val="continue"/>
            <w:shd w:val="clear" w:color="auto" w:fill="4DC1E4"/>
          </w:tcPr>
          <w:p>
            <w:pPr>
              <w:spacing w:after="0"/>
              <w:rPr>
                <w:sz w:val="18"/>
                <w:szCs w:val="18"/>
                <w:color w:val="auto"/>
              </w:rPr>
            </w:pPr>
          </w:p>
        </w:tc>
        <w:tc>
          <w:tcPr>
            <w:tcW w:w="1120" w:type="dxa"/>
            <w:vAlign w:val="bottom"/>
            <w:shd w:val="clear" w:color="auto" w:fill="4DC1E4"/>
          </w:tcPr>
          <w:p>
            <w:pPr>
              <w:jc w:val="right"/>
              <w:ind w:right="428"/>
              <w:spacing w:after="0"/>
              <w:rPr>
                <w:sz w:val="20"/>
                <w:szCs w:val="20"/>
                <w:color w:val="auto"/>
              </w:rPr>
            </w:pPr>
            <w:r>
              <w:rPr>
                <w:rFonts w:ascii="Times New Roman" w:cs="Times New Roman" w:eastAsia="Times New Roman" w:hAnsi="Times New Roman"/>
                <w:sz w:val="13"/>
                <w:szCs w:val="13"/>
                <w:b w:val="1"/>
                <w:bCs w:val="1"/>
                <w:color w:val="FFFFFF"/>
              </w:rPr>
              <w:t>($)</w:t>
            </w:r>
          </w:p>
        </w:tc>
        <w:tc>
          <w:tcPr>
            <w:tcW w:w="880" w:type="dxa"/>
            <w:vAlign w:val="bottom"/>
            <w:shd w:val="clear" w:color="auto" w:fill="4DC1E4"/>
          </w:tcPr>
          <w:p>
            <w:pPr>
              <w:jc w:val="right"/>
              <w:ind w:right="108"/>
              <w:spacing w:after="0"/>
              <w:rPr>
                <w:sz w:val="20"/>
                <w:szCs w:val="20"/>
                <w:color w:val="auto"/>
              </w:rPr>
            </w:pPr>
            <w:r>
              <w:rPr>
                <w:rFonts w:ascii="Times New Roman" w:cs="Times New Roman" w:eastAsia="Times New Roman" w:hAnsi="Times New Roman"/>
                <w:sz w:val="13"/>
                <w:szCs w:val="13"/>
                <w:b w:val="1"/>
                <w:bCs w:val="1"/>
                <w:color w:val="FFFFFF"/>
              </w:rPr>
              <w:t>($)</w:t>
            </w:r>
          </w:p>
        </w:tc>
        <w:tc>
          <w:tcPr>
            <w:tcW w:w="380" w:type="dxa"/>
            <w:vAlign w:val="bottom"/>
            <w:shd w:val="clear" w:color="auto" w:fill="4DC1E4"/>
          </w:tcPr>
          <w:p>
            <w:pPr>
              <w:spacing w:after="0"/>
              <w:rPr>
                <w:sz w:val="18"/>
                <w:szCs w:val="18"/>
                <w:color w:val="auto"/>
              </w:rPr>
            </w:pPr>
          </w:p>
        </w:tc>
        <w:tc>
          <w:tcPr>
            <w:tcW w:w="116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94"/>
              </w:rPr>
              <w:t>($)</w:t>
            </w:r>
            <w:r>
              <w:rPr>
                <w:rFonts w:ascii="Times New Roman" w:cs="Times New Roman" w:eastAsia="Times New Roman" w:hAnsi="Times New Roman"/>
                <w:sz w:val="16"/>
                <w:szCs w:val="16"/>
                <w:b w:val="1"/>
                <w:bCs w:val="1"/>
                <w:color w:val="FFFFFF"/>
                <w:w w:val="94"/>
                <w:vertAlign w:val="superscript"/>
              </w:rPr>
              <w:t>(1)</w:t>
            </w:r>
          </w:p>
        </w:tc>
        <w:tc>
          <w:tcPr>
            <w:tcW w:w="1180" w:type="dxa"/>
            <w:vAlign w:val="bottom"/>
            <w:shd w:val="clear" w:color="auto" w:fill="4DC1E4"/>
          </w:tcPr>
          <w:p>
            <w:pPr>
              <w:jc w:val="center"/>
              <w:ind w:left="27"/>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960" w:type="dxa"/>
            <w:vAlign w:val="bottom"/>
            <w:shd w:val="clear" w:color="auto" w:fill="4DC1E4"/>
          </w:tcPr>
          <w:p>
            <w:pPr>
              <w:jc w:val="center"/>
              <w:ind w:left="487"/>
              <w:spacing w:after="0"/>
              <w:rPr>
                <w:sz w:val="20"/>
                <w:szCs w:val="20"/>
                <w:color w:val="auto"/>
              </w:rPr>
            </w:pPr>
            <w:r>
              <w:rPr>
                <w:rFonts w:ascii="Times New Roman" w:cs="Times New Roman" w:eastAsia="Times New Roman" w:hAnsi="Times New Roman"/>
                <w:sz w:val="13"/>
                <w:szCs w:val="13"/>
                <w:b w:val="1"/>
                <w:bCs w:val="1"/>
                <w:color w:val="FFFFFF"/>
              </w:rPr>
              <w:t>($)</w:t>
            </w:r>
          </w:p>
        </w:tc>
        <w:tc>
          <w:tcPr>
            <w:tcW w:w="540" w:type="dxa"/>
            <w:vAlign w:val="bottom"/>
            <w:shd w:val="clear" w:color="auto" w:fill="4DC1E4"/>
          </w:tcPr>
          <w:p>
            <w:pPr>
              <w:spacing w:after="0"/>
              <w:rPr>
                <w:sz w:val="18"/>
                <w:szCs w:val="18"/>
                <w:color w:val="auto"/>
              </w:rPr>
            </w:pPr>
          </w:p>
        </w:tc>
        <w:tc>
          <w:tcPr>
            <w:tcW w:w="1180" w:type="dxa"/>
            <w:vAlign w:val="bottom"/>
            <w:tcBorders>
              <w:right w:val="single" w:sz="8" w:color="auto"/>
            </w:tcBorders>
            <w:shd w:val="clear" w:color="auto" w:fill="4DC1E4"/>
          </w:tcPr>
          <w:p>
            <w:pPr>
              <w:jc w:val="right"/>
              <w:ind w:right="448"/>
              <w:spacing w:after="0"/>
              <w:rPr>
                <w:sz w:val="20"/>
                <w:szCs w:val="20"/>
                <w:color w:val="auto"/>
              </w:rPr>
            </w:pPr>
            <w:r>
              <w:rPr>
                <w:rFonts w:ascii="Times New Roman" w:cs="Times New Roman" w:eastAsia="Times New Roman" w:hAnsi="Times New Roman"/>
                <w:sz w:val="13"/>
                <w:szCs w:val="13"/>
                <w:b w:val="1"/>
                <w:bCs w:val="1"/>
                <w:color w:val="FFFFFF"/>
              </w:rPr>
              <w:t>($)</w:t>
            </w:r>
          </w:p>
        </w:tc>
        <w:tc>
          <w:tcPr>
            <w:tcW w:w="0" w:type="dxa"/>
            <w:vAlign w:val="bottom"/>
          </w:tcPr>
          <w:p>
            <w:pPr>
              <w:spacing w:after="0"/>
              <w:rPr>
                <w:sz w:val="1"/>
                <w:szCs w:val="1"/>
                <w:color w:val="auto"/>
              </w:rPr>
            </w:pPr>
          </w:p>
        </w:tc>
      </w:tr>
      <w:tr>
        <w:trPr>
          <w:trHeight w:val="135"/>
        </w:trPr>
        <w:tc>
          <w:tcPr>
            <w:tcW w:w="2920" w:type="dxa"/>
            <w:vAlign w:val="bottom"/>
            <w:tcBorders>
              <w:left w:val="single" w:sz="8" w:color="auto"/>
            </w:tcBorders>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Carole S. Ben-Maimon, M.D.</w:t>
            </w:r>
          </w:p>
        </w:tc>
        <w:tc>
          <w:tcPr>
            <w:tcW w:w="920" w:type="dxa"/>
            <w:vAlign w:val="bottom"/>
          </w:tcPr>
          <w:p>
            <w:pPr>
              <w:jc w:val="right"/>
              <w:ind w:right="147"/>
              <w:spacing w:after="0" w:line="135"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ind w:right="368"/>
              <w:spacing w:after="0" w:line="135" w:lineRule="exact"/>
              <w:rPr>
                <w:sz w:val="20"/>
                <w:szCs w:val="20"/>
                <w:color w:val="auto"/>
              </w:rPr>
            </w:pPr>
            <w:r>
              <w:rPr>
                <w:rFonts w:ascii="Times New Roman" w:cs="Times New Roman" w:eastAsia="Times New Roman" w:hAnsi="Times New Roman"/>
                <w:sz w:val="14"/>
                <w:szCs w:val="14"/>
                <w:color w:val="auto"/>
              </w:rPr>
              <w:t>600,000</w:t>
            </w:r>
          </w:p>
        </w:tc>
        <w:tc>
          <w:tcPr>
            <w:tcW w:w="88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rPr>
              <w:t>285,000</w:t>
            </w:r>
          </w:p>
        </w:tc>
        <w:tc>
          <w:tcPr>
            <w:tcW w:w="380" w:type="dxa"/>
            <w:vAlign w:val="bottom"/>
          </w:tcPr>
          <w:p>
            <w:pPr>
              <w:jc w:val="right"/>
              <w:ind w:right="194"/>
              <w:spacing w:after="0" w:line="65" w:lineRule="exact"/>
              <w:rPr>
                <w:sz w:val="20"/>
                <w:szCs w:val="20"/>
                <w:color w:val="auto"/>
              </w:rPr>
            </w:pPr>
            <w:r>
              <w:rPr>
                <w:rFonts w:ascii="Calibri" w:cs="Calibri" w:eastAsia="Calibri" w:hAnsi="Calibri"/>
                <w:sz w:val="7"/>
                <w:szCs w:val="7"/>
                <w:color w:val="auto"/>
              </w:rPr>
              <w:t>(2)</w:t>
            </w:r>
          </w:p>
        </w:tc>
        <w:tc>
          <w:tcPr>
            <w:tcW w:w="1160" w:type="dxa"/>
            <w:vAlign w:val="bottom"/>
          </w:tcPr>
          <w:p>
            <w:pPr>
              <w:jc w:val="right"/>
              <w:ind w:right="287"/>
              <w:spacing w:after="0" w:line="135" w:lineRule="exact"/>
              <w:rPr>
                <w:sz w:val="20"/>
                <w:szCs w:val="20"/>
                <w:color w:val="auto"/>
              </w:rPr>
            </w:pPr>
            <w:r>
              <w:rPr>
                <w:rFonts w:ascii="Times New Roman" w:cs="Times New Roman" w:eastAsia="Times New Roman" w:hAnsi="Times New Roman"/>
                <w:sz w:val="14"/>
                <w:szCs w:val="14"/>
                <w:color w:val="auto"/>
              </w:rPr>
              <w:t>278,386</w:t>
            </w:r>
          </w:p>
        </w:tc>
        <w:tc>
          <w:tcPr>
            <w:tcW w:w="1180" w:type="dxa"/>
            <w:vAlign w:val="bottom"/>
          </w:tcPr>
          <w:p>
            <w:pPr>
              <w:jc w:val="right"/>
              <w:ind w:right="247"/>
              <w:spacing w:after="0" w:line="135" w:lineRule="exact"/>
              <w:rPr>
                <w:sz w:val="20"/>
                <w:szCs w:val="20"/>
                <w:color w:val="auto"/>
              </w:rPr>
            </w:pPr>
            <w:r>
              <w:rPr>
                <w:rFonts w:ascii="Times New Roman" w:cs="Times New Roman" w:eastAsia="Times New Roman" w:hAnsi="Times New Roman"/>
                <w:sz w:val="14"/>
                <w:szCs w:val="14"/>
                <w:color w:val="auto"/>
              </w:rPr>
              <w:t>1,327,605</w:t>
            </w:r>
          </w:p>
        </w:tc>
        <w:tc>
          <w:tcPr>
            <w:tcW w:w="960" w:type="dxa"/>
            <w:vAlign w:val="bottom"/>
          </w:tcPr>
          <w:p>
            <w:pPr>
              <w:jc w:val="right"/>
              <w:ind w:right="7"/>
              <w:spacing w:after="0" w:line="135" w:lineRule="exact"/>
              <w:rPr>
                <w:sz w:val="20"/>
                <w:szCs w:val="20"/>
                <w:color w:val="auto"/>
              </w:rPr>
            </w:pPr>
            <w:r>
              <w:rPr>
                <w:rFonts w:ascii="Times New Roman" w:cs="Times New Roman" w:eastAsia="Times New Roman" w:hAnsi="Times New Roman"/>
                <w:sz w:val="14"/>
                <w:szCs w:val="14"/>
                <w:color w:val="auto"/>
              </w:rPr>
              <w:t>20,658</w:t>
            </w:r>
          </w:p>
        </w:tc>
        <w:tc>
          <w:tcPr>
            <w:tcW w:w="540" w:type="dxa"/>
            <w:vAlign w:val="bottom"/>
          </w:tcPr>
          <w:p>
            <w:pPr>
              <w:jc w:val="right"/>
              <w:ind w:right="313"/>
              <w:spacing w:after="0" w:line="70" w:lineRule="exact"/>
              <w:rPr>
                <w:sz w:val="20"/>
                <w:szCs w:val="20"/>
                <w:color w:val="auto"/>
              </w:rPr>
            </w:pPr>
            <w:r>
              <w:rPr>
                <w:rFonts w:ascii="Times New Roman" w:cs="Times New Roman" w:eastAsia="Times New Roman" w:hAnsi="Times New Roman"/>
                <w:sz w:val="8"/>
                <w:szCs w:val="8"/>
                <w:color w:val="auto"/>
              </w:rPr>
              <w:t>(3)</w:t>
            </w:r>
          </w:p>
        </w:tc>
        <w:tc>
          <w:tcPr>
            <w:tcW w:w="1180" w:type="dxa"/>
            <w:vAlign w:val="bottom"/>
            <w:tcBorders>
              <w:right w:val="single" w:sz="8" w:color="auto"/>
            </w:tcBorders>
          </w:tcPr>
          <w:p>
            <w:pPr>
              <w:jc w:val="right"/>
              <w:ind w:right="348"/>
              <w:spacing w:after="0" w:line="135" w:lineRule="exact"/>
              <w:rPr>
                <w:sz w:val="20"/>
                <w:szCs w:val="20"/>
                <w:color w:val="auto"/>
              </w:rPr>
            </w:pPr>
            <w:r>
              <w:rPr>
                <w:rFonts w:ascii="Times New Roman" w:cs="Times New Roman" w:eastAsia="Times New Roman" w:hAnsi="Times New Roman"/>
                <w:sz w:val="14"/>
                <w:szCs w:val="14"/>
                <w:color w:val="auto"/>
              </w:rPr>
              <w:t>2,511,649</w:t>
            </w: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920" w:type="dxa"/>
            <w:vAlign w:val="bottom"/>
          </w:tcPr>
          <w:p>
            <w:pPr>
              <w:jc w:val="right"/>
              <w:ind w:right="147"/>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560,000</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288,400</w:t>
            </w:r>
          </w:p>
        </w:tc>
        <w:tc>
          <w:tcPr>
            <w:tcW w:w="380" w:type="dxa"/>
            <w:vAlign w:val="bottom"/>
          </w:tcPr>
          <w:p>
            <w:pPr>
              <w:jc w:val="right"/>
              <w:ind w:right="194"/>
              <w:spacing w:after="0" w:line="119" w:lineRule="exact"/>
              <w:rPr>
                <w:sz w:val="20"/>
                <w:szCs w:val="20"/>
                <w:color w:val="auto"/>
              </w:rPr>
            </w:pPr>
            <w:r>
              <w:rPr>
                <w:rFonts w:ascii="Calibri" w:cs="Calibri" w:eastAsia="Calibri" w:hAnsi="Calibri"/>
                <w:sz w:val="10"/>
                <w:szCs w:val="10"/>
                <w:color w:val="auto"/>
              </w:rPr>
              <w:t>(4)</w:t>
            </w:r>
          </w:p>
        </w:tc>
        <w:tc>
          <w:tcPr>
            <w:tcW w:w="1160" w:type="dxa"/>
            <w:vAlign w:val="bottom"/>
          </w:tcPr>
          <w:p>
            <w:pPr>
              <w:jc w:val="right"/>
              <w:ind w:right="287"/>
              <w:spacing w:after="0"/>
              <w:rPr>
                <w:sz w:val="20"/>
                <w:szCs w:val="20"/>
                <w:color w:val="auto"/>
              </w:rPr>
            </w:pPr>
            <w:r>
              <w:rPr>
                <w:rFonts w:ascii="Times New Roman" w:cs="Times New Roman" w:eastAsia="Times New Roman" w:hAnsi="Times New Roman"/>
                <w:sz w:val="14"/>
                <w:szCs w:val="14"/>
                <w:color w:val="auto"/>
              </w:rPr>
              <w:t>1,012,700</w:t>
            </w:r>
          </w:p>
        </w:tc>
        <w:tc>
          <w:tcPr>
            <w:tcW w:w="118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auto"/>
              </w:rPr>
              <w:t>1,259,733</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16,599</w:t>
            </w:r>
          </w:p>
        </w:tc>
        <w:tc>
          <w:tcPr>
            <w:tcW w:w="540" w:type="dxa"/>
            <w:vAlign w:val="bottom"/>
          </w:tcPr>
          <w:p>
            <w:pPr>
              <w:jc w:val="right"/>
              <w:ind w:right="313"/>
              <w:spacing w:after="0"/>
              <w:rPr>
                <w:sz w:val="20"/>
                <w:szCs w:val="20"/>
                <w:color w:val="auto"/>
              </w:rPr>
            </w:pPr>
            <w:r>
              <w:rPr>
                <w:rFonts w:ascii="Times New Roman" w:cs="Times New Roman" w:eastAsia="Times New Roman" w:hAnsi="Times New Roman"/>
                <w:sz w:val="10"/>
                <w:szCs w:val="10"/>
                <w:color w:val="auto"/>
              </w:rPr>
              <w:t>(5)</w:t>
            </w:r>
          </w:p>
        </w:tc>
        <w:tc>
          <w:tcPr>
            <w:tcW w:w="1180" w:type="dxa"/>
            <w:vAlign w:val="bottom"/>
            <w:tcBorders>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3,137,431</w:t>
            </w: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Michael Celano</w:t>
            </w:r>
          </w:p>
        </w:tc>
        <w:tc>
          <w:tcPr>
            <w:tcW w:w="920" w:type="dxa"/>
            <w:vAlign w:val="bottom"/>
          </w:tcPr>
          <w:p>
            <w:pPr>
              <w:jc w:val="right"/>
              <w:ind w:right="147"/>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441,932</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167,934</w:t>
            </w:r>
          </w:p>
        </w:tc>
        <w:tc>
          <w:tcPr>
            <w:tcW w:w="380" w:type="dxa"/>
            <w:vAlign w:val="bottom"/>
          </w:tcPr>
          <w:p>
            <w:pPr>
              <w:jc w:val="right"/>
              <w:ind w:right="194"/>
              <w:spacing w:after="0" w:line="119" w:lineRule="exact"/>
              <w:rPr>
                <w:sz w:val="20"/>
                <w:szCs w:val="20"/>
                <w:color w:val="auto"/>
              </w:rPr>
            </w:pPr>
            <w:r>
              <w:rPr>
                <w:rFonts w:ascii="Calibri" w:cs="Calibri" w:eastAsia="Calibri" w:hAnsi="Calibri"/>
                <w:sz w:val="10"/>
                <w:szCs w:val="10"/>
                <w:color w:val="auto"/>
              </w:rPr>
              <w:t>(2)</w:t>
            </w:r>
          </w:p>
        </w:tc>
        <w:tc>
          <w:tcPr>
            <w:tcW w:w="1160" w:type="dxa"/>
            <w:vAlign w:val="bottom"/>
          </w:tcPr>
          <w:p>
            <w:pPr>
              <w:jc w:val="right"/>
              <w:ind w:right="287"/>
              <w:spacing w:after="0"/>
              <w:rPr>
                <w:sz w:val="20"/>
                <w:szCs w:val="20"/>
                <w:color w:val="auto"/>
              </w:rPr>
            </w:pPr>
            <w:r>
              <w:rPr>
                <w:rFonts w:ascii="Times New Roman" w:cs="Times New Roman" w:eastAsia="Times New Roman" w:hAnsi="Times New Roman"/>
                <w:sz w:val="14"/>
                <w:szCs w:val="14"/>
                <w:color w:val="auto"/>
              </w:rPr>
              <w:t>131,563</w:t>
            </w:r>
          </w:p>
        </w:tc>
        <w:tc>
          <w:tcPr>
            <w:tcW w:w="118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auto"/>
              </w:rPr>
              <w:t>627,413</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15,863</w:t>
            </w:r>
          </w:p>
        </w:tc>
        <w:tc>
          <w:tcPr>
            <w:tcW w:w="540" w:type="dxa"/>
            <w:vAlign w:val="bottom"/>
          </w:tcPr>
          <w:p>
            <w:pPr>
              <w:jc w:val="right"/>
              <w:ind w:right="313"/>
              <w:spacing w:after="0"/>
              <w:rPr>
                <w:sz w:val="20"/>
                <w:szCs w:val="20"/>
                <w:color w:val="auto"/>
              </w:rPr>
            </w:pPr>
            <w:r>
              <w:rPr>
                <w:rFonts w:ascii="Times New Roman" w:cs="Times New Roman" w:eastAsia="Times New Roman" w:hAnsi="Times New Roman"/>
                <w:sz w:val="10"/>
                <w:szCs w:val="10"/>
                <w:color w:val="auto"/>
              </w:rPr>
              <w:t>(6)</w:t>
            </w:r>
          </w:p>
        </w:tc>
        <w:tc>
          <w:tcPr>
            <w:tcW w:w="1180" w:type="dxa"/>
            <w:vAlign w:val="bottom"/>
            <w:tcBorders>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1,384,705</w:t>
            </w: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Chief Financial Officer and Secretary</w:t>
            </w:r>
          </w:p>
        </w:tc>
        <w:tc>
          <w:tcPr>
            <w:tcW w:w="920" w:type="dxa"/>
            <w:vAlign w:val="bottom"/>
          </w:tcPr>
          <w:p>
            <w:pPr>
              <w:jc w:val="right"/>
              <w:ind w:right="147"/>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401,000</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165,034</w:t>
            </w:r>
          </w:p>
        </w:tc>
        <w:tc>
          <w:tcPr>
            <w:tcW w:w="380" w:type="dxa"/>
            <w:vAlign w:val="bottom"/>
          </w:tcPr>
          <w:p>
            <w:pPr>
              <w:jc w:val="right"/>
              <w:ind w:right="194"/>
              <w:spacing w:after="0" w:line="119" w:lineRule="exact"/>
              <w:rPr>
                <w:sz w:val="20"/>
                <w:szCs w:val="20"/>
                <w:color w:val="auto"/>
              </w:rPr>
            </w:pPr>
            <w:r>
              <w:rPr>
                <w:rFonts w:ascii="Calibri" w:cs="Calibri" w:eastAsia="Calibri" w:hAnsi="Calibri"/>
                <w:sz w:val="10"/>
                <w:szCs w:val="10"/>
                <w:color w:val="auto"/>
              </w:rPr>
              <w:t>(4)</w:t>
            </w:r>
          </w:p>
        </w:tc>
        <w:tc>
          <w:tcPr>
            <w:tcW w:w="1160" w:type="dxa"/>
            <w:vAlign w:val="bottom"/>
          </w:tcPr>
          <w:p>
            <w:pPr>
              <w:jc w:val="right"/>
              <w:ind w:right="287"/>
              <w:spacing w:after="0"/>
              <w:rPr>
                <w:sz w:val="20"/>
                <w:szCs w:val="20"/>
                <w:color w:val="auto"/>
              </w:rPr>
            </w:pPr>
            <w:r>
              <w:rPr>
                <w:rFonts w:ascii="Times New Roman" w:cs="Times New Roman" w:eastAsia="Times New Roman" w:hAnsi="Times New Roman"/>
                <w:sz w:val="14"/>
                <w:szCs w:val="14"/>
                <w:color w:val="auto"/>
              </w:rPr>
              <w:t>375,440</w:t>
            </w:r>
          </w:p>
        </w:tc>
        <w:tc>
          <w:tcPr>
            <w:tcW w:w="118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auto"/>
              </w:rPr>
              <w:t>465,132</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11,545</w:t>
            </w:r>
          </w:p>
        </w:tc>
        <w:tc>
          <w:tcPr>
            <w:tcW w:w="540" w:type="dxa"/>
            <w:vAlign w:val="bottom"/>
          </w:tcPr>
          <w:p>
            <w:pPr>
              <w:jc w:val="right"/>
              <w:ind w:right="313"/>
              <w:spacing w:after="0"/>
              <w:rPr>
                <w:sz w:val="20"/>
                <w:szCs w:val="20"/>
                <w:color w:val="auto"/>
              </w:rPr>
            </w:pPr>
            <w:r>
              <w:rPr>
                <w:rFonts w:ascii="Times New Roman" w:cs="Times New Roman" w:eastAsia="Times New Roman" w:hAnsi="Times New Roman"/>
                <w:sz w:val="10"/>
                <w:szCs w:val="10"/>
                <w:color w:val="auto"/>
              </w:rPr>
              <w:t>(7)</w:t>
            </w:r>
          </w:p>
        </w:tc>
        <w:tc>
          <w:tcPr>
            <w:tcW w:w="1180" w:type="dxa"/>
            <w:vAlign w:val="bottom"/>
            <w:tcBorders>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1,418,152</w:t>
            </w: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Gopi Shankar, Ph.D., MBA, FAAPS</w:t>
            </w:r>
          </w:p>
        </w:tc>
        <w:tc>
          <w:tcPr>
            <w:tcW w:w="920" w:type="dxa"/>
            <w:vAlign w:val="bottom"/>
          </w:tcPr>
          <w:p>
            <w:pPr>
              <w:jc w:val="right"/>
              <w:ind w:right="147"/>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440,583</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167,421</w:t>
            </w:r>
          </w:p>
        </w:tc>
        <w:tc>
          <w:tcPr>
            <w:tcW w:w="380" w:type="dxa"/>
            <w:vAlign w:val="bottom"/>
          </w:tcPr>
          <w:p>
            <w:pPr>
              <w:jc w:val="right"/>
              <w:ind w:right="194"/>
              <w:spacing w:after="0" w:line="119" w:lineRule="exact"/>
              <w:rPr>
                <w:sz w:val="20"/>
                <w:szCs w:val="20"/>
                <w:color w:val="auto"/>
              </w:rPr>
            </w:pPr>
            <w:r>
              <w:rPr>
                <w:rFonts w:ascii="Calibri" w:cs="Calibri" w:eastAsia="Calibri" w:hAnsi="Calibri"/>
                <w:sz w:val="10"/>
                <w:szCs w:val="10"/>
                <w:color w:val="auto"/>
              </w:rPr>
              <w:t>(2)</w:t>
            </w:r>
          </w:p>
        </w:tc>
        <w:tc>
          <w:tcPr>
            <w:tcW w:w="1160" w:type="dxa"/>
            <w:vAlign w:val="bottom"/>
          </w:tcPr>
          <w:p>
            <w:pPr>
              <w:jc w:val="right"/>
              <w:ind w:right="287"/>
              <w:spacing w:after="0"/>
              <w:rPr>
                <w:sz w:val="20"/>
                <w:szCs w:val="20"/>
                <w:color w:val="auto"/>
              </w:rPr>
            </w:pPr>
            <w:r>
              <w:rPr>
                <w:rFonts w:ascii="Times New Roman" w:cs="Times New Roman" w:eastAsia="Times New Roman" w:hAnsi="Times New Roman"/>
                <w:sz w:val="14"/>
                <w:szCs w:val="14"/>
                <w:color w:val="auto"/>
              </w:rPr>
              <w:t>94,725</w:t>
            </w:r>
          </w:p>
        </w:tc>
        <w:tc>
          <w:tcPr>
            <w:tcW w:w="118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auto"/>
              </w:rPr>
              <w:t>451,737</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10,660</w:t>
            </w:r>
          </w:p>
        </w:tc>
        <w:tc>
          <w:tcPr>
            <w:tcW w:w="540" w:type="dxa"/>
            <w:vAlign w:val="bottom"/>
          </w:tcPr>
          <w:p>
            <w:pPr>
              <w:jc w:val="right"/>
              <w:ind w:right="313"/>
              <w:spacing w:after="0"/>
              <w:rPr>
                <w:sz w:val="20"/>
                <w:szCs w:val="20"/>
                <w:color w:val="auto"/>
              </w:rPr>
            </w:pPr>
            <w:r>
              <w:rPr>
                <w:rFonts w:ascii="Times New Roman" w:cs="Times New Roman" w:eastAsia="Times New Roman" w:hAnsi="Times New Roman"/>
                <w:sz w:val="10"/>
                <w:szCs w:val="10"/>
                <w:color w:val="auto"/>
              </w:rPr>
              <w:t>(8)</w:t>
            </w:r>
          </w:p>
        </w:tc>
        <w:tc>
          <w:tcPr>
            <w:tcW w:w="1180" w:type="dxa"/>
            <w:vAlign w:val="bottom"/>
            <w:tcBorders>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1,165,126</w:t>
            </w:r>
          </w:p>
        </w:tc>
        <w:tc>
          <w:tcPr>
            <w:tcW w:w="0" w:type="dxa"/>
            <w:vAlign w:val="bottom"/>
          </w:tcPr>
          <w:p>
            <w:pPr>
              <w:spacing w:after="0"/>
              <w:rPr>
                <w:sz w:val="1"/>
                <w:szCs w:val="1"/>
                <w:color w:val="auto"/>
              </w:rPr>
            </w:pPr>
          </w:p>
        </w:tc>
      </w:tr>
      <w:tr>
        <w:trPr>
          <w:trHeight w:val="230"/>
        </w:trPr>
        <w:tc>
          <w:tcPr>
            <w:tcW w:w="29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Chief Development Officer</w:t>
            </w:r>
          </w:p>
        </w:tc>
        <w:tc>
          <w:tcPr>
            <w:tcW w:w="9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383,144</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157,855</w:t>
            </w:r>
          </w:p>
        </w:tc>
        <w:tc>
          <w:tcPr>
            <w:tcW w:w="380" w:type="dxa"/>
            <w:vAlign w:val="bottom"/>
            <w:tcBorders>
              <w:bottom w:val="single" w:sz="8" w:color="auto"/>
            </w:tcBorders>
          </w:tcPr>
          <w:p>
            <w:pPr>
              <w:jc w:val="right"/>
              <w:ind w:right="194"/>
              <w:spacing w:after="0" w:line="119" w:lineRule="exact"/>
              <w:rPr>
                <w:sz w:val="20"/>
                <w:szCs w:val="20"/>
                <w:color w:val="auto"/>
              </w:rPr>
            </w:pPr>
            <w:r>
              <w:rPr>
                <w:rFonts w:ascii="Calibri" w:cs="Calibri" w:eastAsia="Calibri" w:hAnsi="Calibri"/>
                <w:sz w:val="10"/>
                <w:szCs w:val="10"/>
                <w:color w:val="auto"/>
              </w:rPr>
              <w:t>(4)</w:t>
            </w:r>
          </w:p>
        </w:tc>
        <w:tc>
          <w:tcPr>
            <w:tcW w:w="116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4"/>
                <w:szCs w:val="14"/>
                <w:color w:val="auto"/>
              </w:rPr>
              <w:t>831,996</w:t>
            </w:r>
          </w:p>
        </w:tc>
        <w:tc>
          <w:tcPr>
            <w:tcW w:w="9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8,726</w:t>
            </w:r>
          </w:p>
        </w:tc>
        <w:tc>
          <w:tcPr>
            <w:tcW w:w="5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0"/>
                <w:szCs w:val="10"/>
                <w:color w:val="auto"/>
              </w:rPr>
              <w:t>(9)</w:t>
            </w:r>
          </w:p>
        </w:tc>
        <w:tc>
          <w:tcPr>
            <w:tcW w:w="1180" w:type="dxa"/>
            <w:vAlign w:val="bottom"/>
            <w:tcBorders>
              <w:bottom w:val="single" w:sz="8" w:color="auto"/>
              <w:right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1,381,721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-607695</wp:posOffset>
            </wp:positionV>
            <wp:extent cx="52889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88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-367665</wp:posOffset>
            </wp:positionV>
            <wp:extent cx="52889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88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-128270</wp:posOffset>
            </wp:positionV>
            <wp:extent cx="52889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178" w:lineRule="exact"/>
        <w:rPr>
          <w:sz w:val="20"/>
          <w:szCs w:val="20"/>
          <w:color w:val="auto"/>
        </w:rPr>
      </w:pPr>
    </w:p>
    <w:p>
      <w:pPr>
        <w:jc w:val="both"/>
        <w:ind w:left="780" w:hanging="772"/>
        <w:spacing w:after="0" w:line="254"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restricted stock units and stock option awards determined in accordance with the FASB ASC Topic 718, disregarding the effect of estimated forfeitures related to service-based vesting. The assumptions made in these valuations are included in Note 7 of the Notes to the Consolidated Financial Statements included in our 2024 Annual Report. The amounts reported in this column reflect the accounting cost for these awards and do not correspond to the actual economic value that may be received by the NEO upon the exercise of the stock options or any sale of the underlying shares of common stock.</w:t>
      </w:r>
    </w:p>
    <w:p>
      <w:pPr>
        <w:spacing w:after="0" w:line="3" w:lineRule="exact"/>
        <w:rPr>
          <w:rFonts w:ascii="Times New Roman" w:cs="Times New Roman" w:eastAsia="Times New Roman" w:hAnsi="Times New Roman"/>
          <w:sz w:val="18"/>
          <w:szCs w:val="18"/>
          <w:color w:val="auto"/>
        </w:rPr>
      </w:pPr>
    </w:p>
    <w:p>
      <w:pPr>
        <w:ind w:left="780" w:right="20" w:hanging="772"/>
        <w:spacing w:after="0" w:line="25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2025 based upon 2024 corporate performance, as approved by our Compensation Committee or Board, as applicable.</w:t>
      </w:r>
    </w:p>
    <w:p>
      <w:pPr>
        <w:ind w:left="780" w:right="20" w:hanging="772"/>
        <w:spacing w:after="0" w:line="26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$13,800 and the value of group term life benefits provided by the Company of $6,858.</w:t>
      </w:r>
    </w:p>
    <w:p>
      <w:pPr>
        <w:spacing w:after="0" w:line="29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9" w:name="page30"/>
    <w:bookmarkEnd w:id="29"/>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8" w:lineRule="exact"/>
        <w:rPr>
          <w:sz w:val="20"/>
          <w:szCs w:val="20"/>
          <w:color w:val="auto"/>
        </w:rPr>
      </w:pPr>
    </w:p>
    <w:p>
      <w:pPr>
        <w:ind w:left="780" w:right="20" w:hanging="772"/>
        <w:spacing w:after="0" w:line="261"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2024 based upon 2023 corporate performance, as approved by our Compensation Committee or Board, as applicable.</w:t>
      </w:r>
    </w:p>
    <w:p>
      <w:pPr>
        <w:ind w:left="780" w:right="20" w:hanging="772"/>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$13,200 and the value of group term life benefits provided by the Company of $3,399.</w:t>
      </w:r>
    </w:p>
    <w:p>
      <w:pPr>
        <w:ind w:left="780" w:hanging="772"/>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$3,567 and the value of group term life benefits provided by the Company of $5,343.</w:t>
      </w:r>
    </w:p>
    <w:p>
      <w:pPr>
        <w:ind w:left="780" w:hanging="772"/>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$6,247 and the value of group term life benefits provided by the Company of $5,298.</w:t>
      </w:r>
    </w:p>
    <w:p>
      <w:pPr>
        <w:ind w:left="780" w:hanging="772"/>
        <w:spacing w:after="0" w:line="25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$9,625 and the value of group term life benefits provided by the Company of $1,035.</w:t>
      </w:r>
    </w:p>
    <w:p>
      <w:pPr>
        <w:ind w:left="780" w:hanging="772"/>
        <w:spacing w:after="0" w:line="260"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$7,777 and the value of group term life benefits provided by the Company of $949.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2024 SUMMARY COMPENSATION TABLE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factors necessary to understand the compensation disclosed in the Summary Compensation Table above. Our NEOs generally consists of base salary, annual cash bonus opportunities, long term incentive compensation in the form of equity awards and other benefits,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base salary payable to each NEO is intended to provide a fixed component of compensation reflecting the executive’s skill set, experience, role, responsibilities, and contributions.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our Compensation Committee or Board, as applicable, approved increases to base salaries for Dr. Ben-Maimon, Mr. Celano and Dr. Shankar based on factors evaluated by the Compensation Committee, including performance and reference to the third-party market compensation data provided by our compensation consultant, as necessary to be competitive with our peer group. For 2024, the annual base salary rates for Dr. Ben-Maimon, Mr. Celano and Dr. Shankar, and the changes from their 2023 salaries, were as follows:</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140" w:type="dxa"/>
            <w:vAlign w:val="bottom"/>
            <w:tcBorders>
              <w:top w:val="single" w:sz="8" w:color="auto"/>
            </w:tcBorders>
            <w:shd w:val="clear" w:color="auto" w:fill="4DC1E4"/>
          </w:tcPr>
          <w:p>
            <w:pPr>
              <w:spacing w:after="0"/>
              <w:rPr>
                <w:sz w:val="18"/>
                <w:szCs w:val="18"/>
                <w:color w:val="auto"/>
              </w:rPr>
            </w:pPr>
          </w:p>
        </w:tc>
        <w:tc>
          <w:tcPr>
            <w:tcW w:w="1620" w:type="dxa"/>
            <w:vAlign w:val="bottom"/>
            <w:tcBorders>
              <w:top w:val="single" w:sz="8" w:color="auto"/>
              <w:right w:val="single" w:sz="8" w:color="auto"/>
            </w:tcBorders>
            <w:shd w:val="clear" w:color="auto" w:fill="4DC1E4"/>
          </w:tcPr>
          <w:p>
            <w:pPr>
              <w:spacing w:after="0"/>
              <w:rPr>
                <w:sz w:val="18"/>
                <w:szCs w:val="18"/>
                <w:color w:val="auto"/>
              </w:rPr>
            </w:pPr>
          </w:p>
        </w:tc>
        <w:tc>
          <w:tcPr>
            <w:tcW w:w="1120" w:type="dxa"/>
            <w:vAlign w:val="bottom"/>
            <w:tcBorders>
              <w:top w:val="single" w:sz="8" w:color="auto"/>
            </w:tcBorders>
            <w:shd w:val="clear" w:color="auto" w:fill="4DC1E4"/>
          </w:tcPr>
          <w:p>
            <w:pPr>
              <w:spacing w:after="0"/>
              <w:rPr>
                <w:sz w:val="18"/>
                <w:szCs w:val="18"/>
                <w:color w:val="auto"/>
              </w:rPr>
            </w:pPr>
          </w:p>
        </w:tc>
        <w:tc>
          <w:tcPr>
            <w:tcW w:w="1620" w:type="dxa"/>
            <w:vAlign w:val="bottom"/>
            <w:tcBorders>
              <w:top w:val="single" w:sz="8" w:color="auto"/>
              <w:right w:val="single" w:sz="8" w:color="auto"/>
            </w:tcBorders>
            <w:shd w:val="clear" w:color="auto" w:fill="4DC1E4"/>
          </w:tcPr>
          <w:p>
            <w:pPr>
              <w:spacing w:after="0"/>
              <w:rPr>
                <w:sz w:val="18"/>
                <w:szCs w:val="18"/>
                <w:color w:val="auto"/>
              </w:rPr>
            </w:pPr>
          </w:p>
        </w:tc>
        <w:tc>
          <w:tcPr>
            <w:tcW w:w="2820" w:type="dxa"/>
            <w:vAlign w:val="bottom"/>
            <w:tcBorders>
              <w:top w:val="single" w:sz="8" w:color="auto"/>
              <w:right w:val="single" w:sz="8" w:color="auto"/>
            </w:tcBorders>
            <w:shd w:val="clear" w:color="auto" w:fill="4DC1E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 from 2023 Base Salary</w:t>
            </w:r>
          </w:p>
        </w:tc>
      </w:tr>
      <w:tr>
        <w:trPr>
          <w:trHeight w:val="284"/>
        </w:trPr>
        <w:tc>
          <w:tcPr>
            <w:tcW w:w="2920" w:type="dxa"/>
            <w:vAlign w:val="bottom"/>
            <w:tcBorders>
              <w:left w:val="single" w:sz="8" w:color="auto"/>
              <w:bottom w:val="single" w:sz="8" w:color="4DC1E4"/>
              <w:right w:val="single" w:sz="8" w:color="auto"/>
            </w:tcBorders>
            <w:shd w:val="clear" w:color="auto" w:fill="4DC1E4"/>
          </w:tcPr>
          <w:p>
            <w:pPr>
              <w:ind w:left="1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Borders>
              <w:bottom w:val="single" w:sz="8" w:color="4DC1E4"/>
            </w:tcBorders>
            <w:shd w:val="clear" w:color="auto" w:fill="4DC1E4"/>
          </w:tcPr>
          <w:p>
            <w:pPr>
              <w:spacing w:after="0"/>
              <w:rPr>
                <w:sz w:val="24"/>
                <w:szCs w:val="24"/>
                <w:color w:val="auto"/>
              </w:rPr>
            </w:pPr>
          </w:p>
        </w:tc>
        <w:tc>
          <w:tcPr>
            <w:tcW w:w="1620" w:type="dxa"/>
            <w:vAlign w:val="bottom"/>
            <w:tcBorders>
              <w:bottom w:val="single" w:sz="8" w:color="4DC1E4"/>
              <w:right w:val="single" w:sz="8" w:color="auto"/>
            </w:tcBorders>
            <w:shd w:val="clear" w:color="auto" w:fill="4DC1E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4DC1E4"/>
            </w:tcBorders>
            <w:shd w:val="clear" w:color="auto" w:fill="4DC1E4"/>
          </w:tcPr>
          <w:p>
            <w:pPr>
              <w:spacing w:after="0"/>
              <w:rPr>
                <w:sz w:val="24"/>
                <w:szCs w:val="24"/>
                <w:color w:val="auto"/>
              </w:rPr>
            </w:pPr>
          </w:p>
        </w:tc>
        <w:tc>
          <w:tcPr>
            <w:tcW w:w="1620" w:type="dxa"/>
            <w:vAlign w:val="bottom"/>
            <w:tcBorders>
              <w:bottom w:val="single" w:sz="8" w:color="4DC1E4"/>
              <w:right w:val="single" w:sz="8" w:color="auto"/>
            </w:tcBorders>
            <w:shd w:val="clear" w:color="auto" w:fill="4DC1E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20" w:type="dxa"/>
            <w:vAlign w:val="bottom"/>
            <w:tcBorders>
              <w:bottom w:val="single" w:sz="8" w:color="4DC1E4"/>
              <w:right w:val="single" w:sz="8" w:color="auto"/>
            </w:tcBorders>
            <w:shd w:val="clear" w:color="auto" w:fill="4DC1E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9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Carole S. Ben-Maimon, M.D.</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600,000</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560,000</w:t>
            </w:r>
          </w:p>
        </w:tc>
        <w:tc>
          <w:tcPr>
            <w:tcW w:w="28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2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Celano</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447,000</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401,000</w:t>
            </w:r>
          </w:p>
        </w:tc>
        <w:tc>
          <w:tcPr>
            <w:tcW w:w="28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11 %</w:t>
            </w:r>
          </w:p>
        </w:tc>
      </w:tr>
      <w:tr>
        <w:trPr>
          <w:trHeight w:val="210"/>
        </w:trPr>
        <w:tc>
          <w:tcPr>
            <w:tcW w:w="2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440,583</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383,144</w:t>
            </w:r>
          </w:p>
        </w:tc>
        <w:tc>
          <w:tcPr>
            <w:tcW w:w="28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Bonus Opportunities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NEOs’ performance-based cash bonus opportunity is expressed as a percentage of base salary that can be achieved by meeting predetermined corporate and individual performance objectives. Our Compensation Committee annually approves each of the Chief Financial Officer and Chief Medical Officer’s bonus payout for the year, while the Board annually approves, upon recommendation from the Compensation Committee, the CEO’s bonus payout for the year. The performance-based metrics that are a part of our annual cash incentive program enhance the link between pay and performance for the CEO and our other NEOs. In particular, the compensation opportunity under our annual cash program is at risk.</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annual bonuses for Dr. Ben-Maimon, Mr. Celano and Dr. Shankar were targeted at 50%, 40% and 40% of their respective base salaries. For 2024, they were eligible to earn their annual bonuses pursuant to the achievement of corporate performance goals as previously approved by the Board. These corporate goals primarily included certain advancements in our clinical program, achievement of certain regulatory milestones, raising sufficient capital and certain manufacturing and CMC advances. We exceeded our pre-established goals with respect to raising capital for the year, and in May 2024 achieved our goal for the removal of an FDA clinical hold. In addition, in 2024, we met our target corporate goals for expanding our compliance and regulatory infrastructure to support growth, and achieved 75% of our clinical goals as they relate to CTI-1601. In addition, we applied for and were selected for the FDA's START pilot program described above. In January 2025, after considering these achievements, the Compensation Committee recommended, and the Board approved, the 2024 corporate goals at an overall achievement level of 95%. Following a review of the achievement level, our Compensation Committee approved, and, in the case of Dr. Ben-Maimon, our Compensation Committee recommended and our Board approved, 2024 annual cash bonus payments to each of Dr. Ben-Maimon, Mr. Celano and Dr. Shankar in an amount equal to 95% of their respective target bonus amounts, totaling $285,000, $167,934 and $167,421, respectively.</w:t>
      </w:r>
    </w:p>
    <w:p>
      <w:pPr>
        <w:spacing w:after="0" w:line="30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0" w:name="page31"/>
    <w:bookmarkEnd w:id="30"/>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Incentives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designed the long-term incentive equity opportunity to motivate and reward the Company’s executive officers to achieve multi-year strategic goals and to deliver sustained long-term value to stockholders. Our equity-based incentive awards are also designed to align our interests and the interests of our stockholders with those of our NEOs. Our Board or Compensation Committee, as applicable, approves equity grants.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Consistent with what we believe to be the prevailing market practice for companies in our industry at our stage of development, we have historically used stock options and RSUs to compensate our NEOs in the form of initial new hire grants in connection with the commencement of employment, and thereafter on an annual basis in connection with our annual executive compensation reviews. The Compensation Committee and the Board structured the mix of equity vehicles and the relative weight assigned to each type of award for the following reasons: 1) to motivate stock price appreciation over the long term through stock options, which deliver value only if the stock price increases, and 2) to ensure some amount of value delivery through the RSUs, which were complementary because they have upside potential but deliver some value even during periods of stock price underperformance, while also reinforcing an ownership culture and commitment to the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following a review of the achievement level of our 2023 corporate goals and objectives, our Compensation Committee approved, and, in the case of Dr. Ben-Maimon, our Compensation Committee recommended and our Board approved, equity awards to each of Dr. Ben-Maimon, Mr. Celano and Dr. Shankar.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Committee’s executive equity award strategy for 2024 focused on providing a market competitive number of stock options and RSUs, with the majority of equity awards provided in stock options to ensure that our executives are aligned with stockholder value creation and to ensure that the program reflects pay for performance. The target mix for the value of the annual equity grants was approximately 75% stock options and 25% RSUs.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2024, our Compensation Committee approved, and, in the case of Dr. Ben-Maimon, our Compensation Committee recommended and our Board approved, the following equity grants for each of our NEOs: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940" w:type="dxa"/>
            <w:vAlign w:val="bottom"/>
            <w:tcBorders>
              <w:top w:val="single" w:sz="8" w:color="auto"/>
              <w:left w:val="single" w:sz="8" w:color="auto"/>
              <w:bottom w:val="single" w:sz="8" w:color="4DC1E4"/>
              <w:right w:val="single" w:sz="8" w:color="auto"/>
            </w:tcBorders>
            <w:shd w:val="clear" w:color="auto" w:fill="4DC1E4"/>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40" w:type="dxa"/>
            <w:vAlign w:val="bottom"/>
            <w:tcBorders>
              <w:top w:val="single" w:sz="8" w:color="auto"/>
              <w:bottom w:val="single" w:sz="8" w:color="4DC1E4"/>
              <w:right w:val="single" w:sz="8" w:color="auto"/>
            </w:tcBorders>
            <w:shd w:val="clear" w:color="auto" w:fill="4DC1E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 Options - Number of Shares (#)</w:t>
            </w:r>
          </w:p>
        </w:tc>
        <w:tc>
          <w:tcPr>
            <w:tcW w:w="3660" w:type="dxa"/>
            <w:vAlign w:val="bottom"/>
            <w:tcBorders>
              <w:top w:val="single" w:sz="8" w:color="auto"/>
              <w:bottom w:val="single" w:sz="8" w:color="4DC1E4"/>
              <w:right w:val="single" w:sz="8" w:color="auto"/>
            </w:tcBorders>
            <w:shd w:val="clear" w:color="auto" w:fill="4DC1E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RSUs - Number of Shares (#)</w:t>
            </w:r>
          </w:p>
        </w:tc>
      </w:tr>
      <w:tr>
        <w:trPr>
          <w:trHeight w:val="210"/>
        </w:trPr>
        <w:tc>
          <w:tcPr>
            <w:tcW w:w="3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Carole S. Ben-Maimon, M.D.</w:t>
            </w:r>
          </w:p>
        </w:tc>
        <w:tc>
          <w:tcPr>
            <w:tcW w:w="364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396,750</w:t>
            </w:r>
          </w:p>
        </w:tc>
        <w:tc>
          <w:tcPr>
            <w:tcW w:w="3660" w:type="dxa"/>
            <w:vAlign w:val="bottom"/>
            <w:tcBorders>
              <w:top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66,125</w:t>
            </w:r>
          </w:p>
        </w:tc>
      </w:tr>
      <w:tr>
        <w:trPr>
          <w:trHeight w:val="210"/>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Celano</w:t>
            </w:r>
          </w:p>
        </w:tc>
        <w:tc>
          <w:tcPr>
            <w:tcW w:w="36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187,500</w:t>
            </w:r>
          </w:p>
        </w:tc>
        <w:tc>
          <w:tcPr>
            <w:tcW w:w="366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31,250</w:t>
            </w:r>
          </w:p>
        </w:tc>
      </w:tr>
      <w:tr>
        <w:trPr>
          <w:trHeight w:val="209"/>
        </w:trPr>
        <w:tc>
          <w:tcPr>
            <w:tcW w:w="3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36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135,000</w:t>
            </w:r>
          </w:p>
        </w:tc>
        <w:tc>
          <w:tcPr>
            <w:tcW w:w="366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Compensation Committee’s view, stock options are inherently performance-based, requiring stock price appreciation before there is any value earned, and are a direct and straightforward means of incentivizing our NEOs. In addition, stock options reward our NEOs for increasing stockholder value over the lengthier term of the option, relative to other forms of equity compensation, which we believe aligns well with the biopharmaceutical development cycle which extends for a number of years. Each of the option awards will vest 25% on the first anniversary of the grant date, with the remaining 75% vesting in equal monthly installments on the last day of each of the 36 calendar months immediately following such date, subject to the grantee’s continued service through the applicable vesting dates.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vest in four equal annual installments beginning on the first anniversary of the grant date, subject to the grantee’s continued service through the applicable vesting 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provide broad-based welfare benefits that are available to all our employees, including our NEOs, including health, dental, life, vision and disability insurance. We maintain a 401(k) plan and our NEOs are eligible to participate in that plan on the same terms as our other employees generally. These benefits represent a relatively small portion of the total compensation of our NEOs.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any defined benefit pension plans or nonqualified deferred compensation plans. We do not provide any perquisites to our NEOs.</w:t>
      </w:r>
    </w:p>
    <w:p>
      <w:pPr>
        <w:spacing w:after="0" w:line="34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1" w:name="page32"/>
    <w:bookmarkEnd w:id="31"/>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PLEDGING AND HEDGING POLICIES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we adopted a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NEOs.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2024 YEAR-END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of shares of common stock underlying outstanding plan awards held by each of our NEOs as of December 31,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620" w:type="dxa"/>
            <w:vAlign w:val="bottom"/>
            <w:tcBorders>
              <w:top w:val="single" w:sz="8" w:color="auto"/>
              <w:left w:val="single" w:sz="8" w:color="auto"/>
              <w:bottom w:val="single" w:sz="8" w:color="auto"/>
              <w:right w:val="single" w:sz="8" w:color="auto"/>
            </w:tcBorders>
            <w:shd w:val="clear" w:color="auto" w:fill="4DC1E4"/>
          </w:tcPr>
          <w:p>
            <w:pPr>
              <w:spacing w:after="0"/>
              <w:rPr>
                <w:sz w:val="20"/>
                <w:szCs w:val="20"/>
                <w:color w:val="auto"/>
              </w:rPr>
            </w:pPr>
          </w:p>
        </w:tc>
        <w:tc>
          <w:tcPr>
            <w:tcW w:w="1000" w:type="dxa"/>
            <w:vAlign w:val="bottom"/>
            <w:tcBorders>
              <w:top w:val="single" w:sz="8" w:color="auto"/>
              <w:bottom w:val="single" w:sz="8" w:color="auto"/>
            </w:tcBorders>
            <w:shd w:val="clear" w:color="auto" w:fill="4DC1E4"/>
          </w:tcPr>
          <w:p>
            <w:pPr>
              <w:spacing w:after="0"/>
              <w:rPr>
                <w:sz w:val="20"/>
                <w:szCs w:val="20"/>
                <w:color w:val="auto"/>
              </w:rPr>
            </w:pPr>
          </w:p>
        </w:tc>
        <w:tc>
          <w:tcPr>
            <w:tcW w:w="1180" w:type="dxa"/>
            <w:vAlign w:val="bottom"/>
            <w:tcBorders>
              <w:top w:val="single" w:sz="8" w:color="auto"/>
              <w:bottom w:val="single" w:sz="8" w:color="auto"/>
            </w:tcBorders>
            <w:shd w:val="clear" w:color="auto" w:fill="4DC1E4"/>
          </w:tcPr>
          <w:p>
            <w:pPr>
              <w:spacing w:after="0"/>
              <w:rPr>
                <w:sz w:val="20"/>
                <w:szCs w:val="20"/>
                <w:color w:val="auto"/>
              </w:rPr>
            </w:pPr>
          </w:p>
        </w:tc>
        <w:tc>
          <w:tcPr>
            <w:tcW w:w="1520" w:type="dxa"/>
            <w:vAlign w:val="bottom"/>
            <w:tcBorders>
              <w:top w:val="single" w:sz="8" w:color="auto"/>
              <w:bottom w:val="single" w:sz="8" w:color="auto"/>
            </w:tcBorders>
            <w:shd w:val="clear" w:color="auto" w:fill="4DC1E4"/>
          </w:tcPr>
          <w:p>
            <w:pPr>
              <w:jc w:val="right"/>
              <w:ind w:right="125"/>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(1)</w:t>
            </w:r>
          </w:p>
        </w:tc>
        <w:tc>
          <w:tcPr>
            <w:tcW w:w="1060" w:type="dxa"/>
            <w:vAlign w:val="bottom"/>
            <w:tcBorders>
              <w:top w:val="single" w:sz="8" w:color="auto"/>
              <w:bottom w:val="single" w:sz="8" w:color="auto"/>
            </w:tcBorders>
            <w:shd w:val="clear" w:color="auto" w:fill="4DC1E4"/>
          </w:tcPr>
          <w:p>
            <w:pPr>
              <w:spacing w:after="0"/>
              <w:rPr>
                <w:sz w:val="20"/>
                <w:szCs w:val="20"/>
                <w:color w:val="auto"/>
              </w:rPr>
            </w:pPr>
          </w:p>
        </w:tc>
        <w:tc>
          <w:tcPr>
            <w:tcW w:w="100" w:type="dxa"/>
            <w:vAlign w:val="bottom"/>
            <w:tcBorders>
              <w:top w:val="single" w:sz="8" w:color="auto"/>
              <w:bottom w:val="single" w:sz="8" w:color="auto"/>
            </w:tcBorders>
            <w:shd w:val="clear" w:color="auto" w:fill="4DC1E4"/>
          </w:tcPr>
          <w:p>
            <w:pPr>
              <w:spacing w:after="0"/>
              <w:rPr>
                <w:sz w:val="20"/>
                <w:szCs w:val="20"/>
                <w:color w:val="auto"/>
              </w:rPr>
            </w:pPr>
          </w:p>
        </w:tc>
        <w:tc>
          <w:tcPr>
            <w:tcW w:w="940" w:type="dxa"/>
            <w:vAlign w:val="bottom"/>
            <w:tcBorders>
              <w:top w:val="single" w:sz="8" w:color="auto"/>
              <w:bottom w:val="single" w:sz="8" w:color="auto"/>
              <w:right w:val="single" w:sz="8" w:color="auto"/>
            </w:tcBorders>
            <w:shd w:val="clear" w:color="auto" w:fill="4DC1E4"/>
          </w:tcPr>
          <w:p>
            <w:pPr>
              <w:spacing w:after="0"/>
              <w:rPr>
                <w:sz w:val="20"/>
                <w:szCs w:val="20"/>
                <w:color w:val="auto"/>
              </w:rPr>
            </w:pPr>
          </w:p>
        </w:tc>
        <w:tc>
          <w:tcPr>
            <w:tcW w:w="2820" w:type="dxa"/>
            <w:vAlign w:val="bottom"/>
            <w:tcBorders>
              <w:top w:val="single" w:sz="8" w:color="auto"/>
              <w:bottom w:val="single" w:sz="8" w:color="auto"/>
              <w:right w:val="single" w:sz="8" w:color="auto"/>
            </w:tcBorders>
            <w:gridSpan w:val="2"/>
            <w:shd w:val="clear" w:color="auto" w:fill="4DC1E4"/>
          </w:tcPr>
          <w:p>
            <w:pPr>
              <w:jc w:val="right"/>
              <w:ind w:right="705"/>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(2)</w:t>
            </w:r>
          </w:p>
        </w:tc>
      </w:tr>
      <w:tr>
        <w:trPr>
          <w:trHeight w:val="163"/>
        </w:trPr>
        <w:tc>
          <w:tcPr>
            <w:tcW w:w="2620" w:type="dxa"/>
            <w:vAlign w:val="bottom"/>
            <w:tcBorders>
              <w:top w:val="single" w:sz="8" w:color="auto"/>
              <w:left w:val="single" w:sz="8" w:color="auto"/>
              <w:right w:val="single" w:sz="8" w:color="auto"/>
            </w:tcBorders>
            <w:shd w:val="clear" w:color="auto" w:fill="4DC1E4"/>
          </w:tcPr>
          <w:p>
            <w:pPr>
              <w:spacing w:after="0"/>
              <w:rPr>
                <w:sz w:val="14"/>
                <w:szCs w:val="14"/>
                <w:color w:val="auto"/>
              </w:rPr>
            </w:pPr>
          </w:p>
        </w:tc>
        <w:tc>
          <w:tcPr>
            <w:tcW w:w="1000" w:type="dxa"/>
            <w:vAlign w:val="bottom"/>
            <w:tcBorders>
              <w:top w:val="single" w:sz="8" w:color="4DC1E4"/>
            </w:tcBorders>
            <w:shd w:val="clear" w:color="auto" w:fill="4DC1E4"/>
          </w:tcPr>
          <w:p>
            <w:pPr>
              <w:spacing w:after="0"/>
              <w:rPr>
                <w:sz w:val="14"/>
                <w:szCs w:val="14"/>
                <w:color w:val="auto"/>
              </w:rPr>
            </w:pPr>
          </w:p>
        </w:tc>
        <w:tc>
          <w:tcPr>
            <w:tcW w:w="1180" w:type="dxa"/>
            <w:vAlign w:val="bottom"/>
            <w:tcBorders>
              <w:top w:val="single" w:sz="8" w:color="4DC1E4"/>
            </w:tcBorders>
            <w:shd w:val="clear" w:color="auto" w:fill="4DC1E4"/>
          </w:tcPr>
          <w:p>
            <w:pPr>
              <w:spacing w:after="0"/>
              <w:rPr>
                <w:sz w:val="14"/>
                <w:szCs w:val="14"/>
                <w:color w:val="auto"/>
              </w:rPr>
            </w:pPr>
          </w:p>
        </w:tc>
        <w:tc>
          <w:tcPr>
            <w:tcW w:w="1520" w:type="dxa"/>
            <w:vAlign w:val="bottom"/>
            <w:tcBorders>
              <w:top w:val="single" w:sz="8" w:color="4DC1E4"/>
            </w:tcBorders>
            <w:shd w:val="clear" w:color="auto" w:fill="4DC1E4"/>
          </w:tcPr>
          <w:p>
            <w:pPr>
              <w:spacing w:after="0"/>
              <w:rPr>
                <w:sz w:val="14"/>
                <w:szCs w:val="14"/>
                <w:color w:val="auto"/>
              </w:rPr>
            </w:pPr>
          </w:p>
        </w:tc>
        <w:tc>
          <w:tcPr>
            <w:tcW w:w="1060" w:type="dxa"/>
            <w:vAlign w:val="bottom"/>
            <w:tcBorders>
              <w:top w:val="single" w:sz="8" w:color="4DC1E4"/>
            </w:tcBorders>
            <w:shd w:val="clear" w:color="auto" w:fill="4DC1E4"/>
          </w:tcPr>
          <w:p>
            <w:pPr>
              <w:spacing w:after="0"/>
              <w:rPr>
                <w:sz w:val="14"/>
                <w:szCs w:val="14"/>
                <w:color w:val="auto"/>
              </w:rPr>
            </w:pPr>
          </w:p>
        </w:tc>
        <w:tc>
          <w:tcPr>
            <w:tcW w:w="100" w:type="dxa"/>
            <w:vAlign w:val="bottom"/>
            <w:tcBorders>
              <w:top w:val="single" w:sz="8" w:color="4DC1E4"/>
            </w:tcBorders>
            <w:shd w:val="clear" w:color="auto" w:fill="4DC1E4"/>
          </w:tcPr>
          <w:p>
            <w:pPr>
              <w:spacing w:after="0"/>
              <w:rPr>
                <w:sz w:val="14"/>
                <w:szCs w:val="14"/>
                <w:color w:val="auto"/>
              </w:rPr>
            </w:pPr>
          </w:p>
        </w:tc>
        <w:tc>
          <w:tcPr>
            <w:tcW w:w="940" w:type="dxa"/>
            <w:vAlign w:val="bottom"/>
            <w:tcBorders>
              <w:top w:val="single" w:sz="8" w:color="4DC1E4"/>
              <w:right w:val="single" w:sz="8" w:color="auto"/>
            </w:tcBorders>
            <w:shd w:val="clear" w:color="auto" w:fill="4DC1E4"/>
          </w:tcPr>
          <w:p>
            <w:pPr>
              <w:spacing w:after="0"/>
              <w:rPr>
                <w:sz w:val="14"/>
                <w:szCs w:val="14"/>
                <w:color w:val="auto"/>
              </w:rPr>
            </w:pPr>
          </w:p>
        </w:tc>
        <w:tc>
          <w:tcPr>
            <w:tcW w:w="1400" w:type="dxa"/>
            <w:vAlign w:val="bottom"/>
            <w:tcBorders>
              <w:top w:val="single" w:sz="8" w:color="4DC1E4"/>
            </w:tcBorders>
            <w:shd w:val="clear" w:color="auto" w:fill="4DC1E4"/>
          </w:tcPr>
          <w:p>
            <w:pPr>
              <w:spacing w:after="0"/>
              <w:rPr>
                <w:sz w:val="14"/>
                <w:szCs w:val="14"/>
                <w:color w:val="auto"/>
              </w:rPr>
            </w:pPr>
          </w:p>
        </w:tc>
        <w:tc>
          <w:tcPr>
            <w:tcW w:w="1420" w:type="dxa"/>
            <w:vAlign w:val="bottom"/>
            <w:tcBorders>
              <w:top w:val="single" w:sz="8" w:color="4DC1E4"/>
              <w:right w:val="single" w:sz="8" w:color="auto"/>
            </w:tcBorders>
            <w:shd w:val="clear" w:color="auto" w:fill="4DC1E4"/>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FFFFFF"/>
              </w:rPr>
              <w:t>M</w:t>
            </w:r>
            <w:r>
              <w:rPr>
                <w:rFonts w:ascii="Times New Roman" w:cs="Times New Roman" w:eastAsia="Times New Roman" w:hAnsi="Times New Roman"/>
                <w:sz w:val="12"/>
                <w:szCs w:val="12"/>
                <w:b w:val="1"/>
                <w:bCs w:val="1"/>
                <w:color w:val="FFFFFF"/>
              </w:rPr>
              <w:t>ARKET</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c>
          <w:tcPr>
            <w:tcW w:w="1180" w:type="dxa"/>
            <w:vAlign w:val="bottom"/>
            <w:shd w:val="clear" w:color="auto" w:fill="4DC1E4"/>
          </w:tcPr>
          <w:p>
            <w:pPr>
              <w:spacing w:after="0"/>
              <w:rPr>
                <w:sz w:val="17"/>
                <w:szCs w:val="17"/>
                <w:color w:val="auto"/>
              </w:rPr>
            </w:pPr>
          </w:p>
        </w:tc>
        <w:tc>
          <w:tcPr>
            <w:tcW w:w="1520" w:type="dxa"/>
            <w:vAlign w:val="bottom"/>
            <w:shd w:val="clear" w:color="auto" w:fill="4DC1E4"/>
          </w:tcPr>
          <w:p>
            <w:pPr>
              <w:spacing w:after="0"/>
              <w:rPr>
                <w:sz w:val="17"/>
                <w:szCs w:val="17"/>
                <w:color w:val="auto"/>
              </w:rPr>
            </w:pPr>
          </w:p>
        </w:tc>
        <w:tc>
          <w:tcPr>
            <w:tcW w:w="1060" w:type="dxa"/>
            <w:vAlign w:val="bottom"/>
            <w:shd w:val="clear" w:color="auto" w:fill="4DC1E4"/>
          </w:tcPr>
          <w:p>
            <w:pPr>
              <w:spacing w:after="0"/>
              <w:rPr>
                <w:sz w:val="17"/>
                <w:szCs w:val="17"/>
                <w:color w:val="auto"/>
              </w:rPr>
            </w:pP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spacing w:after="0"/>
              <w:rPr>
                <w:sz w:val="17"/>
                <w:szCs w:val="17"/>
                <w:color w:val="auto"/>
              </w:rPr>
            </w:pPr>
          </w:p>
        </w:tc>
        <w:tc>
          <w:tcPr>
            <w:tcW w:w="1400" w:type="dxa"/>
            <w:vAlign w:val="bottom"/>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ALUE OF</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c>
          <w:tcPr>
            <w:tcW w:w="11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UMBER OF</w:t>
            </w:r>
          </w:p>
        </w:tc>
        <w:tc>
          <w:tcPr>
            <w:tcW w:w="15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UMBER OF</w:t>
            </w:r>
          </w:p>
        </w:tc>
        <w:tc>
          <w:tcPr>
            <w:tcW w:w="1060" w:type="dxa"/>
            <w:vAlign w:val="bottom"/>
            <w:shd w:val="clear" w:color="auto" w:fill="4DC1E4"/>
          </w:tcPr>
          <w:p>
            <w:pPr>
              <w:spacing w:after="0"/>
              <w:rPr>
                <w:sz w:val="17"/>
                <w:szCs w:val="17"/>
                <w:color w:val="auto"/>
              </w:rPr>
            </w:pP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spacing w:after="0"/>
              <w:rPr>
                <w:sz w:val="17"/>
                <w:szCs w:val="17"/>
                <w:color w:val="auto"/>
              </w:rPr>
            </w:pPr>
          </w:p>
        </w:tc>
        <w:tc>
          <w:tcPr>
            <w:tcW w:w="14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UMBER OF</w:t>
            </w: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HARES OR</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c>
          <w:tcPr>
            <w:tcW w:w="11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ECURITIES</w:t>
            </w:r>
          </w:p>
        </w:tc>
        <w:tc>
          <w:tcPr>
            <w:tcW w:w="15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ECURITIES</w:t>
            </w:r>
          </w:p>
        </w:tc>
        <w:tc>
          <w:tcPr>
            <w:tcW w:w="1060" w:type="dxa"/>
            <w:vAlign w:val="bottom"/>
            <w:shd w:val="clear" w:color="auto" w:fill="4DC1E4"/>
          </w:tcPr>
          <w:p>
            <w:pPr>
              <w:spacing w:after="0"/>
              <w:rPr>
                <w:sz w:val="17"/>
                <w:szCs w:val="17"/>
                <w:color w:val="auto"/>
              </w:rPr>
            </w:pP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spacing w:after="0"/>
              <w:rPr>
                <w:sz w:val="17"/>
                <w:szCs w:val="17"/>
                <w:color w:val="auto"/>
              </w:rPr>
            </w:pPr>
          </w:p>
        </w:tc>
        <w:tc>
          <w:tcPr>
            <w:tcW w:w="14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HARES OR</w:t>
            </w: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c>
          <w:tcPr>
            <w:tcW w:w="11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NDERLYING</w:t>
            </w:r>
          </w:p>
        </w:tc>
        <w:tc>
          <w:tcPr>
            <w:tcW w:w="15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NDERLYING</w:t>
            </w:r>
          </w:p>
        </w:tc>
        <w:tc>
          <w:tcPr>
            <w:tcW w:w="1060" w:type="dxa"/>
            <w:vAlign w:val="bottom"/>
            <w:shd w:val="clear" w:color="auto" w:fill="4DC1E4"/>
          </w:tcPr>
          <w:p>
            <w:pPr>
              <w:spacing w:after="0"/>
              <w:rPr>
                <w:sz w:val="17"/>
                <w:szCs w:val="17"/>
                <w:color w:val="auto"/>
              </w:rPr>
            </w:pP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spacing w:after="0"/>
              <w:rPr>
                <w:sz w:val="17"/>
                <w:szCs w:val="17"/>
                <w:color w:val="auto"/>
              </w:rPr>
            </w:pPr>
          </w:p>
        </w:tc>
        <w:tc>
          <w:tcPr>
            <w:tcW w:w="14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c>
          <w:tcPr>
            <w:tcW w:w="11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NEXERCISED</w:t>
            </w:r>
          </w:p>
        </w:tc>
        <w:tc>
          <w:tcPr>
            <w:tcW w:w="15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NEXERCISED</w:t>
            </w:r>
          </w:p>
        </w:tc>
        <w:tc>
          <w:tcPr>
            <w:tcW w:w="106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14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r>
              <w:rPr>
                <w:rFonts w:ascii="Times New Roman" w:cs="Times New Roman" w:eastAsia="Times New Roman" w:hAnsi="Times New Roman"/>
                <w:sz w:val="16"/>
                <w:szCs w:val="16"/>
                <w:b w:val="1"/>
                <w:bCs w:val="1"/>
                <w:color w:val="FFFFFF"/>
              </w:rPr>
              <w:t xml:space="preserve"> T</w:t>
            </w:r>
            <w:r>
              <w:rPr>
                <w:rFonts w:ascii="Times New Roman" w:cs="Times New Roman" w:eastAsia="Times New Roman" w:hAnsi="Times New Roman"/>
                <w:sz w:val="12"/>
                <w:szCs w:val="12"/>
                <w:b w:val="1"/>
                <w:bCs w:val="1"/>
                <w:color w:val="FFFFFF"/>
              </w:rPr>
              <w:t>HAT</w:t>
            </w: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HAT</w:t>
            </w:r>
          </w:p>
        </w:tc>
      </w:tr>
      <w:tr>
        <w:trPr>
          <w:trHeight w:val="203"/>
        </w:trPr>
        <w:tc>
          <w:tcPr>
            <w:tcW w:w="2620" w:type="dxa"/>
            <w:vAlign w:val="bottom"/>
            <w:tcBorders>
              <w:left w:val="single" w:sz="8" w:color="auto"/>
              <w:right w:val="single" w:sz="8" w:color="auto"/>
            </w:tcBorders>
            <w:shd w:val="clear" w:color="auto" w:fill="4DC1E4"/>
          </w:tcPr>
          <w:p>
            <w:pPr>
              <w:spacing w:after="0"/>
              <w:rPr>
                <w:sz w:val="17"/>
                <w:szCs w:val="17"/>
                <w:color w:val="auto"/>
              </w:rPr>
            </w:pPr>
          </w:p>
        </w:tc>
        <w:tc>
          <w:tcPr>
            <w:tcW w:w="1000" w:type="dxa"/>
            <w:vAlign w:val="bottom"/>
            <w:shd w:val="clear" w:color="auto" w:fill="4DC1E4"/>
          </w:tcPr>
          <w:p>
            <w:pPr>
              <w:jc w:val="right"/>
              <w:ind w:right="167"/>
              <w:spacing w:after="0"/>
              <w:rPr>
                <w:sz w:val="20"/>
                <w:szCs w:val="20"/>
                <w:color w:val="auto"/>
              </w:rPr>
            </w:pPr>
            <w:r>
              <w:rPr>
                <w:rFonts w:ascii="Times New Roman" w:cs="Times New Roman" w:eastAsia="Times New Roman" w:hAnsi="Times New Roman"/>
                <w:sz w:val="16"/>
                <w:szCs w:val="16"/>
                <w:b w:val="1"/>
                <w:bCs w:val="1"/>
                <w:color w:val="FFFFFF"/>
              </w:rPr>
              <w:t>G</w:t>
            </w:r>
            <w:r>
              <w:rPr>
                <w:rFonts w:ascii="Times New Roman" w:cs="Times New Roman" w:eastAsia="Times New Roman" w:hAnsi="Times New Roman"/>
                <w:sz w:val="12"/>
                <w:szCs w:val="12"/>
                <w:b w:val="1"/>
                <w:bCs w:val="1"/>
                <w:color w:val="FFFFFF"/>
              </w:rPr>
              <w:t>RANT</w:t>
            </w:r>
          </w:p>
        </w:tc>
        <w:tc>
          <w:tcPr>
            <w:tcW w:w="11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PTIONS (#)</w:t>
            </w:r>
          </w:p>
        </w:tc>
        <w:tc>
          <w:tcPr>
            <w:tcW w:w="15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PTIONS (#)</w:t>
            </w:r>
          </w:p>
        </w:tc>
        <w:tc>
          <w:tcPr>
            <w:tcW w:w="106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XERCISE</w:t>
            </w:r>
          </w:p>
        </w:tc>
        <w:tc>
          <w:tcPr>
            <w:tcW w:w="100" w:type="dxa"/>
            <w:vAlign w:val="bottom"/>
            <w:shd w:val="clear" w:color="auto" w:fill="4DC1E4"/>
          </w:tcPr>
          <w:p>
            <w:pPr>
              <w:spacing w:after="0"/>
              <w:rPr>
                <w:sz w:val="17"/>
                <w:szCs w:val="17"/>
                <w:color w:val="auto"/>
              </w:rPr>
            </w:pPr>
          </w:p>
        </w:tc>
        <w:tc>
          <w:tcPr>
            <w:tcW w:w="9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XPIRATION</w:t>
            </w:r>
          </w:p>
        </w:tc>
        <w:tc>
          <w:tcPr>
            <w:tcW w:w="14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r>
      <w:tr>
        <w:trPr>
          <w:trHeight w:val="264"/>
        </w:trPr>
        <w:tc>
          <w:tcPr>
            <w:tcW w:w="2620" w:type="dxa"/>
            <w:vAlign w:val="bottom"/>
            <w:tcBorders>
              <w:left w:val="single" w:sz="8" w:color="auto"/>
              <w:bottom w:val="single" w:sz="8" w:color="4DC1E4"/>
              <w:right w:val="single" w:sz="8" w:color="auto"/>
            </w:tcBorders>
            <w:shd w:val="clear" w:color="auto" w:fill="4DC1E4"/>
          </w:tcPr>
          <w:p>
            <w:pPr>
              <w:ind w:left="108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p>
        </w:tc>
        <w:tc>
          <w:tcPr>
            <w:tcW w:w="1000" w:type="dxa"/>
            <w:vAlign w:val="bottom"/>
            <w:tcBorders>
              <w:bottom w:val="single" w:sz="8" w:color="4DC1E4"/>
            </w:tcBorders>
            <w:shd w:val="clear" w:color="auto" w:fill="4DC1E4"/>
          </w:tcPr>
          <w:p>
            <w:pPr>
              <w:jc w:val="right"/>
              <w:ind w:right="227"/>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11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XERCISABLE</w:t>
            </w:r>
          </w:p>
        </w:tc>
        <w:tc>
          <w:tcPr>
            <w:tcW w:w="15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NEXERCISABLE</w:t>
            </w:r>
          </w:p>
        </w:tc>
        <w:tc>
          <w:tcPr>
            <w:tcW w:w="106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w:t>
            </w:r>
            <w:r>
              <w:rPr>
                <w:rFonts w:ascii="Times New Roman" w:cs="Times New Roman" w:eastAsia="Times New Roman" w:hAnsi="Times New Roman"/>
                <w:sz w:val="12"/>
                <w:szCs w:val="12"/>
                <w:b w:val="1"/>
                <w:bCs w:val="1"/>
                <w:color w:val="FFFFFF"/>
              </w:rPr>
              <w:t>RICE ($)</w:t>
            </w:r>
          </w:p>
        </w:tc>
        <w:tc>
          <w:tcPr>
            <w:tcW w:w="100" w:type="dxa"/>
            <w:vAlign w:val="bottom"/>
            <w:tcBorders>
              <w:bottom w:val="single" w:sz="8" w:color="4DC1E4"/>
            </w:tcBorders>
            <w:shd w:val="clear" w:color="auto" w:fill="4DC1E4"/>
          </w:tcPr>
          <w:p>
            <w:pPr>
              <w:spacing w:after="0"/>
              <w:rPr>
                <w:sz w:val="22"/>
                <w:szCs w:val="22"/>
                <w:color w:val="auto"/>
              </w:rPr>
            </w:pPr>
          </w:p>
        </w:tc>
        <w:tc>
          <w:tcPr>
            <w:tcW w:w="9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140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p>
        </w:tc>
        <w:tc>
          <w:tcPr>
            <w:tcW w:w="14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r>
              <w:rPr>
                <w:rFonts w:ascii="Times New Roman" w:cs="Times New Roman" w:eastAsia="Times New Roman" w:hAnsi="Times New Roman"/>
                <w:sz w:val="16"/>
                <w:szCs w:val="16"/>
                <w:b w:val="1"/>
                <w:bCs w:val="1"/>
                <w:color w:val="FFFFFF"/>
                <w:vertAlign w:val="superscript"/>
              </w:rPr>
              <w:t>(3)</w:t>
            </w:r>
          </w:p>
        </w:tc>
      </w:tr>
      <w:tr>
        <w:trPr>
          <w:trHeight w:val="142"/>
        </w:trPr>
        <w:tc>
          <w:tcPr>
            <w:tcW w:w="262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Carole S. Ben-Maimon, M.D.</w:t>
            </w:r>
          </w:p>
        </w:tc>
        <w:tc>
          <w:tcPr>
            <w:tcW w:w="1000" w:type="dxa"/>
            <w:vAlign w:val="bottom"/>
            <w:tcBorders>
              <w:top w:val="single" w:sz="8" w:color="auto"/>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4/10/2017</w:t>
            </w:r>
          </w:p>
        </w:tc>
        <w:tc>
          <w:tcPr>
            <w:tcW w:w="11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133,140</w:t>
            </w:r>
          </w:p>
        </w:tc>
        <w:tc>
          <w:tcPr>
            <w:tcW w:w="1520" w:type="dxa"/>
            <w:vAlign w:val="bottom"/>
            <w:tcBorders>
              <w:top w:val="single" w:sz="8" w:color="auto"/>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11.73</w:t>
            </w:r>
          </w:p>
        </w:tc>
        <w:tc>
          <w:tcPr>
            <w:tcW w:w="1040" w:type="dxa"/>
            <w:vAlign w:val="bottom"/>
            <w:tcBorders>
              <w:top w:val="single" w:sz="8" w:color="auto"/>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4/10/2027</w:t>
            </w:r>
          </w:p>
        </w:tc>
        <w:tc>
          <w:tcPr>
            <w:tcW w:w="1400" w:type="dxa"/>
            <w:vAlign w:val="bottom"/>
            <w:tcBorders>
              <w:top w:val="single" w:sz="8" w:color="auto"/>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5/28/2019</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61,419</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11.73</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5/28/2029</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411,400</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104,477</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2,223</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132,708</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49,292</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25,833</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14,167</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155,729</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169,271</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153,750</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595,013</w:t>
            </w:r>
          </w:p>
        </w:tc>
      </w:tr>
      <w:tr>
        <w:trPr>
          <w:trHeight w:val="142"/>
        </w:trPr>
        <w:tc>
          <w:tcPr>
            <w:tcW w:w="2620" w:type="dxa"/>
            <w:vAlign w:val="bottom"/>
            <w:tcBorders>
              <w:left w:val="single" w:sz="8" w:color="auto"/>
              <w:right w:val="single" w:sz="8" w:color="auto"/>
            </w:tcBorders>
          </w:tcPr>
          <w:p>
            <w:pPr>
              <w:spacing w:after="0"/>
              <w:rPr>
                <w:sz w:val="12"/>
                <w:szCs w:val="12"/>
                <w:color w:val="auto"/>
              </w:rPr>
            </w:pPr>
          </w:p>
        </w:tc>
        <w:tc>
          <w:tcPr>
            <w:tcW w:w="1000" w:type="dxa"/>
            <w:vAlign w:val="bottom"/>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1180" w:type="dxa"/>
            <w:vAlign w:val="bottom"/>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396,750</w:t>
            </w:r>
          </w:p>
        </w:tc>
        <w:tc>
          <w:tcPr>
            <w:tcW w:w="1060" w:type="dxa"/>
            <w:vAlign w:val="bottom"/>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1040" w:type="dxa"/>
            <w:vAlign w:val="bottom"/>
            <w:tcBorders>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1400" w:type="dxa"/>
            <w:vAlign w:val="bottom"/>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66,125</w:t>
            </w:r>
          </w:p>
        </w:tc>
        <w:tc>
          <w:tcPr>
            <w:tcW w:w="1420" w:type="dxa"/>
            <w:vAlign w:val="bottom"/>
            <w:tcBorders>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255,904</w:t>
            </w:r>
          </w:p>
        </w:tc>
      </w:tr>
      <w:tr>
        <w:trPr>
          <w:trHeight w:val="142"/>
        </w:trPr>
        <w:tc>
          <w:tcPr>
            <w:tcW w:w="262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Michael Celano</w:t>
            </w:r>
          </w:p>
        </w:tc>
        <w:tc>
          <w:tcPr>
            <w:tcW w:w="1000" w:type="dxa"/>
            <w:vAlign w:val="bottom"/>
            <w:tcBorders>
              <w:top w:val="single" w:sz="8" w:color="auto"/>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5/28/2020</w:t>
            </w:r>
          </w:p>
        </w:tc>
        <w:tc>
          <w:tcPr>
            <w:tcW w:w="118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60,479</w:t>
            </w:r>
          </w:p>
        </w:tc>
        <w:tc>
          <w:tcPr>
            <w:tcW w:w="1520" w:type="dxa"/>
            <w:vAlign w:val="bottom"/>
            <w:tcBorders>
              <w:top w:val="single" w:sz="8" w:color="auto"/>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11.88</w:t>
            </w:r>
          </w:p>
        </w:tc>
        <w:tc>
          <w:tcPr>
            <w:tcW w:w="10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right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5/27/2030</w:t>
            </w:r>
          </w:p>
        </w:tc>
        <w:tc>
          <w:tcPr>
            <w:tcW w:w="1400" w:type="dxa"/>
            <w:vAlign w:val="bottom"/>
            <w:tcBorders>
              <w:top w:val="single" w:sz="8" w:color="auto"/>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84,100</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41,125</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58,333</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21,667</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12,916</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7,084</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57,500</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62,500</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57,000</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220,590</w:t>
            </w:r>
          </w:p>
        </w:tc>
      </w:tr>
      <w:tr>
        <w:trPr>
          <w:trHeight w:val="142"/>
        </w:trPr>
        <w:tc>
          <w:tcPr>
            <w:tcW w:w="262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187,500</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31,250</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120,938</w:t>
            </w:r>
          </w:p>
        </w:tc>
      </w:tr>
      <w:tr>
        <w:trPr>
          <w:trHeight w:val="142"/>
        </w:trPr>
        <w:tc>
          <w:tcPr>
            <w:tcW w:w="26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Gopi Shankar, Ph.D., MBA, FAAPS</w:t>
            </w:r>
          </w:p>
        </w:tc>
        <w:tc>
          <w:tcPr>
            <w:tcW w:w="1000" w:type="dxa"/>
            <w:vAlign w:val="bottom"/>
            <w:tcBorders>
              <w:bottom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color w:val="auto"/>
              </w:rPr>
              <w:t>2/7/2023</w:t>
            </w:r>
          </w:p>
        </w:tc>
        <w:tc>
          <w:tcPr>
            <w:tcW w:w="1180" w:type="dxa"/>
            <w:vAlign w:val="bottom"/>
            <w:tcBorders>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color w:val="auto"/>
              </w:rPr>
              <w:t>82,500</w:t>
            </w:r>
          </w:p>
        </w:tc>
        <w:tc>
          <w:tcPr>
            <w:tcW w:w="1520" w:type="dxa"/>
            <w:vAlign w:val="bottom"/>
            <w:tcBorders>
              <w:bottom w:val="single" w:sz="8" w:color="auto"/>
            </w:tcBorders>
          </w:tcPr>
          <w:p>
            <w:pPr>
              <w:jc w:val="right"/>
              <w:ind w:right="445"/>
              <w:spacing w:after="0" w:line="142" w:lineRule="exact"/>
              <w:rPr>
                <w:sz w:val="20"/>
                <w:szCs w:val="20"/>
                <w:color w:val="auto"/>
              </w:rPr>
            </w:pPr>
            <w:r>
              <w:rPr>
                <w:rFonts w:ascii="Times New Roman" w:cs="Times New Roman" w:eastAsia="Times New Roman" w:hAnsi="Times New Roman"/>
                <w:sz w:val="14"/>
                <w:szCs w:val="14"/>
                <w:color w:val="auto"/>
              </w:rPr>
              <w:t>97,500</w:t>
            </w:r>
          </w:p>
        </w:tc>
        <w:tc>
          <w:tcPr>
            <w:tcW w:w="1060" w:type="dxa"/>
            <w:vAlign w:val="bottom"/>
            <w:tcBorders>
              <w:bottom w:val="single" w:sz="8" w:color="auto"/>
            </w:tcBorders>
          </w:tcPr>
          <w:p>
            <w:pPr>
              <w:jc w:val="right"/>
              <w:ind w:right="327"/>
              <w:spacing w:after="0" w:line="142" w:lineRule="exact"/>
              <w:rPr>
                <w:sz w:val="20"/>
                <w:szCs w:val="20"/>
                <w:color w:val="auto"/>
              </w:rPr>
            </w:pPr>
            <w:r>
              <w:rPr>
                <w:rFonts w:ascii="Times New Roman" w:cs="Times New Roman" w:eastAsia="Times New Roman" w:hAnsi="Times New Roman"/>
                <w:sz w:val="14"/>
                <w:szCs w:val="14"/>
                <w:color w:val="auto"/>
              </w:rPr>
              <w:t>5.88</w:t>
            </w:r>
          </w:p>
        </w:tc>
        <w:tc>
          <w:tcPr>
            <w:tcW w:w="1040" w:type="dxa"/>
            <w:vAlign w:val="bottom"/>
            <w:tcBorders>
              <w:bottom w:val="single" w:sz="8" w:color="auto"/>
              <w:right w:val="single" w:sz="8" w:color="auto"/>
            </w:tcBorders>
            <w:gridSpan w:val="2"/>
          </w:tcPr>
          <w:p>
            <w:pPr>
              <w:jc w:val="right"/>
              <w:ind w:right="61"/>
              <w:spacing w:after="0" w:line="142" w:lineRule="exact"/>
              <w:rPr>
                <w:sz w:val="20"/>
                <w:szCs w:val="20"/>
                <w:color w:val="auto"/>
              </w:rPr>
            </w:pPr>
            <w:r>
              <w:rPr>
                <w:rFonts w:ascii="Times New Roman" w:cs="Times New Roman" w:eastAsia="Times New Roman" w:hAnsi="Times New Roman"/>
                <w:sz w:val="14"/>
                <w:szCs w:val="14"/>
                <w:color w:val="auto"/>
              </w:rPr>
              <w:t>2/7/2033</w:t>
            </w:r>
          </w:p>
        </w:tc>
        <w:tc>
          <w:tcPr>
            <w:tcW w:w="1400" w:type="dxa"/>
            <w:vAlign w:val="bottom"/>
            <w:tcBorders>
              <w:bottom w:val="single" w:sz="8" w:color="auto"/>
            </w:tcBorders>
          </w:tcPr>
          <w:p>
            <w:pPr>
              <w:jc w:val="right"/>
              <w:ind w:right="5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right w:val="single" w:sz="8" w:color="auto"/>
            </w:tcBorders>
          </w:tcPr>
          <w:p>
            <w:pPr>
              <w:jc w:val="right"/>
              <w:ind w:right="645"/>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236"/>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1/17/2024</w:t>
            </w:r>
          </w:p>
        </w:tc>
        <w:tc>
          <w:tcPr>
            <w:tcW w:w="11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color w:val="auto"/>
              </w:rPr>
              <w:t>135,000</w:t>
            </w:r>
          </w:p>
        </w:tc>
        <w:tc>
          <w:tcPr>
            <w:tcW w:w="10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color w:val="auto"/>
              </w:rPr>
              <w:t>4.21</w:t>
            </w:r>
          </w:p>
        </w:tc>
        <w:tc>
          <w:tcPr>
            <w:tcW w:w="1040" w:type="dxa"/>
            <w:vAlign w:val="bottom"/>
            <w:tcBorders>
              <w:bottom w:val="single" w:sz="8" w:color="auto"/>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4"/>
                <w:szCs w:val="14"/>
                <w:color w:val="auto"/>
              </w:rPr>
              <w:t>1/17/2034</w:t>
            </w:r>
          </w:p>
        </w:tc>
        <w:tc>
          <w:tcPr>
            <w:tcW w:w="14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color w:val="auto"/>
              </w:rPr>
              <w:t>22,500</w:t>
            </w:r>
          </w:p>
        </w:tc>
        <w:tc>
          <w:tcPr>
            <w:tcW w:w="1420" w:type="dxa"/>
            <w:vAlign w:val="bottom"/>
            <w:tcBorders>
              <w:bottom w:val="single" w:sz="8" w:color="auto"/>
              <w:right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color w:val="auto"/>
              </w:rPr>
              <w:t>87,075</w:t>
            </w:r>
          </w:p>
        </w:tc>
      </w:tr>
    </w:tbl>
    <w:p>
      <w:pPr>
        <w:spacing w:after="0" w:line="198" w:lineRule="exact"/>
        <w:rPr>
          <w:sz w:val="20"/>
          <w:szCs w:val="20"/>
          <w:color w:val="auto"/>
        </w:rPr>
      </w:pPr>
    </w:p>
    <w:p>
      <w:pPr>
        <w:jc w:val="both"/>
        <w:ind w:left="780" w:hanging="772"/>
        <w:spacing w:after="0" w:line="257"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each generally vest as follows: 25% on the first anniversary of the grant date, with the remaining 75% vesting in equal monthly installments over the following 36 calendar months, subject to the grantee’s continued service through the relevant vesting date (and in the case of Mr. Celano’s May 28, 2020 award, subject to accelerated vesting upon certain termination events).</w:t>
      </w:r>
    </w:p>
    <w:p>
      <w:pPr>
        <w:spacing w:after="0" w:line="1" w:lineRule="exact"/>
        <w:rPr>
          <w:rFonts w:ascii="Times New Roman" w:cs="Times New Roman" w:eastAsia="Times New Roman" w:hAnsi="Times New Roman"/>
          <w:sz w:val="18"/>
          <w:szCs w:val="18"/>
          <w:color w:val="auto"/>
        </w:rPr>
      </w:pPr>
    </w:p>
    <w:p>
      <w:pPr>
        <w:ind w:left="780" w:hanging="772"/>
        <w:spacing w:after="0" w:line="250"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stock unit awards vest in four equal annual installments beginning on the first anniversary of the grant date, subject to the grantee’s continued service through the relevant vesting date.</w:t>
      </w:r>
    </w:p>
    <w:p>
      <w:pPr>
        <w:ind w:left="780" w:hanging="77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$3.87 for our common stock on December 31, 2024, the last trading date of 2024.</w:t>
      </w:r>
    </w:p>
    <w:p>
      <w:pPr>
        <w:spacing w:after="0" w:line="324"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2" w:name="page33"/>
    <w:bookmarkEnd w:id="32"/>
    <w:p>
      <w:pPr>
        <w:ind w:left="120"/>
        <w:spacing w:after="0"/>
        <w:rPr>
          <w:sz w:val="20"/>
          <w:szCs w:val="20"/>
          <w:color w:val="auto"/>
        </w:rPr>
      </w:pPr>
      <w:r>
        <w:rPr>
          <w:rFonts w:ascii="Times New Roman" w:cs="Times New Roman" w:eastAsia="Times New Roman" w:hAnsi="Times New Roman"/>
          <w:sz w:val="21"/>
          <w:szCs w:val="21"/>
          <w:b w:val="1"/>
          <w:bCs w:val="1"/>
          <w:color w:val="auto"/>
        </w:rPr>
        <w:t>EXECUTIVE COMPENSATION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NEOs: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Carole S. Ben-Maimon, M.D. </w:t>
      </w:r>
      <w:r>
        <w:rPr>
          <w:rFonts w:ascii="Times New Roman" w:cs="Times New Roman" w:eastAsia="Times New Roman" w:hAnsi="Times New Roman"/>
          <w:sz w:val="18"/>
          <w:szCs w:val="18"/>
          <w:color w:val="auto"/>
        </w:rPr>
        <w:t>We entered into an employment agreement with Dr. Ben-Maimon, as our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not less than 50% of her base salary. The Board increased this bonus opportunity percentage to 55% of base salary, effective January 1, 2025.</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Michael Celano. </w:t>
      </w:r>
      <w:r>
        <w:rPr>
          <w:rFonts w:ascii="Times New Roman" w:cs="Times New Roman" w:eastAsia="Times New Roman" w:hAnsi="Times New Roman"/>
          <w:sz w:val="18"/>
          <w:szCs w:val="18"/>
          <w:color w:val="auto"/>
        </w:rPr>
        <w:t>We entered into an employment agreement with Mr. Celano, as our Chief Financial Officer, on June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Mr. Celano’s period of employment with the Company commenced on May 28, 2020. Pursuant to the terms of this agreement, Mr. Celano’s initial annual base salary was $350,000 and his target annual bonus opportunity was not less than 35% of his base salary. The Compensation Committee increased this bonus opportunity percentage to 40% of base salary, effective January 1, 2022, and such target annual bonus opportunity remains at 40%. In connection with his hiring, on May 28, 2020, Mr. Celano received a stock option grant in respect of 60,479 shares of our common stock (the “Initial Award”), as further described in the table above entitled “Outstanding Equity Awards at Fiscal 2024 Year-End.”</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Gopi Shankar, Ph.D., MBA, FAAPS. </w:t>
      </w:r>
      <w:r>
        <w:rPr>
          <w:rFonts w:ascii="Times New Roman" w:cs="Times New Roman" w:eastAsia="Times New Roman" w:hAnsi="Times New Roman"/>
          <w:sz w:val="18"/>
          <w:szCs w:val="18"/>
          <w:color w:val="auto"/>
        </w:rPr>
        <w:t>We entered into an employment agreement with Dr. Shankar, as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Officer, on February 7, 2023. Pursuant to the terms of this agreement, Dr. Shankar’s initial annual base salary was $425,000 and his target annual bonus opportunity was, and remains at, not less than 40% of his base salary. In connection with his hiring, on February 7, 2023, Dr. Shankar received a stock option grant in respect of 180,000 shares of our common stock, as further described in the table above entitled “Outstanding Equity Awards at Fiscal 2024 Year-End.”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Information and Invention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Dr. Ben-Maimon, Mr. Celano and Dr. Shankar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Rights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Dr. Ben-Maimon, Mr. Celano and Dr. Shankar’s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without cause or they resign with good reason, then in addition to the Accrued Rights, such executive will be entitled to receive:</w:t>
      </w:r>
    </w:p>
    <w:p>
      <w:pPr>
        <w:spacing w:after="0" w:line="121" w:lineRule="exact"/>
        <w:rPr>
          <w:sz w:val="20"/>
          <w:szCs w:val="20"/>
          <w:color w:val="auto"/>
        </w:rPr>
      </w:pPr>
    </w:p>
    <w:p>
      <w:pPr>
        <w:ind w:left="1560" w:hanging="774"/>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unpaid bonus for the immediately preceding calendar year (the “Prior Year Bonus”);</w:t>
      </w:r>
    </w:p>
    <w:p>
      <w:pPr>
        <w:spacing w:after="0" w:line="27" w:lineRule="exact"/>
        <w:rPr>
          <w:rFonts w:ascii="Times New Roman" w:cs="Times New Roman" w:eastAsia="Times New Roman" w:hAnsi="Times New Roman"/>
          <w:sz w:val="18"/>
          <w:szCs w:val="18"/>
          <w:color w:val="auto"/>
        </w:rPr>
      </w:pPr>
    </w:p>
    <w:p>
      <w:pPr>
        <w:ind w:left="1560" w:hanging="774"/>
        <w:spacing w:after="0" w:line="250"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a period of twelve months, in the case of Dr. Ben-Maimon, and nine months, in the case of Mr. Celano and Dr. Shankar, with each payment equal to one-twelfth of their then in effect base salary;</w:t>
      </w:r>
    </w:p>
    <w:p>
      <w:pPr>
        <w:jc w:val="both"/>
        <w:ind w:left="1560" w:hanging="774"/>
        <w:spacing w:after="0" w:line="250"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group health coverage under the Consolidated Omnibus Budget Reconciliation Act (“COBRA”) for twelve months, in the case of Dr. Ben-Maimon, and nine months, in the case of Mr. Celano and Dr. Shankar; and</w:t>
      </w:r>
    </w:p>
    <w:p>
      <w:pPr>
        <w:spacing w:after="0" w:line="1" w:lineRule="exact"/>
        <w:rPr>
          <w:rFonts w:ascii="Times New Roman" w:cs="Times New Roman" w:eastAsia="Times New Roman" w:hAnsi="Times New Roman"/>
          <w:sz w:val="18"/>
          <w:szCs w:val="18"/>
          <w:color w:val="auto"/>
        </w:rPr>
      </w:pPr>
    </w:p>
    <w:p>
      <w:pPr>
        <w:ind w:left="1560" w:right="20" w:hanging="774"/>
        <w:spacing w:after="0" w:line="260"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312"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33" w:name="page34"/>
    <w:bookmarkEnd w:id="33"/>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if the executive’s employment is terminated without cause or the executive resigns with good reason within one year following a change in control, then in lieu of the severance payments and benefits described above, he or she would instead receive:</w:t>
      </w:r>
    </w:p>
    <w:p>
      <w:pPr>
        <w:spacing w:after="0" w:line="121" w:lineRule="exact"/>
        <w:rPr>
          <w:sz w:val="20"/>
          <w:szCs w:val="20"/>
          <w:color w:val="auto"/>
        </w:rPr>
      </w:pPr>
    </w:p>
    <w:p>
      <w:pPr>
        <w:ind w:left="1560" w:hanging="774"/>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Bonus;</w:t>
      </w:r>
    </w:p>
    <w:p>
      <w:pPr>
        <w:spacing w:after="0" w:line="27" w:lineRule="exact"/>
        <w:rPr>
          <w:rFonts w:ascii="Times New Roman" w:cs="Times New Roman" w:eastAsia="Times New Roman" w:hAnsi="Times New Roman"/>
          <w:sz w:val="18"/>
          <w:szCs w:val="18"/>
          <w:color w:val="auto"/>
        </w:rPr>
      </w:pPr>
    </w:p>
    <w:p>
      <w:pPr>
        <w:jc w:val="both"/>
        <w:ind w:left="1560" w:right="20" w:hanging="774"/>
        <w:spacing w:after="0" w:line="250" w:lineRule="auto"/>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eighteen months, in the case of Dr. Ben-Maimon, and twelve months, in the case of Mr. Celano and Dr. Shankar, with each payment equal to one-twelfth the sum of the executive’s then in effect base salary and then in effect target annual bonus;</w:t>
      </w:r>
    </w:p>
    <w:p>
      <w:pPr>
        <w:spacing w:after="0" w:line="1" w:lineRule="exact"/>
        <w:rPr>
          <w:rFonts w:ascii="Times New Roman" w:cs="Times New Roman" w:eastAsia="Times New Roman" w:hAnsi="Times New Roman"/>
          <w:sz w:val="18"/>
          <w:szCs w:val="18"/>
          <w:color w:val="auto"/>
        </w:rPr>
      </w:pPr>
    </w:p>
    <w:p>
      <w:pPr>
        <w:ind w:left="1560" w:hanging="774"/>
        <w:spacing w:after="0" w:line="250" w:lineRule="auto"/>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their group health coverage under COBRA for eighteen months, in the case of Dr. Ben-Maimon, and twelve months, in the case of Mr. Celano and Dr. Shankar; and</w:t>
      </w:r>
    </w:p>
    <w:p>
      <w:pPr>
        <w:ind w:left="1560" w:right="20" w:hanging="774"/>
        <w:spacing w:after="0" w:line="260" w:lineRule="auto"/>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PEO and other NEOs (as calculated in accordance with Item 402(v) of Regulation S-K) and certain financial performance measures for each of the last three completed fiscal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6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760" w:type="dxa"/>
            <w:vAlign w:val="bottom"/>
            <w:tcBorders>
              <w:top w:val="single" w:sz="8" w:color="auto"/>
              <w:right w:val="single" w:sz="8" w:color="auto"/>
            </w:tcBorders>
            <w:shd w:val="clear" w:color="auto" w:fill="4DC1E4"/>
          </w:tcPr>
          <w:p>
            <w:pPr>
              <w:spacing w:after="0"/>
              <w:rPr>
                <w:sz w:val="18"/>
                <w:szCs w:val="18"/>
                <w:color w:val="auto"/>
              </w:rPr>
            </w:pPr>
          </w:p>
        </w:tc>
        <w:tc>
          <w:tcPr>
            <w:tcW w:w="1860" w:type="dxa"/>
            <w:vAlign w:val="bottom"/>
            <w:tcBorders>
              <w:top w:val="single" w:sz="8" w:color="auto"/>
              <w:right w:val="single" w:sz="8" w:color="auto"/>
            </w:tcBorders>
            <w:shd w:val="clear" w:color="auto" w:fill="4DC1E4"/>
          </w:tcPr>
          <w:p>
            <w:pPr>
              <w:spacing w:after="0"/>
              <w:rPr>
                <w:sz w:val="18"/>
                <w:szCs w:val="18"/>
                <w:color w:val="auto"/>
              </w:rPr>
            </w:pPr>
          </w:p>
        </w:tc>
        <w:tc>
          <w:tcPr>
            <w:tcW w:w="1720" w:type="dxa"/>
            <w:vAlign w:val="bottom"/>
            <w:tcBorders>
              <w:top w:val="single" w:sz="8" w:color="auto"/>
              <w:right w:val="single" w:sz="8" w:color="auto"/>
            </w:tcBorders>
            <w:shd w:val="clear" w:color="auto" w:fill="4DC1E4"/>
          </w:tcPr>
          <w:p>
            <w:pPr>
              <w:spacing w:after="0"/>
              <w:rPr>
                <w:sz w:val="18"/>
                <w:szCs w:val="18"/>
                <w:color w:val="auto"/>
              </w:rPr>
            </w:pPr>
          </w:p>
        </w:tc>
        <w:tc>
          <w:tcPr>
            <w:tcW w:w="1700" w:type="dxa"/>
            <w:vAlign w:val="bottom"/>
            <w:tcBorders>
              <w:top w:val="single" w:sz="8" w:color="auto"/>
              <w:right w:val="single" w:sz="8" w:color="auto"/>
            </w:tcBorders>
            <w:shd w:val="clear" w:color="auto" w:fill="4DC1E4"/>
          </w:tcPr>
          <w:p>
            <w:pPr>
              <w:spacing w:after="0"/>
              <w:rPr>
                <w:sz w:val="18"/>
                <w:szCs w:val="18"/>
                <w:color w:val="auto"/>
              </w:rPr>
            </w:pPr>
          </w:p>
        </w:tc>
        <w:tc>
          <w:tcPr>
            <w:tcW w:w="1540" w:type="dxa"/>
            <w:vAlign w:val="bottom"/>
            <w:tcBorders>
              <w:top w:val="single" w:sz="8" w:color="auto"/>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Value of</w:t>
            </w:r>
          </w:p>
        </w:tc>
        <w:tc>
          <w:tcPr>
            <w:tcW w:w="170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4DC1E4"/>
          </w:tcPr>
          <w:p>
            <w:pPr>
              <w:spacing w:after="0"/>
              <w:rPr>
                <w:sz w:val="18"/>
                <w:szCs w:val="18"/>
                <w:color w:val="auto"/>
              </w:rPr>
            </w:pPr>
          </w:p>
        </w:tc>
        <w:tc>
          <w:tcPr>
            <w:tcW w:w="1760" w:type="dxa"/>
            <w:vAlign w:val="bottom"/>
            <w:tcBorders>
              <w:right w:val="single" w:sz="8" w:color="auto"/>
            </w:tcBorders>
            <w:shd w:val="clear" w:color="auto" w:fill="4DC1E4"/>
          </w:tcPr>
          <w:p>
            <w:pPr>
              <w:spacing w:after="0"/>
              <w:rPr>
                <w:sz w:val="18"/>
                <w:szCs w:val="18"/>
                <w:color w:val="auto"/>
              </w:rPr>
            </w:pPr>
          </w:p>
        </w:tc>
        <w:tc>
          <w:tcPr>
            <w:tcW w:w="1860" w:type="dxa"/>
            <w:vAlign w:val="bottom"/>
            <w:tcBorders>
              <w:right w:val="single" w:sz="8" w:color="auto"/>
            </w:tcBorders>
            <w:shd w:val="clear" w:color="auto" w:fill="4DC1E4"/>
          </w:tcPr>
          <w:p>
            <w:pPr>
              <w:spacing w:after="0"/>
              <w:rPr>
                <w:sz w:val="18"/>
                <w:szCs w:val="18"/>
                <w:color w:val="auto"/>
              </w:rPr>
            </w:pPr>
          </w:p>
        </w:tc>
        <w:tc>
          <w:tcPr>
            <w:tcW w:w="1720" w:type="dxa"/>
            <w:vAlign w:val="bottom"/>
            <w:tcBorders>
              <w:right w:val="single" w:sz="8" w:color="auto"/>
            </w:tcBorders>
            <w:shd w:val="clear" w:color="auto" w:fill="4DC1E4"/>
          </w:tcPr>
          <w:p>
            <w:pPr>
              <w:spacing w:after="0"/>
              <w:rPr>
                <w:sz w:val="18"/>
                <w:szCs w:val="18"/>
                <w:color w:val="auto"/>
              </w:rPr>
            </w:pPr>
          </w:p>
        </w:tc>
        <w:tc>
          <w:tcPr>
            <w:tcW w:w="1700" w:type="dxa"/>
            <w:vAlign w:val="bottom"/>
            <w:tcBorders>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Initial Fixed</w:t>
            </w:r>
          </w:p>
        </w:tc>
        <w:tc>
          <w:tcPr>
            <w:tcW w:w="1700" w:type="dxa"/>
            <w:vAlign w:val="bottom"/>
            <w:tcBorders>
              <w:right w:val="single" w:sz="8" w:color="auto"/>
            </w:tcBorders>
            <w:shd w:val="clear" w:color="auto" w:fill="4DC1E4"/>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4DC1E4"/>
          </w:tcPr>
          <w:p>
            <w:pPr>
              <w:spacing w:after="0"/>
              <w:rPr>
                <w:sz w:val="18"/>
                <w:szCs w:val="18"/>
                <w:color w:val="auto"/>
              </w:rPr>
            </w:pPr>
          </w:p>
        </w:tc>
        <w:tc>
          <w:tcPr>
            <w:tcW w:w="1760" w:type="dxa"/>
            <w:vAlign w:val="bottom"/>
            <w:tcBorders>
              <w:right w:val="single" w:sz="8" w:color="auto"/>
            </w:tcBorders>
            <w:shd w:val="clear" w:color="auto" w:fill="4DC1E4"/>
          </w:tcPr>
          <w:p>
            <w:pPr>
              <w:spacing w:after="0"/>
              <w:rPr>
                <w:sz w:val="18"/>
                <w:szCs w:val="18"/>
                <w:color w:val="auto"/>
              </w:rPr>
            </w:pPr>
          </w:p>
        </w:tc>
        <w:tc>
          <w:tcPr>
            <w:tcW w:w="1860" w:type="dxa"/>
            <w:vAlign w:val="bottom"/>
            <w:tcBorders>
              <w:right w:val="single" w:sz="8" w:color="auto"/>
            </w:tcBorders>
            <w:shd w:val="clear" w:color="auto" w:fill="4DC1E4"/>
          </w:tcPr>
          <w:p>
            <w:pPr>
              <w:spacing w:after="0"/>
              <w:rPr>
                <w:sz w:val="18"/>
                <w:szCs w:val="18"/>
                <w:color w:val="auto"/>
              </w:rPr>
            </w:pPr>
          </w:p>
        </w:tc>
        <w:tc>
          <w:tcPr>
            <w:tcW w:w="172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700" w:type="dxa"/>
            <w:vAlign w:val="bottom"/>
            <w:tcBorders>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$100</w:t>
            </w:r>
          </w:p>
        </w:tc>
        <w:tc>
          <w:tcPr>
            <w:tcW w:w="1700" w:type="dxa"/>
            <w:vAlign w:val="bottom"/>
            <w:tcBorders>
              <w:right w:val="single" w:sz="8" w:color="auto"/>
            </w:tcBorders>
            <w:shd w:val="clear" w:color="auto" w:fill="4DC1E4"/>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4DC1E4"/>
          </w:tcPr>
          <w:p>
            <w:pPr>
              <w:spacing w:after="0"/>
              <w:rPr>
                <w:sz w:val="18"/>
                <w:szCs w:val="18"/>
                <w:color w:val="auto"/>
              </w:rPr>
            </w:pPr>
          </w:p>
        </w:tc>
        <w:tc>
          <w:tcPr>
            <w:tcW w:w="1760" w:type="dxa"/>
            <w:vAlign w:val="bottom"/>
            <w:tcBorders>
              <w:right w:val="single" w:sz="8" w:color="auto"/>
            </w:tcBorders>
            <w:shd w:val="clear" w:color="auto" w:fill="4DC1E4"/>
          </w:tcPr>
          <w:p>
            <w:pPr>
              <w:spacing w:after="0"/>
              <w:rPr>
                <w:sz w:val="18"/>
                <w:szCs w:val="18"/>
                <w:color w:val="auto"/>
              </w:rPr>
            </w:pPr>
          </w:p>
        </w:tc>
        <w:tc>
          <w:tcPr>
            <w:tcW w:w="1860" w:type="dxa"/>
            <w:vAlign w:val="bottom"/>
            <w:tcBorders>
              <w:right w:val="single" w:sz="8" w:color="auto"/>
            </w:tcBorders>
            <w:shd w:val="clear" w:color="auto" w:fill="4DC1E4"/>
          </w:tcPr>
          <w:p>
            <w:pPr>
              <w:spacing w:after="0"/>
              <w:rPr>
                <w:sz w:val="18"/>
                <w:szCs w:val="18"/>
                <w:color w:val="auto"/>
              </w:rPr>
            </w:pPr>
          </w:p>
        </w:tc>
        <w:tc>
          <w:tcPr>
            <w:tcW w:w="172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70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5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Investment</w:t>
            </w:r>
          </w:p>
        </w:tc>
        <w:tc>
          <w:tcPr>
            <w:tcW w:w="1700" w:type="dxa"/>
            <w:vAlign w:val="bottom"/>
            <w:tcBorders>
              <w:right w:val="single" w:sz="8" w:color="auto"/>
            </w:tcBorders>
            <w:shd w:val="clear" w:color="auto" w:fill="4DC1E4"/>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4DC1E4"/>
          </w:tcPr>
          <w:p>
            <w:pPr>
              <w:spacing w:after="0"/>
              <w:rPr>
                <w:sz w:val="18"/>
                <w:szCs w:val="18"/>
                <w:color w:val="auto"/>
              </w:rPr>
            </w:pPr>
          </w:p>
        </w:tc>
        <w:tc>
          <w:tcPr>
            <w:tcW w:w="1760" w:type="dxa"/>
            <w:vAlign w:val="bottom"/>
            <w:tcBorders>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860" w:type="dxa"/>
            <w:vAlign w:val="bottom"/>
            <w:tcBorders>
              <w:right w:val="single" w:sz="8" w:color="auto"/>
            </w:tcBorders>
            <w:shd w:val="clear" w:color="auto" w:fill="4DC1E4"/>
          </w:tcPr>
          <w:p>
            <w:pPr>
              <w:spacing w:after="0"/>
              <w:rPr>
                <w:sz w:val="18"/>
                <w:szCs w:val="18"/>
                <w:color w:val="auto"/>
              </w:rPr>
            </w:pPr>
          </w:p>
        </w:tc>
        <w:tc>
          <w:tcPr>
            <w:tcW w:w="172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70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5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Based on Total</w:t>
            </w:r>
          </w:p>
        </w:tc>
        <w:tc>
          <w:tcPr>
            <w:tcW w:w="1700" w:type="dxa"/>
            <w:vAlign w:val="bottom"/>
            <w:tcBorders>
              <w:right w:val="single" w:sz="8" w:color="auto"/>
            </w:tcBorders>
            <w:shd w:val="clear" w:color="auto" w:fill="4DC1E4"/>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4DC1E4"/>
          </w:tcPr>
          <w:p>
            <w:pPr>
              <w:spacing w:after="0"/>
              <w:rPr>
                <w:sz w:val="18"/>
                <w:szCs w:val="18"/>
                <w:color w:val="auto"/>
              </w:rPr>
            </w:pPr>
          </w:p>
        </w:tc>
        <w:tc>
          <w:tcPr>
            <w:tcW w:w="176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86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7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Table Total for</w:t>
            </w:r>
          </w:p>
        </w:tc>
        <w:tc>
          <w:tcPr>
            <w:tcW w:w="170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Actually Paid</w:t>
            </w:r>
          </w:p>
        </w:tc>
        <w:tc>
          <w:tcPr>
            <w:tcW w:w="15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Stockholder</w:t>
            </w:r>
          </w:p>
        </w:tc>
        <w:tc>
          <w:tcPr>
            <w:tcW w:w="170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Net Income</w:t>
            </w:r>
          </w:p>
        </w:tc>
      </w:tr>
      <w:tr>
        <w:trPr>
          <w:trHeight w:val="196"/>
        </w:trPr>
        <w:tc>
          <w:tcPr>
            <w:tcW w:w="960" w:type="dxa"/>
            <w:vAlign w:val="bottom"/>
            <w:tcBorders>
              <w:left w:val="single" w:sz="8" w:color="auto"/>
              <w:right w:val="single" w:sz="8" w:color="auto"/>
            </w:tcBorders>
            <w:shd w:val="clear" w:color="auto" w:fill="4DC1E4"/>
          </w:tcPr>
          <w:p>
            <w:pPr>
              <w:spacing w:after="0"/>
              <w:rPr>
                <w:sz w:val="17"/>
                <w:szCs w:val="17"/>
                <w:color w:val="auto"/>
              </w:rPr>
            </w:pPr>
          </w:p>
        </w:tc>
        <w:tc>
          <w:tcPr>
            <w:tcW w:w="176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Table Total</w:t>
            </w:r>
          </w:p>
        </w:tc>
        <w:tc>
          <w:tcPr>
            <w:tcW w:w="186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Actually Paid</w:t>
            </w:r>
          </w:p>
        </w:tc>
        <w:tc>
          <w:tcPr>
            <w:tcW w:w="172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rPr>
              <w:t>Non-PEO</w:t>
            </w:r>
          </w:p>
        </w:tc>
        <w:tc>
          <w:tcPr>
            <w:tcW w:w="170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to Non-PEO</w:t>
            </w:r>
          </w:p>
        </w:tc>
        <w:tc>
          <w:tcPr>
            <w:tcW w:w="15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8"/>
              </w:rPr>
              <w:t>Return</w:t>
            </w:r>
          </w:p>
        </w:tc>
        <w:tc>
          <w:tcPr>
            <w:tcW w:w="170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7"/>
              </w:rPr>
              <w:t>(Loss)</w:t>
            </w:r>
          </w:p>
        </w:tc>
      </w:tr>
      <w:tr>
        <w:trPr>
          <w:trHeight w:val="304"/>
        </w:trPr>
        <w:tc>
          <w:tcPr>
            <w:tcW w:w="960" w:type="dxa"/>
            <w:vAlign w:val="bottom"/>
            <w:tcBorders>
              <w:left w:val="single" w:sz="8" w:color="auto"/>
              <w:bottom w:val="single" w:sz="8" w:color="4DC1E4"/>
              <w:right w:val="single" w:sz="8" w:color="auto"/>
            </w:tcBorders>
            <w:shd w:val="clear" w:color="auto" w:fill="4DC1E4"/>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760" w:type="dxa"/>
            <w:vAlign w:val="bottom"/>
            <w:tcBorders>
              <w:bottom w:val="single" w:sz="8" w:color="4DC1E4"/>
              <w:right w:val="single" w:sz="8" w:color="auto"/>
            </w:tcBorders>
            <w:shd w:val="clear" w:color="auto" w:fill="4DC1E4"/>
          </w:tcPr>
          <w:p>
            <w:pPr>
              <w:jc w:val="center"/>
              <w:ind w:left="50"/>
              <w:spacing w:after="0" w:line="258" w:lineRule="exact"/>
              <w:rPr>
                <w:sz w:val="20"/>
                <w:szCs w:val="20"/>
                <w:color w:val="auto"/>
              </w:rPr>
            </w:pPr>
            <w:r>
              <w:rPr>
                <w:rFonts w:ascii="Times New Roman" w:cs="Times New Roman" w:eastAsia="Times New Roman" w:hAnsi="Times New Roman"/>
                <w:sz w:val="18"/>
                <w:szCs w:val="18"/>
                <w:b w:val="1"/>
                <w:bCs w:val="1"/>
                <w:color w:val="FFFFFF"/>
                <w:w w:val="93"/>
              </w:rPr>
              <w:t xml:space="preserve">for PEO </w:t>
            </w:r>
            <w:r>
              <w:rPr>
                <w:rFonts w:ascii="Times New Roman" w:cs="Times New Roman" w:eastAsia="Times New Roman" w:hAnsi="Times New Roman"/>
                <w:sz w:val="24"/>
                <w:szCs w:val="24"/>
                <w:b w:val="1"/>
                <w:bCs w:val="1"/>
                <w:color w:val="FFFFFF"/>
                <w:w w:val="93"/>
                <w:vertAlign w:val="superscript"/>
              </w:rPr>
              <w:t>(1)</w:t>
            </w:r>
          </w:p>
        </w:tc>
        <w:tc>
          <w:tcPr>
            <w:tcW w:w="1860" w:type="dxa"/>
            <w:vAlign w:val="bottom"/>
            <w:tcBorders>
              <w:bottom w:val="single" w:sz="8" w:color="4DC1E4"/>
              <w:right w:val="single" w:sz="8" w:color="auto"/>
            </w:tcBorders>
            <w:shd w:val="clear" w:color="auto" w:fill="4DC1E4"/>
          </w:tcPr>
          <w:p>
            <w:pPr>
              <w:jc w:val="center"/>
              <w:ind w:left="50"/>
              <w:spacing w:after="0" w:line="258" w:lineRule="exact"/>
              <w:rPr>
                <w:sz w:val="20"/>
                <w:szCs w:val="20"/>
                <w:color w:val="auto"/>
              </w:rPr>
            </w:pPr>
            <w:r>
              <w:rPr>
                <w:rFonts w:ascii="Times New Roman" w:cs="Times New Roman" w:eastAsia="Times New Roman" w:hAnsi="Times New Roman"/>
                <w:sz w:val="18"/>
                <w:szCs w:val="18"/>
                <w:b w:val="1"/>
                <w:bCs w:val="1"/>
                <w:color w:val="FFFFFF"/>
                <w:w w:val="90"/>
              </w:rPr>
              <w:t xml:space="preserve">to PEO </w:t>
            </w:r>
            <w:r>
              <w:rPr>
                <w:rFonts w:ascii="Times New Roman" w:cs="Times New Roman" w:eastAsia="Times New Roman" w:hAnsi="Times New Roman"/>
                <w:sz w:val="24"/>
                <w:szCs w:val="24"/>
                <w:b w:val="1"/>
                <w:bCs w:val="1"/>
                <w:color w:val="FFFFFF"/>
                <w:w w:val="90"/>
                <w:vertAlign w:val="superscript"/>
              </w:rPr>
              <w:t>(2)</w:t>
            </w:r>
          </w:p>
        </w:tc>
        <w:tc>
          <w:tcPr>
            <w:tcW w:w="1720" w:type="dxa"/>
            <w:vAlign w:val="bottom"/>
            <w:tcBorders>
              <w:bottom w:val="single" w:sz="8" w:color="4DC1E4"/>
              <w:right w:val="single" w:sz="8" w:color="auto"/>
            </w:tcBorders>
            <w:shd w:val="clear" w:color="auto" w:fill="4DC1E4"/>
          </w:tcPr>
          <w:p>
            <w:pPr>
              <w:jc w:val="center"/>
              <w:ind w:left="30"/>
              <w:spacing w:after="0" w:line="258" w:lineRule="exact"/>
              <w:rPr>
                <w:sz w:val="20"/>
                <w:szCs w:val="20"/>
                <w:color w:val="auto"/>
              </w:rPr>
            </w:pPr>
            <w:r>
              <w:rPr>
                <w:rFonts w:ascii="Times New Roman" w:cs="Times New Roman" w:eastAsia="Times New Roman" w:hAnsi="Times New Roman"/>
                <w:sz w:val="18"/>
                <w:szCs w:val="18"/>
                <w:b w:val="1"/>
                <w:bCs w:val="1"/>
                <w:color w:val="FFFFFF"/>
                <w:w w:val="92"/>
              </w:rPr>
              <w:t xml:space="preserve">NEOs </w:t>
            </w:r>
            <w:r>
              <w:rPr>
                <w:rFonts w:ascii="Times New Roman" w:cs="Times New Roman" w:eastAsia="Times New Roman" w:hAnsi="Times New Roman"/>
                <w:sz w:val="24"/>
                <w:szCs w:val="24"/>
                <w:b w:val="1"/>
                <w:bCs w:val="1"/>
                <w:color w:val="FFFFFF"/>
                <w:w w:val="92"/>
                <w:vertAlign w:val="superscript"/>
              </w:rPr>
              <w:t>(3)</w:t>
            </w:r>
          </w:p>
        </w:tc>
        <w:tc>
          <w:tcPr>
            <w:tcW w:w="1700" w:type="dxa"/>
            <w:vAlign w:val="bottom"/>
            <w:tcBorders>
              <w:bottom w:val="single" w:sz="8" w:color="4DC1E4"/>
              <w:right w:val="single" w:sz="8" w:color="auto"/>
            </w:tcBorders>
            <w:shd w:val="clear" w:color="auto" w:fill="4DC1E4"/>
          </w:tcPr>
          <w:p>
            <w:pPr>
              <w:jc w:val="center"/>
              <w:ind w:left="30"/>
              <w:spacing w:after="0" w:line="258" w:lineRule="exact"/>
              <w:rPr>
                <w:sz w:val="20"/>
                <w:szCs w:val="20"/>
                <w:color w:val="auto"/>
              </w:rPr>
            </w:pPr>
            <w:r>
              <w:rPr>
                <w:rFonts w:ascii="Times New Roman" w:cs="Times New Roman" w:eastAsia="Times New Roman" w:hAnsi="Times New Roman"/>
                <w:sz w:val="18"/>
                <w:szCs w:val="18"/>
                <w:b w:val="1"/>
                <w:bCs w:val="1"/>
                <w:color w:val="FFFFFF"/>
                <w:w w:val="95"/>
              </w:rPr>
              <w:t xml:space="preserve">NEOs </w:t>
            </w:r>
            <w:r>
              <w:rPr>
                <w:rFonts w:ascii="Times New Roman" w:cs="Times New Roman" w:eastAsia="Times New Roman" w:hAnsi="Times New Roman"/>
                <w:sz w:val="24"/>
                <w:szCs w:val="24"/>
                <w:b w:val="1"/>
                <w:bCs w:val="1"/>
                <w:color w:val="FFFFFF"/>
                <w:w w:val="95"/>
                <w:vertAlign w:val="superscript"/>
              </w:rPr>
              <w:t>(4)</w:t>
            </w:r>
          </w:p>
        </w:tc>
        <w:tc>
          <w:tcPr>
            <w:tcW w:w="1540" w:type="dxa"/>
            <w:vAlign w:val="bottom"/>
            <w:tcBorders>
              <w:bottom w:val="single" w:sz="8" w:color="4DC1E4"/>
              <w:right w:val="single" w:sz="8" w:color="auto"/>
            </w:tcBorders>
            <w:shd w:val="clear" w:color="auto" w:fill="4DC1E4"/>
          </w:tcPr>
          <w:p>
            <w:pPr>
              <w:jc w:val="center"/>
              <w:ind w:left="30"/>
              <w:spacing w:after="0" w:line="258" w:lineRule="exact"/>
              <w:rPr>
                <w:sz w:val="20"/>
                <w:szCs w:val="20"/>
                <w:color w:val="auto"/>
              </w:rPr>
            </w:pPr>
            <w:r>
              <w:rPr>
                <w:rFonts w:ascii="Times New Roman" w:cs="Times New Roman" w:eastAsia="Times New Roman" w:hAnsi="Times New Roman"/>
                <w:sz w:val="18"/>
                <w:szCs w:val="18"/>
                <w:b w:val="1"/>
                <w:bCs w:val="1"/>
                <w:color w:val="FFFFFF"/>
                <w:w w:val="92"/>
              </w:rPr>
              <w:t xml:space="preserve">(“TSR”) </w:t>
            </w:r>
            <w:r>
              <w:rPr>
                <w:rFonts w:ascii="Times New Roman" w:cs="Times New Roman" w:eastAsia="Times New Roman" w:hAnsi="Times New Roman"/>
                <w:sz w:val="24"/>
                <w:szCs w:val="24"/>
                <w:b w:val="1"/>
                <w:bCs w:val="1"/>
                <w:color w:val="FFFFFF"/>
                <w:w w:val="92"/>
                <w:vertAlign w:val="superscript"/>
              </w:rPr>
              <w:t>(5)</w:t>
            </w:r>
          </w:p>
        </w:tc>
        <w:tc>
          <w:tcPr>
            <w:tcW w:w="1700" w:type="dxa"/>
            <w:vAlign w:val="bottom"/>
            <w:tcBorders>
              <w:bottom w:val="single" w:sz="8" w:color="4DC1E4"/>
              <w:right w:val="single" w:sz="8" w:color="auto"/>
            </w:tcBorders>
            <w:shd w:val="clear" w:color="auto" w:fill="4DC1E4"/>
          </w:tcPr>
          <w:p>
            <w:pPr>
              <w:jc w:val="right"/>
              <w:ind w:right="150"/>
              <w:spacing w:after="0" w:line="258" w:lineRule="exact"/>
              <w:rPr>
                <w:sz w:val="20"/>
                <w:szCs w:val="20"/>
                <w:color w:val="auto"/>
              </w:rPr>
            </w:pPr>
            <w:r>
              <w:rPr>
                <w:rFonts w:ascii="Times New Roman" w:cs="Times New Roman" w:eastAsia="Times New Roman" w:hAnsi="Times New Roman"/>
                <w:sz w:val="18"/>
                <w:szCs w:val="18"/>
                <w:b w:val="1"/>
                <w:bCs w:val="1"/>
                <w:color w:val="FFFFFF"/>
              </w:rPr>
              <w:t xml:space="preserve">(thousands) </w:t>
            </w:r>
            <w:r>
              <w:rPr>
                <w:rFonts w:ascii="Times New Roman" w:cs="Times New Roman" w:eastAsia="Times New Roman" w:hAnsi="Times New Roman"/>
                <w:sz w:val="24"/>
                <w:szCs w:val="24"/>
                <w:b w:val="1"/>
                <w:bCs w:val="1"/>
                <w:color w:val="FFFFFF"/>
                <w:vertAlign w:val="superscript"/>
              </w:rPr>
              <w:t>(6)</w:t>
            </w:r>
          </w:p>
        </w:tc>
      </w:tr>
      <w:tr>
        <w:trPr>
          <w:trHeight w:val="209"/>
        </w:trPr>
        <w:tc>
          <w:tcPr>
            <w:tcW w:w="960" w:type="dxa"/>
            <w:vAlign w:val="bottom"/>
            <w:tcBorders>
              <w:top w:val="single" w:sz="8" w:color="auto"/>
              <w:left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w:t>
            </w:r>
          </w:p>
        </w:tc>
        <w:tc>
          <w:tcPr>
            <w:tcW w:w="176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6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72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70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54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70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210"/>
        </w:trPr>
        <w:tc>
          <w:tcPr>
            <w:tcW w:w="96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$2,511,649</w:t>
            </w:r>
          </w:p>
        </w:tc>
        <w:tc>
          <w:tcPr>
            <w:tcW w:w="18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$2,439,527</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$1,274,915</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$1,239,951</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$36.24</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$(80,604)</w:t>
            </w:r>
          </w:p>
        </w:tc>
      </w:tr>
      <w:tr>
        <w:trPr>
          <w:trHeight w:val="210"/>
        </w:trPr>
        <w:tc>
          <w:tcPr>
            <w:tcW w:w="96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$3,137,431</w:t>
            </w:r>
          </w:p>
        </w:tc>
        <w:tc>
          <w:tcPr>
            <w:tcW w:w="18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$3,261,658</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$1,399,936</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$1,238,406</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$42.17</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$(36,949)</w:t>
            </w:r>
          </w:p>
        </w:tc>
      </w:tr>
      <w:tr>
        <w:trPr>
          <w:trHeight w:val="210"/>
        </w:trPr>
        <w:tc>
          <w:tcPr>
            <w:tcW w:w="96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7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$2,129,549</w:t>
            </w:r>
          </w:p>
        </w:tc>
        <w:tc>
          <w:tcPr>
            <w:tcW w:w="18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$(437,290)</w:t>
            </w:r>
          </w:p>
        </w:tc>
        <w:tc>
          <w:tcPr>
            <w:tcW w:w="17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$1,132,322</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$(205,217)</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$38.28</w:t>
            </w:r>
          </w:p>
        </w:tc>
        <w:tc>
          <w:tcPr>
            <w:tcW w:w="17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$(35,355)</w:t>
            </w:r>
          </w:p>
        </w:tc>
      </w:tr>
    </w:tbl>
    <w:p>
      <w:pPr>
        <w:spacing w:after="0" w:line="198" w:lineRule="exact"/>
        <w:rPr>
          <w:sz w:val="20"/>
          <w:szCs w:val="20"/>
          <w:color w:val="auto"/>
        </w:rPr>
      </w:pPr>
    </w:p>
    <w:p>
      <w:pPr>
        <w:ind w:left="780" w:right="20" w:hanging="772"/>
        <w:spacing w:after="0" w:line="261"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Ben-Maimon (our President and Chief Executive Officer) for each of 2022, 2023 and 2024.</w:t>
      </w:r>
    </w:p>
    <w:p>
      <w:pPr>
        <w:jc w:val="both"/>
        <w:ind w:left="780" w:hanging="772"/>
        <w:spacing w:after="0" w:line="252"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Compensation “actually paid” is based on the Summary Compensation Table total compensation figure adjusted to reflect the change in actual value of stock awards (e.g., stock options and restricted equity units) during the covered year. In accordance with the requirements of Item 402(v) of Regulation S-K, the following adjustments were made to Dr. Ben-Maimon’s total compensation for each year to determine the compensation actually paid:</w:t>
      </w:r>
    </w:p>
    <w:p>
      <w:pPr>
        <w:spacing w:after="0" w:line="307"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4" w:name="page35"/>
    <w:bookmarkEnd w:id="34"/>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380" w:type="dxa"/>
            <w:vAlign w:val="bottom"/>
            <w:tcBorders>
              <w:top w:val="single" w:sz="8" w:color="auto"/>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Reported Summary</w:t>
            </w:r>
          </w:p>
        </w:tc>
        <w:tc>
          <w:tcPr>
            <w:tcW w:w="2360" w:type="dxa"/>
            <w:vAlign w:val="bottom"/>
            <w:tcBorders>
              <w:top w:val="single" w:sz="8" w:color="auto"/>
              <w:right w:val="single" w:sz="8" w:color="auto"/>
            </w:tcBorders>
            <w:shd w:val="clear" w:color="auto" w:fill="4DC1E4"/>
          </w:tcPr>
          <w:p>
            <w:pPr>
              <w:spacing w:after="0"/>
              <w:rPr>
                <w:sz w:val="18"/>
                <w:szCs w:val="18"/>
                <w:color w:val="auto"/>
              </w:rPr>
            </w:pPr>
          </w:p>
        </w:tc>
        <w:tc>
          <w:tcPr>
            <w:tcW w:w="2380" w:type="dxa"/>
            <w:vAlign w:val="bottom"/>
            <w:tcBorders>
              <w:top w:val="single" w:sz="8" w:color="auto"/>
              <w:right w:val="single" w:sz="8" w:color="auto"/>
            </w:tcBorders>
            <w:shd w:val="clear" w:color="auto" w:fill="4DC1E4"/>
          </w:tcPr>
          <w:p>
            <w:pPr>
              <w:spacing w:after="0"/>
              <w:rPr>
                <w:sz w:val="18"/>
                <w:szCs w:val="18"/>
                <w:color w:val="auto"/>
              </w:rPr>
            </w:pPr>
          </w:p>
        </w:tc>
        <w:tc>
          <w:tcPr>
            <w:tcW w:w="2400" w:type="dxa"/>
            <w:vAlign w:val="bottom"/>
            <w:tcBorders>
              <w:top w:val="single" w:sz="8" w:color="auto"/>
              <w:right w:val="single" w:sz="8" w:color="auto"/>
            </w:tcBorders>
            <w:shd w:val="clear" w:color="auto" w:fill="4DC1E4"/>
          </w:tcPr>
          <w:p>
            <w:pPr>
              <w:spacing w:after="0"/>
              <w:rPr>
                <w:sz w:val="18"/>
                <w:szCs w:val="18"/>
                <w:color w:val="auto"/>
              </w:rPr>
            </w:pPr>
          </w:p>
        </w:tc>
      </w:tr>
      <w:tr>
        <w:trPr>
          <w:trHeight w:val="196"/>
        </w:trPr>
        <w:tc>
          <w:tcPr>
            <w:tcW w:w="1720" w:type="dxa"/>
            <w:vAlign w:val="bottom"/>
            <w:tcBorders>
              <w:left w:val="single" w:sz="8" w:color="auto"/>
              <w:right w:val="single" w:sz="8" w:color="auto"/>
            </w:tcBorders>
            <w:shd w:val="clear" w:color="auto" w:fill="4DC1E4"/>
          </w:tcPr>
          <w:p>
            <w:pPr>
              <w:spacing w:after="0"/>
              <w:rPr>
                <w:sz w:val="17"/>
                <w:szCs w:val="17"/>
                <w:color w:val="auto"/>
              </w:rPr>
            </w:pPr>
          </w:p>
        </w:tc>
        <w:tc>
          <w:tcPr>
            <w:tcW w:w="238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Compensation Table</w:t>
            </w:r>
          </w:p>
        </w:tc>
        <w:tc>
          <w:tcPr>
            <w:tcW w:w="236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Less: Reported Value of</w:t>
            </w:r>
          </w:p>
        </w:tc>
        <w:tc>
          <w:tcPr>
            <w:tcW w:w="2380" w:type="dxa"/>
            <w:vAlign w:val="bottom"/>
            <w:tcBorders>
              <w:right w:val="single" w:sz="8" w:color="auto"/>
            </w:tcBorders>
            <w:shd w:val="clear" w:color="auto" w:fill="4DC1E4"/>
          </w:tcPr>
          <w:p>
            <w:pPr>
              <w:jc w:val="center"/>
              <w:ind w:left="7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400" w:type="dxa"/>
            <w:vAlign w:val="bottom"/>
            <w:tcBorders>
              <w:right w:val="single" w:sz="8" w:color="auto"/>
            </w:tcBorders>
            <w:shd w:val="clear" w:color="auto" w:fill="4DC1E4"/>
          </w:tcPr>
          <w:p>
            <w:pPr>
              <w:jc w:val="center"/>
              <w:ind w:left="7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236"/>
        </w:trPr>
        <w:tc>
          <w:tcPr>
            <w:tcW w:w="1720" w:type="dxa"/>
            <w:vAlign w:val="bottom"/>
            <w:tcBorders>
              <w:left w:val="single" w:sz="8" w:color="auto"/>
              <w:right w:val="single" w:sz="8" w:color="auto"/>
            </w:tcBorders>
            <w:shd w:val="clear" w:color="auto" w:fill="4DC1E4"/>
          </w:tcPr>
          <w:p>
            <w:pPr>
              <w:spacing w:after="0"/>
              <w:rPr>
                <w:sz w:val="20"/>
                <w:szCs w:val="20"/>
                <w:color w:val="auto"/>
              </w:rPr>
            </w:pPr>
          </w:p>
        </w:tc>
        <w:tc>
          <w:tcPr>
            <w:tcW w:w="2380" w:type="dxa"/>
            <w:vAlign w:val="bottom"/>
            <w:tcBorders>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w w:val="99"/>
              </w:rPr>
              <w:t>Total for PEO</w:t>
            </w:r>
          </w:p>
        </w:tc>
        <w:tc>
          <w:tcPr>
            <w:tcW w:w="2360" w:type="dxa"/>
            <w:vAlign w:val="bottom"/>
            <w:tcBorders>
              <w:right w:val="single" w:sz="8" w:color="auto"/>
            </w:tcBorders>
            <w:shd w:val="clear" w:color="auto" w:fill="4DC1E4"/>
          </w:tcPr>
          <w:p>
            <w:pPr>
              <w:jc w:val="center"/>
              <w:ind w:left="50"/>
              <w:spacing w:after="0" w:line="236" w:lineRule="exact"/>
              <w:rPr>
                <w:sz w:val="20"/>
                <w:szCs w:val="20"/>
                <w:color w:val="auto"/>
              </w:rPr>
            </w:pPr>
            <w:r>
              <w:rPr>
                <w:rFonts w:ascii="Times New Roman" w:cs="Times New Roman" w:eastAsia="Times New Roman" w:hAnsi="Times New Roman"/>
                <w:sz w:val="18"/>
                <w:szCs w:val="18"/>
                <w:b w:val="1"/>
                <w:bCs w:val="1"/>
                <w:color w:val="FFFFFF"/>
                <w:w w:val="95"/>
              </w:rPr>
              <w:t xml:space="preserve">Equity Awards </w:t>
            </w:r>
            <w:r>
              <w:rPr>
                <w:rFonts w:ascii="Times New Roman" w:cs="Times New Roman" w:eastAsia="Times New Roman" w:hAnsi="Times New Roman"/>
                <w:sz w:val="24"/>
                <w:szCs w:val="24"/>
                <w:b w:val="1"/>
                <w:bCs w:val="1"/>
                <w:color w:val="FFFFFF"/>
                <w:w w:val="95"/>
                <w:vertAlign w:val="superscript"/>
              </w:rPr>
              <w:t>(a)</w:t>
            </w:r>
          </w:p>
        </w:tc>
        <w:tc>
          <w:tcPr>
            <w:tcW w:w="2380" w:type="dxa"/>
            <w:vAlign w:val="bottom"/>
            <w:tcBorders>
              <w:right w:val="single" w:sz="8" w:color="auto"/>
            </w:tcBorders>
            <w:shd w:val="clear" w:color="auto" w:fill="4DC1E4"/>
          </w:tcPr>
          <w:p>
            <w:pPr>
              <w:jc w:val="center"/>
              <w:ind w:left="70"/>
              <w:spacing w:after="0" w:line="236" w:lineRule="exact"/>
              <w:rPr>
                <w:sz w:val="20"/>
                <w:szCs w:val="20"/>
                <w:color w:val="auto"/>
              </w:rPr>
            </w:pPr>
            <w:r>
              <w:rPr>
                <w:rFonts w:ascii="Times New Roman" w:cs="Times New Roman" w:eastAsia="Times New Roman" w:hAnsi="Times New Roman"/>
                <w:sz w:val="18"/>
                <w:szCs w:val="18"/>
                <w:b w:val="1"/>
                <w:bCs w:val="1"/>
                <w:color w:val="FFFFFF"/>
                <w:w w:val="96"/>
              </w:rPr>
              <w:t xml:space="preserve">Adjustments </w:t>
            </w:r>
            <w:r>
              <w:rPr>
                <w:rFonts w:ascii="Times New Roman" w:cs="Times New Roman" w:eastAsia="Times New Roman" w:hAnsi="Times New Roman"/>
                <w:sz w:val="24"/>
                <w:szCs w:val="24"/>
                <w:b w:val="1"/>
                <w:bCs w:val="1"/>
                <w:color w:val="FFFFFF"/>
                <w:w w:val="96"/>
                <w:vertAlign w:val="superscript"/>
              </w:rPr>
              <w:t>(b)</w:t>
            </w:r>
          </w:p>
        </w:tc>
        <w:tc>
          <w:tcPr>
            <w:tcW w:w="2400" w:type="dxa"/>
            <w:vAlign w:val="bottom"/>
            <w:tcBorders>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w w:val="99"/>
              </w:rPr>
              <w:t>Actually Paid to PEO</w:t>
            </w:r>
          </w:p>
        </w:tc>
      </w:tr>
      <w:tr>
        <w:trPr>
          <w:trHeight w:val="284"/>
        </w:trPr>
        <w:tc>
          <w:tcPr>
            <w:tcW w:w="1720" w:type="dxa"/>
            <w:vAlign w:val="bottom"/>
            <w:tcBorders>
              <w:left w:val="single" w:sz="8" w:color="auto"/>
              <w:bottom w:val="single" w:sz="8" w:color="4DC1E4"/>
              <w:right w:val="single" w:sz="8" w:color="auto"/>
            </w:tcBorders>
            <w:shd w:val="clear" w:color="auto" w:fill="4DC1E4"/>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380" w:type="dxa"/>
            <w:vAlign w:val="bottom"/>
            <w:tcBorders>
              <w:bottom w:val="single" w:sz="8" w:color="4DC1E4"/>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rPr>
              <w:t>($)</w:t>
            </w:r>
          </w:p>
        </w:tc>
        <w:tc>
          <w:tcPr>
            <w:tcW w:w="2360" w:type="dxa"/>
            <w:vAlign w:val="bottom"/>
            <w:tcBorders>
              <w:bottom w:val="single" w:sz="8" w:color="4DC1E4"/>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w:t>
            </w:r>
          </w:p>
        </w:tc>
        <w:tc>
          <w:tcPr>
            <w:tcW w:w="2380" w:type="dxa"/>
            <w:vAlign w:val="bottom"/>
            <w:tcBorders>
              <w:bottom w:val="single" w:sz="8" w:color="4DC1E4"/>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rPr>
              <w:t>($)</w:t>
            </w:r>
          </w:p>
        </w:tc>
        <w:tc>
          <w:tcPr>
            <w:tcW w:w="2400" w:type="dxa"/>
            <w:vAlign w:val="bottom"/>
            <w:tcBorders>
              <w:bottom w:val="single" w:sz="8" w:color="4DC1E4"/>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w w:val="95"/>
              </w:rPr>
              <w:t>($)</w:t>
            </w:r>
          </w:p>
        </w:tc>
      </w:tr>
      <w:tr>
        <w:trPr>
          <w:trHeight w:val="210"/>
        </w:trPr>
        <w:tc>
          <w:tcPr>
            <w:tcW w:w="1720" w:type="dxa"/>
            <w:vAlign w:val="bottom"/>
            <w:tcBorders>
              <w:top w:val="single" w:sz="8" w:color="auto"/>
              <w:left w:val="single" w:sz="8" w:color="auto"/>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w:t>
            </w:r>
          </w:p>
        </w:tc>
        <w:tc>
          <w:tcPr>
            <w:tcW w:w="238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6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38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40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09"/>
        </w:trPr>
        <w:tc>
          <w:tcPr>
            <w:tcW w:w="1720" w:type="dxa"/>
            <w:vAlign w:val="bottom"/>
            <w:tcBorders>
              <w:left w:val="single" w:sz="8" w:color="auto"/>
              <w:bottom w:val="single" w:sz="8" w:color="auto"/>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$2,511,649</w:t>
            </w:r>
          </w:p>
        </w:tc>
        <w:tc>
          <w:tcPr>
            <w:tcW w:w="236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$(1,605,991)</w:t>
            </w:r>
          </w:p>
        </w:tc>
        <w:tc>
          <w:tcPr>
            <w:tcW w:w="23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$1,533,869</w:t>
            </w:r>
          </w:p>
        </w:tc>
        <w:tc>
          <w:tcPr>
            <w:tcW w:w="240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$2,439,527</w:t>
            </w:r>
          </w:p>
        </w:tc>
      </w:tr>
      <w:tr>
        <w:trPr>
          <w:trHeight w:val="209"/>
        </w:trPr>
        <w:tc>
          <w:tcPr>
            <w:tcW w:w="1720" w:type="dxa"/>
            <w:vAlign w:val="bottom"/>
            <w:tcBorders>
              <w:left w:val="single" w:sz="8" w:color="auto"/>
              <w:bottom w:val="single" w:sz="8" w:color="auto"/>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$3,137,431</w:t>
            </w:r>
          </w:p>
        </w:tc>
        <w:tc>
          <w:tcPr>
            <w:tcW w:w="236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$(2,272,433)</w:t>
            </w:r>
          </w:p>
        </w:tc>
        <w:tc>
          <w:tcPr>
            <w:tcW w:w="23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$2,396,659</w:t>
            </w:r>
          </w:p>
        </w:tc>
        <w:tc>
          <w:tcPr>
            <w:tcW w:w="240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$3,261,658</w:t>
            </w:r>
          </w:p>
        </w:tc>
      </w:tr>
      <w:tr>
        <w:trPr>
          <w:trHeight w:val="210"/>
        </w:trPr>
        <w:tc>
          <w:tcPr>
            <w:tcW w:w="1720" w:type="dxa"/>
            <w:vAlign w:val="bottom"/>
            <w:tcBorders>
              <w:left w:val="single" w:sz="8" w:color="auto"/>
              <w:bottom w:val="single" w:sz="8" w:color="auto"/>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$2,129,549</w:t>
            </w:r>
          </w:p>
        </w:tc>
        <w:tc>
          <w:tcPr>
            <w:tcW w:w="236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$(1,283,915)</w:t>
            </w:r>
          </w:p>
        </w:tc>
        <w:tc>
          <w:tcPr>
            <w:tcW w:w="238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$(1,282,924)</w:t>
            </w:r>
          </w:p>
        </w:tc>
        <w:tc>
          <w:tcPr>
            <w:tcW w:w="240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$(437,290)</w:t>
            </w:r>
          </w:p>
        </w:tc>
      </w:tr>
    </w:tbl>
    <w:p>
      <w:pPr>
        <w:spacing w:after="0" w:line="198" w:lineRule="exact"/>
        <w:rPr>
          <w:sz w:val="20"/>
          <w:szCs w:val="20"/>
          <w:color w:val="auto"/>
        </w:rPr>
      </w:pPr>
    </w:p>
    <w:p>
      <w:pPr>
        <w:ind w:left="780" w:hanging="772"/>
        <w:spacing w:after="0" w:line="26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jc w:val="both"/>
        <w:ind w:left="780" w:hanging="772"/>
        <w:spacing w:after="0" w:line="251"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80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420" w:type="dxa"/>
            <w:vAlign w:val="bottom"/>
            <w:tcBorders>
              <w:top w:val="single" w:sz="8" w:color="auto"/>
              <w:right w:val="single" w:sz="8" w:color="auto"/>
            </w:tcBorders>
            <w:shd w:val="clear" w:color="auto" w:fill="4DC1E4"/>
          </w:tcPr>
          <w:p>
            <w:pPr>
              <w:spacing w:after="0"/>
              <w:rPr>
                <w:sz w:val="17"/>
                <w:szCs w:val="17"/>
                <w:color w:val="auto"/>
              </w:rPr>
            </w:pPr>
          </w:p>
        </w:tc>
        <w:tc>
          <w:tcPr>
            <w:tcW w:w="1500" w:type="dxa"/>
            <w:vAlign w:val="bottom"/>
            <w:tcBorders>
              <w:top w:val="single" w:sz="8" w:color="auto"/>
              <w:right w:val="single" w:sz="8" w:color="auto"/>
            </w:tcBorders>
            <w:shd w:val="clear" w:color="auto" w:fill="4DC1E4"/>
          </w:tcPr>
          <w:p>
            <w:pPr>
              <w:spacing w:after="0"/>
              <w:rPr>
                <w:sz w:val="17"/>
                <w:szCs w:val="17"/>
                <w:color w:val="auto"/>
              </w:rPr>
            </w:pPr>
          </w:p>
        </w:tc>
        <w:tc>
          <w:tcPr>
            <w:tcW w:w="1460" w:type="dxa"/>
            <w:vAlign w:val="bottom"/>
            <w:tcBorders>
              <w:top w:val="single" w:sz="8" w:color="auto"/>
              <w:right w:val="single" w:sz="8" w:color="auto"/>
            </w:tcBorders>
            <w:shd w:val="clear" w:color="auto" w:fill="4DC1E4"/>
          </w:tcPr>
          <w:p>
            <w:pPr>
              <w:spacing w:after="0"/>
              <w:rPr>
                <w:sz w:val="17"/>
                <w:szCs w:val="17"/>
                <w:color w:val="auto"/>
              </w:rPr>
            </w:pPr>
          </w:p>
        </w:tc>
        <w:tc>
          <w:tcPr>
            <w:tcW w:w="1440" w:type="dxa"/>
            <w:vAlign w:val="bottom"/>
            <w:tcBorders>
              <w:top w:val="single" w:sz="8" w:color="auto"/>
              <w:right w:val="single" w:sz="8" w:color="auto"/>
            </w:tcBorders>
            <w:shd w:val="clear" w:color="auto" w:fill="4DC1E4"/>
          </w:tcPr>
          <w:p>
            <w:pPr>
              <w:spacing w:after="0"/>
              <w:rPr>
                <w:sz w:val="17"/>
                <w:szCs w:val="17"/>
                <w:color w:val="auto"/>
              </w:rPr>
            </w:pPr>
          </w:p>
        </w:tc>
        <w:tc>
          <w:tcPr>
            <w:tcW w:w="1520" w:type="dxa"/>
            <w:vAlign w:val="bottom"/>
            <w:tcBorders>
              <w:top w:val="single" w:sz="8" w:color="auto"/>
              <w:right w:val="single" w:sz="8" w:color="auto"/>
            </w:tcBorders>
            <w:shd w:val="clear" w:color="auto" w:fill="4DC1E4"/>
          </w:tcPr>
          <w:p>
            <w:pPr>
              <w:spacing w:after="0"/>
              <w:rPr>
                <w:sz w:val="17"/>
                <w:szCs w:val="17"/>
                <w:color w:val="auto"/>
              </w:rPr>
            </w:pPr>
          </w:p>
        </w:tc>
        <w:tc>
          <w:tcPr>
            <w:tcW w:w="1560" w:type="dxa"/>
            <w:vAlign w:val="bottom"/>
            <w:tcBorders>
              <w:top w:val="single" w:sz="8" w:color="auto"/>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54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520" w:type="dxa"/>
            <w:vAlign w:val="bottom"/>
            <w:tcBorders>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5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56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other Earnings</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46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over</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the End of the</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Paid on Stock</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Change</w:t>
            </w:r>
          </w:p>
        </w:tc>
        <w:tc>
          <w:tcPr>
            <w:tcW w:w="146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Prior</w:t>
            </w:r>
          </w:p>
        </w:tc>
        <w:tc>
          <w:tcPr>
            <w:tcW w:w="156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in Fair Value</w:t>
            </w:r>
          </w:p>
        </w:tc>
        <w:tc>
          <w:tcPr>
            <w:tcW w:w="146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4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of Equity</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not Otherwise</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50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4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 Granted</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Failed to</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540" w:type="dxa"/>
            <w:vAlign w:val="bottom"/>
            <w:tcBorders>
              <w:right w:val="single" w:sz="8" w:color="auto"/>
            </w:tcBorders>
            <w:shd w:val="clear" w:color="auto" w:fill="4DC1E4"/>
          </w:tcPr>
          <w:p>
            <w:pPr>
              <w:spacing w:after="0"/>
              <w:rPr>
                <w:sz w:val="17"/>
                <w:szCs w:val="17"/>
                <w:color w:val="auto"/>
              </w:rPr>
            </w:pP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50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4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 Granted</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in Prior Years</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Meet Vesting</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 or</w:t>
            </w:r>
          </w:p>
        </w:tc>
        <w:tc>
          <w:tcPr>
            <w:tcW w:w="15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Total Equity</w:t>
            </w: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50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Granted In Prior</w:t>
            </w:r>
          </w:p>
        </w:tc>
        <w:tc>
          <w:tcPr>
            <w:tcW w:w="146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that Vested</w:t>
            </w:r>
          </w:p>
        </w:tc>
        <w:tc>
          <w:tcPr>
            <w:tcW w:w="15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5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15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w:t>
            </w:r>
          </w:p>
        </w:tc>
      </w:tr>
      <w:tr>
        <w:trPr>
          <w:trHeight w:val="203"/>
        </w:trPr>
        <w:tc>
          <w:tcPr>
            <w:tcW w:w="800" w:type="dxa"/>
            <w:vAlign w:val="bottom"/>
            <w:tcBorders>
              <w:left w:val="single" w:sz="8" w:color="auto"/>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4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4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5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56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5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800" w:type="dxa"/>
            <w:vAlign w:val="bottom"/>
            <w:tcBorders>
              <w:left w:val="single" w:sz="8" w:color="auto"/>
              <w:bottom w:val="single" w:sz="8" w:color="4DC1E4"/>
              <w:right w:val="single" w:sz="8" w:color="auto"/>
            </w:tcBorders>
            <w:shd w:val="clear" w:color="auto" w:fill="4DC1E4"/>
          </w:tcPr>
          <w:p>
            <w:pPr>
              <w:jc w:val="right"/>
              <w:ind w:right="139"/>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42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w:t>
            </w:r>
          </w:p>
        </w:tc>
        <w:tc>
          <w:tcPr>
            <w:tcW w:w="1500" w:type="dxa"/>
            <w:vAlign w:val="bottom"/>
            <w:tcBorders>
              <w:bottom w:val="single" w:sz="8" w:color="4DC1E4"/>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46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w:t>
            </w:r>
          </w:p>
        </w:tc>
        <w:tc>
          <w:tcPr>
            <w:tcW w:w="144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52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56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540" w:type="dxa"/>
            <w:vAlign w:val="bottom"/>
            <w:tcBorders>
              <w:bottom w:val="single" w:sz="8" w:color="4DC1E4"/>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196"/>
        </w:trPr>
        <w:tc>
          <w:tcPr>
            <w:tcW w:w="800" w:type="dxa"/>
            <w:vAlign w:val="bottom"/>
            <w:tcBorders>
              <w:top w:val="single" w:sz="8" w:color="auto"/>
              <w:left w:val="single" w:sz="8" w:color="auto"/>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w:t>
            </w:r>
          </w:p>
        </w:tc>
        <w:tc>
          <w:tcPr>
            <w:tcW w:w="142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(b)</w:t>
            </w:r>
          </w:p>
        </w:tc>
        <w:tc>
          <w:tcPr>
            <w:tcW w:w="1500" w:type="dxa"/>
            <w:vAlign w:val="bottom"/>
            <w:tcBorders>
              <w:top w:val="single" w:sz="8" w:color="auto"/>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(c)</w:t>
            </w:r>
          </w:p>
        </w:tc>
        <w:tc>
          <w:tcPr>
            <w:tcW w:w="146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w:t>
            </w:r>
          </w:p>
        </w:tc>
        <w:tc>
          <w:tcPr>
            <w:tcW w:w="144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(e)</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56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54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196"/>
        </w:trPr>
        <w:tc>
          <w:tcPr>
            <w:tcW w:w="80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142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$1,170,406</w:t>
            </w:r>
          </w:p>
        </w:tc>
        <w:tc>
          <w:tcPr>
            <w:tcW w:w="15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$(282,544)</w:t>
            </w:r>
          </w:p>
        </w:tc>
        <w:tc>
          <w:tcPr>
            <w:tcW w:w="1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$646,008</w:t>
            </w:r>
          </w:p>
        </w:tc>
        <w:tc>
          <w:tcPr>
            <w:tcW w:w="152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$1,533,869</w:t>
            </w:r>
          </w:p>
        </w:tc>
      </w:tr>
      <w:tr>
        <w:trPr>
          <w:trHeight w:val="196"/>
        </w:trPr>
        <w:tc>
          <w:tcPr>
            <w:tcW w:w="80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$2,396,987</w:t>
            </w:r>
          </w:p>
        </w:tc>
        <w:tc>
          <w:tcPr>
            <w:tcW w:w="15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$(43,831)</w:t>
            </w:r>
          </w:p>
        </w:tc>
        <w:tc>
          <w:tcPr>
            <w:tcW w:w="1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$43,503</w:t>
            </w:r>
          </w:p>
        </w:tc>
        <w:tc>
          <w:tcPr>
            <w:tcW w:w="152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$2,396,659</w:t>
            </w:r>
          </w:p>
        </w:tc>
      </w:tr>
      <w:tr>
        <w:trPr>
          <w:trHeight w:val="196"/>
        </w:trPr>
        <w:tc>
          <w:tcPr>
            <w:tcW w:w="800" w:type="dxa"/>
            <w:vAlign w:val="bottom"/>
            <w:tcBorders>
              <w:left w:val="single" w:sz="8" w:color="auto"/>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$643,985</w:t>
            </w:r>
          </w:p>
        </w:tc>
        <w:tc>
          <w:tcPr>
            <w:tcW w:w="150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$(1,182,385)</w:t>
            </w:r>
          </w:p>
        </w:tc>
        <w:tc>
          <w:tcPr>
            <w:tcW w:w="14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$(744,524)</w:t>
            </w:r>
          </w:p>
        </w:tc>
        <w:tc>
          <w:tcPr>
            <w:tcW w:w="152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$(1,282,924)</w:t>
            </w:r>
          </w:p>
        </w:tc>
      </w:tr>
    </w:tbl>
    <w:p>
      <w:pPr>
        <w:spacing w:after="0" w:line="198" w:lineRule="exact"/>
        <w:rPr>
          <w:sz w:val="20"/>
          <w:szCs w:val="20"/>
          <w:color w:val="auto"/>
        </w:rPr>
      </w:pPr>
    </w:p>
    <w:p>
      <w:pPr>
        <w:jc w:val="both"/>
        <w:ind w:left="780" w:hanging="772"/>
        <w:spacing w:after="0" w:line="266"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Non-PEO NEOs as a group in the “Total” column of the Summary Compensation Table in each applicable year. For 2022, Mr. Celano is our sole Non-PEO NEO. For 2023 and 2024, Mr. Celano and Dr. Shankar are our Non-PEO NEOs.</w:t>
      </w:r>
    </w:p>
    <w:p>
      <w:pPr>
        <w:spacing w:after="0" w:line="29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5" w:name="page36"/>
    <w:bookmarkEnd w:id="35"/>
    <w:p>
      <w:pPr>
        <w:ind w:left="12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both"/>
        <w:ind w:left="780" w:hanging="772"/>
        <w:spacing w:after="0" w:line="256"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of “compensation actually paid” to our Non-PEO NEOs as a group, as computed in accordance with Item 402(v) of Regulation S-K (exclusively, Mr. Celano for 2022 and, collectively, Mr. Celano and Dr. Shankar for 2023 and 2024). The dollar amounts do not reflect the actual average compensation earned by or paid to the Non-PEO NEOs as a group during the applicable year. In accordance with the requirements of Item 402(v) of Regulation S-K, the following adjustments were made to average total compensation for our Non-PEO NEOs as a group for each year to determine the compensation actually paid, using the same methodology described above in Note (2):</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8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340" w:type="dxa"/>
            <w:vAlign w:val="bottom"/>
            <w:tcBorders>
              <w:top w:val="single" w:sz="8" w:color="auto"/>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Reported Summary</w:t>
            </w:r>
          </w:p>
        </w:tc>
        <w:tc>
          <w:tcPr>
            <w:tcW w:w="2360" w:type="dxa"/>
            <w:vAlign w:val="bottom"/>
            <w:tcBorders>
              <w:top w:val="single" w:sz="8" w:color="auto"/>
              <w:right w:val="single" w:sz="8" w:color="auto"/>
            </w:tcBorders>
            <w:shd w:val="clear" w:color="auto" w:fill="4DC1E4"/>
          </w:tcPr>
          <w:p>
            <w:pPr>
              <w:spacing w:after="0"/>
              <w:rPr>
                <w:sz w:val="18"/>
                <w:szCs w:val="18"/>
                <w:color w:val="auto"/>
              </w:rPr>
            </w:pPr>
          </w:p>
        </w:tc>
        <w:tc>
          <w:tcPr>
            <w:tcW w:w="2480" w:type="dxa"/>
            <w:vAlign w:val="bottom"/>
            <w:tcBorders>
              <w:top w:val="single" w:sz="8" w:color="auto"/>
              <w:right w:val="single" w:sz="8" w:color="auto"/>
            </w:tcBorders>
            <w:shd w:val="clear" w:color="auto" w:fill="4DC1E4"/>
          </w:tcPr>
          <w:p>
            <w:pPr>
              <w:spacing w:after="0"/>
              <w:rPr>
                <w:sz w:val="18"/>
                <w:szCs w:val="18"/>
                <w:color w:val="auto"/>
              </w:rPr>
            </w:pPr>
          </w:p>
        </w:tc>
        <w:tc>
          <w:tcPr>
            <w:tcW w:w="238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1680" w:type="dxa"/>
            <w:vAlign w:val="bottom"/>
            <w:tcBorders>
              <w:left w:val="single" w:sz="8" w:color="auto"/>
              <w:right w:val="single" w:sz="8" w:color="auto"/>
            </w:tcBorders>
            <w:shd w:val="clear" w:color="auto" w:fill="4DC1E4"/>
          </w:tcPr>
          <w:p>
            <w:pPr>
              <w:spacing w:after="0"/>
              <w:rPr>
                <w:sz w:val="18"/>
                <w:szCs w:val="18"/>
                <w:color w:val="auto"/>
              </w:rPr>
            </w:pPr>
          </w:p>
        </w:tc>
        <w:tc>
          <w:tcPr>
            <w:tcW w:w="234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360" w:type="dxa"/>
            <w:vAlign w:val="bottom"/>
            <w:tcBorders>
              <w:right w:val="single" w:sz="8" w:color="auto"/>
            </w:tcBorders>
            <w:shd w:val="clear" w:color="auto" w:fill="4DC1E4"/>
          </w:tcPr>
          <w:p>
            <w:pPr>
              <w:spacing w:after="0"/>
              <w:rPr>
                <w:sz w:val="18"/>
                <w:szCs w:val="18"/>
                <w:color w:val="auto"/>
              </w:rPr>
            </w:pPr>
          </w:p>
        </w:tc>
        <w:tc>
          <w:tcPr>
            <w:tcW w:w="2480" w:type="dxa"/>
            <w:vAlign w:val="bottom"/>
            <w:tcBorders>
              <w:right w:val="single" w:sz="8" w:color="auto"/>
            </w:tcBorders>
            <w:shd w:val="clear" w:color="auto" w:fill="4DC1E4"/>
          </w:tcPr>
          <w:p>
            <w:pPr>
              <w:spacing w:after="0"/>
              <w:rPr>
                <w:sz w:val="18"/>
                <w:szCs w:val="18"/>
                <w:color w:val="auto"/>
              </w:rPr>
            </w:pPr>
          </w:p>
        </w:tc>
        <w:tc>
          <w:tcPr>
            <w:tcW w:w="238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196"/>
        </w:trPr>
        <w:tc>
          <w:tcPr>
            <w:tcW w:w="1680" w:type="dxa"/>
            <w:vAlign w:val="bottom"/>
            <w:tcBorders>
              <w:left w:val="single" w:sz="8" w:color="auto"/>
              <w:right w:val="single" w:sz="8" w:color="auto"/>
            </w:tcBorders>
            <w:shd w:val="clear" w:color="auto" w:fill="4DC1E4"/>
          </w:tcPr>
          <w:p>
            <w:pPr>
              <w:spacing w:after="0"/>
              <w:rPr>
                <w:sz w:val="17"/>
                <w:szCs w:val="17"/>
                <w:color w:val="auto"/>
              </w:rPr>
            </w:pPr>
          </w:p>
        </w:tc>
        <w:tc>
          <w:tcPr>
            <w:tcW w:w="234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Table Total for Non-</w:t>
            </w:r>
          </w:p>
        </w:tc>
        <w:tc>
          <w:tcPr>
            <w:tcW w:w="236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Less: Reported Value of</w:t>
            </w:r>
          </w:p>
        </w:tc>
        <w:tc>
          <w:tcPr>
            <w:tcW w:w="2480" w:type="dxa"/>
            <w:vAlign w:val="bottom"/>
            <w:tcBorders>
              <w:right w:val="single" w:sz="8" w:color="auto"/>
            </w:tcBorders>
            <w:shd w:val="clear" w:color="auto" w:fill="4DC1E4"/>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380" w:type="dxa"/>
            <w:vAlign w:val="bottom"/>
            <w:tcBorders>
              <w:right w:val="single" w:sz="8" w:color="auto"/>
            </w:tcBorders>
            <w:shd w:val="clear" w:color="auto" w:fill="4DC1E4"/>
          </w:tcPr>
          <w:p>
            <w:pPr>
              <w:jc w:val="center"/>
              <w:ind w:left="70"/>
              <w:spacing w:after="0" w:line="196" w:lineRule="exact"/>
              <w:rPr>
                <w:sz w:val="20"/>
                <w:szCs w:val="20"/>
                <w:color w:val="auto"/>
              </w:rPr>
            </w:pPr>
            <w:r>
              <w:rPr>
                <w:rFonts w:ascii="Times New Roman" w:cs="Times New Roman" w:eastAsia="Times New Roman" w:hAnsi="Times New Roman"/>
                <w:sz w:val="18"/>
                <w:szCs w:val="18"/>
                <w:b w:val="1"/>
                <w:bCs w:val="1"/>
                <w:color w:val="FFFFFF"/>
              </w:rPr>
              <w:t>Actually Paid to Non-</w:t>
            </w:r>
          </w:p>
        </w:tc>
      </w:tr>
      <w:tr>
        <w:trPr>
          <w:trHeight w:val="236"/>
        </w:trPr>
        <w:tc>
          <w:tcPr>
            <w:tcW w:w="1680" w:type="dxa"/>
            <w:vAlign w:val="bottom"/>
            <w:tcBorders>
              <w:left w:val="single" w:sz="8" w:color="auto"/>
              <w:right w:val="single" w:sz="8" w:color="auto"/>
            </w:tcBorders>
            <w:shd w:val="clear" w:color="auto" w:fill="4DC1E4"/>
          </w:tcPr>
          <w:p>
            <w:pPr>
              <w:spacing w:after="0"/>
              <w:rPr>
                <w:sz w:val="20"/>
                <w:szCs w:val="20"/>
                <w:color w:val="auto"/>
              </w:rPr>
            </w:pPr>
          </w:p>
        </w:tc>
        <w:tc>
          <w:tcPr>
            <w:tcW w:w="234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2360" w:type="dxa"/>
            <w:vAlign w:val="bottom"/>
            <w:tcBorders>
              <w:right w:val="single" w:sz="8" w:color="auto"/>
            </w:tcBorders>
            <w:shd w:val="clear" w:color="auto" w:fill="4DC1E4"/>
          </w:tcPr>
          <w:p>
            <w:pPr>
              <w:jc w:val="center"/>
              <w:ind w:left="50"/>
              <w:spacing w:after="0" w:line="236" w:lineRule="exact"/>
              <w:rPr>
                <w:sz w:val="20"/>
                <w:szCs w:val="20"/>
                <w:color w:val="auto"/>
              </w:rPr>
            </w:pPr>
            <w:r>
              <w:rPr>
                <w:rFonts w:ascii="Times New Roman" w:cs="Times New Roman" w:eastAsia="Times New Roman" w:hAnsi="Times New Roman"/>
                <w:sz w:val="18"/>
                <w:szCs w:val="18"/>
                <w:b w:val="1"/>
                <w:bCs w:val="1"/>
                <w:color w:val="FFFFFF"/>
                <w:w w:val="95"/>
              </w:rPr>
              <w:t xml:space="preserve">Equity Awards </w:t>
            </w:r>
            <w:r>
              <w:rPr>
                <w:rFonts w:ascii="Times New Roman" w:cs="Times New Roman" w:eastAsia="Times New Roman" w:hAnsi="Times New Roman"/>
                <w:sz w:val="24"/>
                <w:szCs w:val="24"/>
                <w:b w:val="1"/>
                <w:bCs w:val="1"/>
                <w:color w:val="FFFFFF"/>
                <w:w w:val="95"/>
                <w:vertAlign w:val="superscript"/>
              </w:rPr>
              <w:t>(a)</w:t>
            </w:r>
          </w:p>
        </w:tc>
        <w:tc>
          <w:tcPr>
            <w:tcW w:w="2480" w:type="dxa"/>
            <w:vAlign w:val="bottom"/>
            <w:tcBorders>
              <w:right w:val="single" w:sz="8" w:color="auto"/>
            </w:tcBorders>
            <w:shd w:val="clear" w:color="auto" w:fill="4DC1E4"/>
          </w:tcPr>
          <w:p>
            <w:pPr>
              <w:jc w:val="center"/>
              <w:ind w:left="50"/>
              <w:spacing w:after="0" w:line="236" w:lineRule="exact"/>
              <w:rPr>
                <w:sz w:val="20"/>
                <w:szCs w:val="20"/>
                <w:color w:val="auto"/>
              </w:rPr>
            </w:pPr>
            <w:r>
              <w:rPr>
                <w:rFonts w:ascii="Times New Roman" w:cs="Times New Roman" w:eastAsia="Times New Roman" w:hAnsi="Times New Roman"/>
                <w:sz w:val="18"/>
                <w:szCs w:val="18"/>
                <w:b w:val="1"/>
                <w:bCs w:val="1"/>
                <w:color w:val="FFFFFF"/>
                <w:w w:val="99"/>
              </w:rPr>
              <w:t xml:space="preserve">Adjustments </w:t>
            </w:r>
            <w:r>
              <w:rPr>
                <w:rFonts w:ascii="Times New Roman" w:cs="Times New Roman" w:eastAsia="Times New Roman" w:hAnsi="Times New Roman"/>
                <w:sz w:val="24"/>
                <w:szCs w:val="24"/>
                <w:b w:val="1"/>
                <w:bCs w:val="1"/>
                <w:color w:val="FFFFFF"/>
                <w:w w:val="99"/>
                <w:vertAlign w:val="superscript"/>
              </w:rPr>
              <w:t>(b)</w:t>
            </w:r>
          </w:p>
        </w:tc>
        <w:tc>
          <w:tcPr>
            <w:tcW w:w="2380" w:type="dxa"/>
            <w:vAlign w:val="bottom"/>
            <w:tcBorders>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84"/>
        </w:trPr>
        <w:tc>
          <w:tcPr>
            <w:tcW w:w="1680" w:type="dxa"/>
            <w:vAlign w:val="bottom"/>
            <w:tcBorders>
              <w:left w:val="single" w:sz="8" w:color="auto"/>
              <w:bottom w:val="single" w:sz="8" w:color="4DC1E4"/>
              <w:right w:val="single" w:sz="8" w:color="auto"/>
            </w:tcBorders>
            <w:shd w:val="clear" w:color="auto" w:fill="4DC1E4"/>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340" w:type="dxa"/>
            <w:vAlign w:val="bottom"/>
            <w:tcBorders>
              <w:bottom w:val="single" w:sz="8" w:color="4DC1E4"/>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360" w:type="dxa"/>
            <w:vAlign w:val="bottom"/>
            <w:tcBorders>
              <w:bottom w:val="single" w:sz="8" w:color="4DC1E4"/>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w:t>
            </w:r>
          </w:p>
        </w:tc>
        <w:tc>
          <w:tcPr>
            <w:tcW w:w="2480" w:type="dxa"/>
            <w:vAlign w:val="bottom"/>
            <w:tcBorders>
              <w:bottom w:val="single" w:sz="8" w:color="4DC1E4"/>
              <w:right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rPr>
              <w:t>($)</w:t>
            </w:r>
          </w:p>
        </w:tc>
        <w:tc>
          <w:tcPr>
            <w:tcW w:w="2380" w:type="dxa"/>
            <w:vAlign w:val="bottom"/>
            <w:tcBorders>
              <w:bottom w:val="single" w:sz="8" w:color="4DC1E4"/>
              <w:right w:val="single" w:sz="8" w:color="auto"/>
            </w:tcBorders>
            <w:shd w:val="clear" w:color="auto" w:fill="4DC1E4"/>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1680" w:type="dxa"/>
            <w:vAlign w:val="bottom"/>
            <w:tcBorders>
              <w:top w:val="single" w:sz="8" w:color="auto"/>
              <w:left w:val="single" w:sz="8" w:color="auto"/>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w:t>
            </w:r>
          </w:p>
        </w:tc>
        <w:tc>
          <w:tcPr>
            <w:tcW w:w="234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60" w:type="dxa"/>
            <w:vAlign w:val="bottom"/>
            <w:tcBorders>
              <w:top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48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38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0"/>
        </w:trPr>
        <w:tc>
          <w:tcPr>
            <w:tcW w:w="1680" w:type="dxa"/>
            <w:vAlign w:val="bottom"/>
            <w:tcBorders>
              <w:left w:val="single" w:sz="8" w:color="auto"/>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$1,274,915</w:t>
            </w:r>
          </w:p>
        </w:tc>
        <w:tc>
          <w:tcPr>
            <w:tcW w:w="236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$(652,719)</w:t>
            </w:r>
          </w:p>
        </w:tc>
        <w:tc>
          <w:tcPr>
            <w:tcW w:w="24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$617,754</w:t>
            </w:r>
          </w:p>
        </w:tc>
        <w:tc>
          <w:tcPr>
            <w:tcW w:w="23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$1,239,951</w:t>
            </w:r>
          </w:p>
        </w:tc>
      </w:tr>
      <w:tr>
        <w:trPr>
          <w:trHeight w:val="209"/>
        </w:trPr>
        <w:tc>
          <w:tcPr>
            <w:tcW w:w="1680" w:type="dxa"/>
            <w:vAlign w:val="bottom"/>
            <w:tcBorders>
              <w:left w:val="single" w:sz="8" w:color="auto"/>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2023</w:t>
            </w:r>
          </w:p>
        </w:tc>
        <w:tc>
          <w:tcPr>
            <w:tcW w:w="234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$1,399,936</w:t>
            </w:r>
          </w:p>
        </w:tc>
        <w:tc>
          <w:tcPr>
            <w:tcW w:w="236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$(836,284)</w:t>
            </w:r>
          </w:p>
        </w:tc>
        <w:tc>
          <w:tcPr>
            <w:tcW w:w="24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$674,754</w:t>
            </w:r>
          </w:p>
        </w:tc>
        <w:tc>
          <w:tcPr>
            <w:tcW w:w="23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$1,238,406</w:t>
            </w:r>
          </w:p>
        </w:tc>
      </w:tr>
      <w:tr>
        <w:trPr>
          <w:trHeight w:val="209"/>
        </w:trPr>
        <w:tc>
          <w:tcPr>
            <w:tcW w:w="1680" w:type="dxa"/>
            <w:vAlign w:val="bottom"/>
            <w:tcBorders>
              <w:left w:val="single" w:sz="8" w:color="auto"/>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2022</w:t>
            </w:r>
          </w:p>
        </w:tc>
        <w:tc>
          <w:tcPr>
            <w:tcW w:w="234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$1,132,322</w:t>
            </w:r>
          </w:p>
        </w:tc>
        <w:tc>
          <w:tcPr>
            <w:tcW w:w="236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$(569,702)</w:t>
            </w:r>
          </w:p>
        </w:tc>
        <w:tc>
          <w:tcPr>
            <w:tcW w:w="24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$(357,403)</w:t>
            </w:r>
          </w:p>
        </w:tc>
        <w:tc>
          <w:tcPr>
            <w:tcW w:w="23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$205,217</w:t>
            </w:r>
          </w:p>
        </w:tc>
      </w:tr>
    </w:tbl>
    <w:p>
      <w:pPr>
        <w:spacing w:after="0" w:line="198" w:lineRule="exact"/>
        <w:rPr>
          <w:sz w:val="20"/>
          <w:szCs w:val="20"/>
          <w:color w:val="auto"/>
        </w:rPr>
      </w:pPr>
    </w:p>
    <w:p>
      <w:pPr>
        <w:ind w:left="780" w:hanging="772"/>
        <w:spacing w:after="0" w:line="261"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equity awards represents the average total of the amounts reported in the “Stock Awards” and “Option Awards” columns for the Non-PEO NEOs in the Summary Compensation Table for the applicable year.</w:t>
      </w:r>
    </w:p>
    <w:p>
      <w:pPr>
        <w:ind w:left="780" w:hanging="772"/>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74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500" w:type="dxa"/>
            <w:vAlign w:val="bottom"/>
            <w:tcBorders>
              <w:top w:val="single" w:sz="8" w:color="auto"/>
              <w:right w:val="single" w:sz="8" w:color="auto"/>
            </w:tcBorders>
            <w:shd w:val="clear" w:color="auto" w:fill="4DC1E4"/>
          </w:tcPr>
          <w:p>
            <w:pPr>
              <w:spacing w:after="0"/>
              <w:rPr>
                <w:sz w:val="17"/>
                <w:szCs w:val="17"/>
                <w:color w:val="auto"/>
              </w:rPr>
            </w:pPr>
          </w:p>
        </w:tc>
        <w:tc>
          <w:tcPr>
            <w:tcW w:w="1640" w:type="dxa"/>
            <w:vAlign w:val="bottom"/>
            <w:tcBorders>
              <w:top w:val="single" w:sz="8" w:color="auto"/>
              <w:right w:val="single" w:sz="8" w:color="auto"/>
            </w:tcBorders>
            <w:shd w:val="clear" w:color="auto" w:fill="4DC1E4"/>
          </w:tcPr>
          <w:p>
            <w:pPr>
              <w:spacing w:after="0"/>
              <w:rPr>
                <w:sz w:val="17"/>
                <w:szCs w:val="17"/>
                <w:color w:val="auto"/>
              </w:rPr>
            </w:pPr>
          </w:p>
        </w:tc>
        <w:tc>
          <w:tcPr>
            <w:tcW w:w="1360" w:type="dxa"/>
            <w:vAlign w:val="bottom"/>
            <w:tcBorders>
              <w:top w:val="single" w:sz="8" w:color="auto"/>
              <w:right w:val="single" w:sz="8" w:color="auto"/>
            </w:tcBorders>
            <w:shd w:val="clear" w:color="auto" w:fill="4DC1E4"/>
          </w:tcPr>
          <w:p>
            <w:pPr>
              <w:spacing w:after="0"/>
              <w:rPr>
                <w:sz w:val="17"/>
                <w:szCs w:val="17"/>
                <w:color w:val="auto"/>
              </w:rPr>
            </w:pPr>
          </w:p>
        </w:tc>
        <w:tc>
          <w:tcPr>
            <w:tcW w:w="1700" w:type="dxa"/>
            <w:vAlign w:val="bottom"/>
            <w:tcBorders>
              <w:top w:val="single" w:sz="8" w:color="auto"/>
              <w:right w:val="single" w:sz="8" w:color="auto"/>
            </w:tcBorders>
            <w:shd w:val="clear" w:color="auto" w:fill="4DC1E4"/>
          </w:tcPr>
          <w:p>
            <w:pPr>
              <w:spacing w:after="0"/>
              <w:rPr>
                <w:sz w:val="17"/>
                <w:szCs w:val="17"/>
                <w:color w:val="auto"/>
              </w:rPr>
            </w:pPr>
          </w:p>
        </w:tc>
        <w:tc>
          <w:tcPr>
            <w:tcW w:w="1340" w:type="dxa"/>
            <w:vAlign w:val="bottom"/>
            <w:tcBorders>
              <w:top w:val="single" w:sz="8" w:color="auto"/>
              <w:right w:val="single" w:sz="8" w:color="auto"/>
            </w:tcBorders>
            <w:shd w:val="clear" w:color="auto" w:fill="4DC1E4"/>
          </w:tcPr>
          <w:p>
            <w:pPr>
              <w:spacing w:after="0"/>
              <w:rPr>
                <w:sz w:val="17"/>
                <w:szCs w:val="17"/>
                <w:color w:val="auto"/>
              </w:rPr>
            </w:pPr>
          </w:p>
        </w:tc>
        <w:tc>
          <w:tcPr>
            <w:tcW w:w="1320" w:type="dxa"/>
            <w:vAlign w:val="bottom"/>
            <w:tcBorders>
              <w:top w:val="single" w:sz="8" w:color="auto"/>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64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spacing w:after="0"/>
              <w:rPr>
                <w:sz w:val="17"/>
                <w:szCs w:val="17"/>
                <w:color w:val="auto"/>
              </w:rPr>
            </w:pPr>
          </w:p>
        </w:tc>
        <w:tc>
          <w:tcPr>
            <w:tcW w:w="1360" w:type="dxa"/>
            <w:vAlign w:val="bottom"/>
            <w:tcBorders>
              <w:right w:val="single" w:sz="8" w:color="auto"/>
            </w:tcBorders>
            <w:shd w:val="clear" w:color="auto" w:fill="4DC1E4"/>
          </w:tcPr>
          <w:p>
            <w:pPr>
              <w:spacing w:after="0"/>
              <w:rPr>
                <w:sz w:val="17"/>
                <w:szCs w:val="17"/>
                <w:color w:val="auto"/>
              </w:rPr>
            </w:pPr>
          </w:p>
        </w:tc>
        <w:tc>
          <w:tcPr>
            <w:tcW w:w="170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spacing w:after="0"/>
              <w:rPr>
                <w:sz w:val="17"/>
                <w:szCs w:val="17"/>
                <w:color w:val="auto"/>
              </w:rPr>
            </w:pPr>
          </w:p>
        </w:tc>
        <w:tc>
          <w:tcPr>
            <w:tcW w:w="1360" w:type="dxa"/>
            <w:vAlign w:val="bottom"/>
            <w:tcBorders>
              <w:right w:val="single" w:sz="8" w:color="auto"/>
            </w:tcBorders>
            <w:shd w:val="clear" w:color="auto" w:fill="4DC1E4"/>
          </w:tcPr>
          <w:p>
            <w:pPr>
              <w:spacing w:after="0"/>
              <w:rPr>
                <w:sz w:val="17"/>
                <w:szCs w:val="17"/>
                <w:color w:val="auto"/>
              </w:rPr>
            </w:pPr>
          </w:p>
        </w:tc>
        <w:tc>
          <w:tcPr>
            <w:tcW w:w="170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other</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spacing w:after="0"/>
              <w:rPr>
                <w:sz w:val="17"/>
                <w:szCs w:val="17"/>
                <w:color w:val="auto"/>
              </w:rPr>
            </w:pPr>
          </w:p>
        </w:tc>
        <w:tc>
          <w:tcPr>
            <w:tcW w:w="1360" w:type="dxa"/>
            <w:vAlign w:val="bottom"/>
            <w:tcBorders>
              <w:right w:val="single" w:sz="8" w:color="auto"/>
            </w:tcBorders>
            <w:shd w:val="clear" w:color="auto" w:fill="4DC1E4"/>
          </w:tcPr>
          <w:p>
            <w:pPr>
              <w:spacing w:after="0"/>
              <w:rPr>
                <w:sz w:val="17"/>
                <w:szCs w:val="17"/>
                <w:color w:val="auto"/>
              </w:rPr>
            </w:pPr>
          </w:p>
        </w:tc>
        <w:tc>
          <w:tcPr>
            <w:tcW w:w="170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Earnings</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over</w:t>
            </w:r>
          </w:p>
        </w:tc>
        <w:tc>
          <w:tcPr>
            <w:tcW w:w="1360" w:type="dxa"/>
            <w:vAlign w:val="bottom"/>
            <w:tcBorders>
              <w:right w:val="single" w:sz="8" w:color="auto"/>
            </w:tcBorders>
            <w:shd w:val="clear" w:color="auto" w:fill="4DC1E4"/>
          </w:tcPr>
          <w:p>
            <w:pPr>
              <w:spacing w:after="0"/>
              <w:rPr>
                <w:sz w:val="17"/>
                <w:szCs w:val="17"/>
                <w:color w:val="auto"/>
              </w:rPr>
            </w:pPr>
          </w:p>
        </w:tc>
        <w:tc>
          <w:tcPr>
            <w:tcW w:w="170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the End of</w:t>
            </w: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3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34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the Prior</w:t>
            </w: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2"/>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34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6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 of</w:t>
            </w:r>
          </w:p>
        </w:tc>
        <w:tc>
          <w:tcPr>
            <w:tcW w:w="134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not Otherwise</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3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3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3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Failed to Meet</w:t>
            </w: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640" w:type="dxa"/>
            <w:vAlign w:val="bottom"/>
            <w:tcBorders>
              <w:right w:val="single" w:sz="8" w:color="auto"/>
            </w:tcBorders>
            <w:shd w:val="clear" w:color="auto" w:fill="4DC1E4"/>
          </w:tcPr>
          <w:p>
            <w:pPr>
              <w:spacing w:after="0"/>
              <w:rPr>
                <w:sz w:val="17"/>
                <w:szCs w:val="17"/>
                <w:color w:val="auto"/>
              </w:rPr>
            </w:pP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3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Vesting</w:t>
            </w: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6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Total Equity</w:t>
            </w: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6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Granted in Prior</w:t>
            </w:r>
          </w:p>
        </w:tc>
        <w:tc>
          <w:tcPr>
            <w:tcW w:w="136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Prior Years that</w:t>
            </w:r>
          </w:p>
        </w:tc>
        <w:tc>
          <w:tcPr>
            <w:tcW w:w="13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Total</w:t>
            </w:r>
          </w:p>
        </w:tc>
        <w:tc>
          <w:tcPr>
            <w:tcW w:w="16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w:t>
            </w:r>
          </w:p>
        </w:tc>
      </w:tr>
      <w:tr>
        <w:trPr>
          <w:trHeight w:val="203"/>
        </w:trPr>
        <w:tc>
          <w:tcPr>
            <w:tcW w:w="740" w:type="dxa"/>
            <w:vAlign w:val="bottom"/>
            <w:tcBorders>
              <w:left w:val="single" w:sz="8" w:color="auto"/>
              <w:right w:val="single" w:sz="8" w:color="auto"/>
            </w:tcBorders>
            <w:shd w:val="clear" w:color="auto" w:fill="4DC1E4"/>
          </w:tcPr>
          <w:p>
            <w:pPr>
              <w:spacing w:after="0"/>
              <w:rPr>
                <w:sz w:val="17"/>
                <w:szCs w:val="17"/>
                <w:color w:val="auto"/>
              </w:rPr>
            </w:pPr>
          </w:p>
        </w:tc>
        <w:tc>
          <w:tcPr>
            <w:tcW w:w="15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6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70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Vested in the Year</w:t>
            </w:r>
          </w:p>
        </w:tc>
        <w:tc>
          <w:tcPr>
            <w:tcW w:w="134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6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740" w:type="dxa"/>
            <w:vAlign w:val="bottom"/>
            <w:tcBorders>
              <w:left w:val="single" w:sz="8" w:color="auto"/>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50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w:t>
            </w:r>
          </w:p>
        </w:tc>
        <w:tc>
          <w:tcPr>
            <w:tcW w:w="164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36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70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tcBorders>
              <w:bottom w:val="single" w:sz="8" w:color="4DC1E4"/>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w:t>
            </w:r>
          </w:p>
        </w:tc>
        <w:tc>
          <w:tcPr>
            <w:tcW w:w="1320" w:type="dxa"/>
            <w:vAlign w:val="bottom"/>
            <w:tcBorders>
              <w:bottom w:val="single" w:sz="8" w:color="4DC1E4"/>
              <w:right w:val="single" w:sz="8" w:color="auto"/>
            </w:tcBorders>
            <w:shd w:val="clear" w:color="auto" w:fill="4DC1E4"/>
          </w:tcPr>
          <w:p>
            <w:pPr>
              <w:ind w:left="620"/>
              <w:spacing w:after="0"/>
              <w:rPr>
                <w:sz w:val="20"/>
                <w:szCs w:val="20"/>
                <w:color w:val="auto"/>
              </w:rPr>
            </w:pPr>
            <w:r>
              <w:rPr>
                <w:rFonts w:ascii="Times New Roman" w:cs="Times New Roman" w:eastAsia="Times New Roman" w:hAnsi="Times New Roman"/>
                <w:sz w:val="16"/>
                <w:szCs w:val="16"/>
                <w:b w:val="1"/>
                <w:bCs w:val="1"/>
                <w:color w:val="FFFFFF"/>
              </w:rPr>
              <w:t>($)</w:t>
            </w:r>
          </w:p>
        </w:tc>
        <w:tc>
          <w:tcPr>
            <w:tcW w:w="16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196"/>
        </w:trPr>
        <w:tc>
          <w:tcPr>
            <w:tcW w:w="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50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(b)</w:t>
            </w:r>
          </w:p>
        </w:tc>
        <w:tc>
          <w:tcPr>
            <w:tcW w:w="164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34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320" w:type="dxa"/>
            <w:vAlign w:val="bottom"/>
            <w:tcBorders>
              <w:top w:val="single" w:sz="8" w:color="auto"/>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196"/>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5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$475,685</w:t>
            </w:r>
          </w:p>
        </w:tc>
        <w:tc>
          <w:tcPr>
            <w:tcW w:w="164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$(88,113)</w:t>
            </w:r>
          </w:p>
        </w:tc>
        <w:tc>
          <w:tcPr>
            <w:tcW w:w="13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$230,182</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$617,754</w:t>
            </w:r>
          </w:p>
        </w:tc>
      </w:tr>
      <w:tr>
        <w:trPr>
          <w:trHeight w:val="196"/>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5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$670,439</w:t>
            </w:r>
          </w:p>
        </w:tc>
        <w:tc>
          <w:tcPr>
            <w:tcW w:w="164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$(2,995)</w:t>
            </w:r>
          </w:p>
        </w:tc>
        <w:tc>
          <w:tcPr>
            <w:tcW w:w="13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$7,310</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$674,754</w:t>
            </w:r>
          </w:p>
        </w:tc>
      </w:tr>
      <w:tr>
        <w:trPr>
          <w:trHeight w:val="196"/>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5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$291,354</w:t>
            </w:r>
          </w:p>
        </w:tc>
        <w:tc>
          <w:tcPr>
            <w:tcW w:w="164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$(390,139)</w:t>
            </w:r>
          </w:p>
        </w:tc>
        <w:tc>
          <w:tcPr>
            <w:tcW w:w="13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$(258,618)</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$(357,403)</w:t>
            </w:r>
          </w:p>
        </w:tc>
      </w:tr>
    </w:tbl>
    <w:p>
      <w:pPr>
        <w:spacing w:after="0" w:line="198" w:lineRule="exact"/>
        <w:rPr>
          <w:sz w:val="20"/>
          <w:szCs w:val="20"/>
          <w:color w:val="auto"/>
        </w:rPr>
      </w:pPr>
    </w:p>
    <w:p>
      <w:pPr>
        <w:jc w:val="both"/>
        <w:ind w:left="780" w:hanging="772"/>
        <w:spacing w:after="0" w:line="254"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The beginning of the measurement period is December 31, 2020 and the end of each of the three measurement periods presented are December 31, 2022, 2023 and 2024. No dividends were paid on stock or option awards in 2022, 2023 or 2024.</w:t>
      </w:r>
    </w:p>
    <w:p>
      <w:pPr>
        <w:spacing w:after="0" w:line="3" w:lineRule="exact"/>
        <w:rPr>
          <w:rFonts w:ascii="Times New Roman" w:cs="Times New Roman" w:eastAsia="Times New Roman" w:hAnsi="Times New Roman"/>
          <w:sz w:val="18"/>
          <w:szCs w:val="18"/>
          <w:color w:val="auto"/>
        </w:rPr>
      </w:pPr>
    </w:p>
    <w:p>
      <w:pPr>
        <w:ind w:left="780" w:hanging="772"/>
        <w:spacing w:after="0" w:line="260"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consolidated audited financial statements for the applicable year.</w:t>
      </w:r>
    </w:p>
    <w:p>
      <w:pPr>
        <w:spacing w:after="0" w:line="29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36" w:name="page37"/>
    <w:bookmarkEnd w:id="36"/>
    <w:p>
      <w:pPr>
        <w:ind w:left="120"/>
        <w:spacing w:after="0"/>
        <w:rPr>
          <w:sz w:val="20"/>
          <w:szCs w:val="20"/>
          <w:color w:val="auto"/>
        </w:rPr>
      </w:pPr>
      <w:r>
        <w:rPr>
          <w:rFonts w:ascii="Times New Roman" w:cs="Times New Roman" w:eastAsia="Times New Roman" w:hAnsi="Times New Roman"/>
          <w:sz w:val="21"/>
          <w:szCs w:val="21"/>
          <w:b w:val="1"/>
          <w:bCs w:val="1"/>
          <w:color w:val="auto"/>
        </w:rPr>
        <w:t>EXECUTIVE COMPENSATION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not a commercial-stage company, we did not have any revenue during the periods presented. Consequently, we have not historically looked to net income (loss) as a performance measure for our executive compensation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Relationship Between Compensation Actually Paid and Total Shareholder Return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disclosures above. As noted above, "compensation actually paid" to our PEO and the average of the compensation actually paid to our non-PEOs with (i) our cumulative Total Stockholder Return and (ii) our net (loss), in each case, for the fiscal years presented in the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348615</wp:posOffset>
            </wp:positionV>
            <wp:extent cx="4088765" cy="2443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8876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1236980</wp:posOffset>
            </wp:positionH>
            <wp:positionV relativeFrom="page">
              <wp:posOffset>748665</wp:posOffset>
            </wp:positionV>
            <wp:extent cx="5074920" cy="3094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07492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3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 formal policy regarding the grant of equity. During 2024,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2024, we did not grant stock options to our NEOs during any period beginning four business days before and ending one business day after the filing or furnishing of a Form 10-Q, 10-K or 8-K that discloses material nonpublic information.</w:t>
      </w:r>
    </w:p>
    <w:p>
      <w:pPr>
        <w:spacing w:after="0" w:line="311"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120"/>
        <w:spacing w:after="0"/>
        <w:rPr>
          <w:sz w:val="20"/>
          <w:szCs w:val="20"/>
          <w:color w:val="auto"/>
        </w:rPr>
      </w:pPr>
      <w:r>
        <w:rPr>
          <w:rFonts w:ascii="Times New Roman" w:cs="Times New Roman" w:eastAsia="Times New Roman" w:hAnsi="Times New Roman"/>
          <w:sz w:val="21"/>
          <w:szCs w:val="21"/>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January 1, 2023,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NEOs, see the section titled “Executive Compensation — Employment Agreements.”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granted stock options to our executive officers and directors, as well as restricted stock units to certain of our executive officers. For a description of these stock options and restricted stock units, see the sections titled “Director Compensation” and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our stockholders.</w:t>
      </w:r>
    </w:p>
    <w:p>
      <w:pPr>
        <w:spacing w:after="0" w:line="309"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39" w:name="page40"/>
    <w:bookmarkEnd w:id="39"/>
    <w:p>
      <w:pPr>
        <w:ind w:left="12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shares available for grant under the Company’s equity incentive plans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shd w:val="clear" w:color="auto" w:fill="4DC1E4"/>
          </w:tcPr>
          <w:p>
            <w:pPr>
              <w:spacing w:after="0"/>
              <w:rPr>
                <w:sz w:val="17"/>
                <w:szCs w:val="17"/>
                <w:color w:val="auto"/>
              </w:rPr>
            </w:pPr>
          </w:p>
        </w:tc>
        <w:tc>
          <w:tcPr>
            <w:tcW w:w="500" w:type="dxa"/>
            <w:vAlign w:val="bottom"/>
            <w:shd w:val="clear" w:color="auto" w:fill="4DC1E4"/>
          </w:tcPr>
          <w:p>
            <w:pPr>
              <w:spacing w:after="0"/>
              <w:rPr>
                <w:sz w:val="17"/>
                <w:szCs w:val="17"/>
                <w:color w:val="auto"/>
              </w:rPr>
            </w:pPr>
          </w:p>
        </w:tc>
        <w:tc>
          <w:tcPr>
            <w:tcW w:w="1460" w:type="dxa"/>
            <w:vAlign w:val="bottom"/>
            <w:gridSpan w:val="2"/>
            <w:shd w:val="clear" w:color="auto" w:fill="4DC1E4"/>
          </w:tcPr>
          <w:p>
            <w:pPr>
              <w:jc w:val="center"/>
              <w:ind w:right="460"/>
              <w:spacing w:after="0"/>
              <w:rPr>
                <w:sz w:val="20"/>
                <w:szCs w:val="20"/>
                <w:color w:val="auto"/>
              </w:rPr>
            </w:pPr>
            <w:r>
              <w:rPr>
                <w:rFonts w:ascii="Times New Roman" w:cs="Times New Roman" w:eastAsia="Times New Roman" w:hAnsi="Times New Roman"/>
                <w:sz w:val="18"/>
                <w:szCs w:val="18"/>
                <w:b w:val="1"/>
                <w:bCs w:val="1"/>
                <w:color w:val="FFFFFF"/>
              </w:rPr>
              <w:t>Number of</w:t>
            </w:r>
          </w:p>
        </w:tc>
        <w:tc>
          <w:tcPr>
            <w:tcW w:w="420" w:type="dxa"/>
            <w:vAlign w:val="bottom"/>
            <w:shd w:val="clear" w:color="auto" w:fill="4DC1E4"/>
          </w:tcPr>
          <w:p>
            <w:pPr>
              <w:spacing w:after="0"/>
              <w:rPr>
                <w:sz w:val="17"/>
                <w:szCs w:val="17"/>
                <w:color w:val="auto"/>
              </w:rPr>
            </w:pPr>
          </w:p>
        </w:tc>
        <w:tc>
          <w:tcPr>
            <w:tcW w:w="860" w:type="dxa"/>
            <w:vAlign w:val="bottom"/>
            <w:shd w:val="clear" w:color="auto" w:fill="4DC1E4"/>
          </w:tcPr>
          <w:p>
            <w:pPr>
              <w:spacing w:after="0"/>
              <w:rPr>
                <w:sz w:val="17"/>
                <w:szCs w:val="17"/>
                <w:color w:val="auto"/>
              </w:rPr>
            </w:pPr>
          </w:p>
        </w:tc>
        <w:tc>
          <w:tcPr>
            <w:tcW w:w="460" w:type="dxa"/>
            <w:vAlign w:val="bottom"/>
            <w:shd w:val="clear" w:color="auto" w:fill="4DC1E4"/>
          </w:tcPr>
          <w:p>
            <w:pPr>
              <w:spacing w:after="0"/>
              <w:rPr>
                <w:sz w:val="17"/>
                <w:szCs w:val="17"/>
                <w:color w:val="auto"/>
              </w:rPr>
            </w:pPr>
          </w:p>
        </w:tc>
        <w:tc>
          <w:tcPr>
            <w:tcW w:w="220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securities</w:t>
            </w:r>
          </w:p>
        </w:tc>
      </w:tr>
      <w:tr>
        <w:trPr>
          <w:trHeight w:val="216"/>
        </w:trPr>
        <w:tc>
          <w:tcPr>
            <w:tcW w:w="5340" w:type="dxa"/>
            <w:vAlign w:val="bottom"/>
            <w:shd w:val="clear" w:color="auto" w:fill="4DC1E4"/>
          </w:tcPr>
          <w:p>
            <w:pPr>
              <w:spacing w:after="0"/>
              <w:rPr>
                <w:sz w:val="18"/>
                <w:szCs w:val="18"/>
                <w:color w:val="auto"/>
              </w:rPr>
            </w:pPr>
          </w:p>
        </w:tc>
        <w:tc>
          <w:tcPr>
            <w:tcW w:w="19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securities to be</w:t>
            </w:r>
          </w:p>
        </w:tc>
        <w:tc>
          <w:tcPr>
            <w:tcW w:w="420" w:type="dxa"/>
            <w:vAlign w:val="bottom"/>
            <w:shd w:val="clear" w:color="auto" w:fill="4DC1E4"/>
          </w:tcPr>
          <w:p>
            <w:pPr>
              <w:spacing w:after="0"/>
              <w:rPr>
                <w:sz w:val="18"/>
                <w:szCs w:val="18"/>
                <w:color w:val="auto"/>
              </w:rPr>
            </w:pPr>
          </w:p>
        </w:tc>
        <w:tc>
          <w:tcPr>
            <w:tcW w:w="1320" w:type="dxa"/>
            <w:vAlign w:val="bottom"/>
            <w:gridSpan w:val="2"/>
            <w:shd w:val="clear" w:color="auto" w:fill="4DC1E4"/>
          </w:tcPr>
          <w:p>
            <w:pPr>
              <w:jc w:val="center"/>
              <w:ind w:right="480"/>
              <w:spacing w:after="0"/>
              <w:rPr>
                <w:sz w:val="20"/>
                <w:szCs w:val="20"/>
                <w:color w:val="auto"/>
              </w:rPr>
            </w:pPr>
            <w:r>
              <w:rPr>
                <w:rFonts w:ascii="Times New Roman" w:cs="Times New Roman" w:eastAsia="Times New Roman" w:hAnsi="Times New Roman"/>
                <w:sz w:val="18"/>
                <w:szCs w:val="18"/>
                <w:b w:val="1"/>
                <w:bCs w:val="1"/>
                <w:color w:val="FFFFFF"/>
                <w:w w:val="99"/>
              </w:rPr>
              <w:t>Weighted-</w:t>
            </w:r>
          </w:p>
        </w:tc>
        <w:tc>
          <w:tcPr>
            <w:tcW w:w="220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remaining available for</w:t>
            </w:r>
          </w:p>
        </w:tc>
      </w:tr>
      <w:tr>
        <w:trPr>
          <w:trHeight w:val="216"/>
        </w:trPr>
        <w:tc>
          <w:tcPr>
            <w:tcW w:w="5340" w:type="dxa"/>
            <w:vAlign w:val="bottom"/>
            <w:shd w:val="clear" w:color="auto" w:fill="4DC1E4"/>
          </w:tcPr>
          <w:p>
            <w:pPr>
              <w:spacing w:after="0"/>
              <w:rPr>
                <w:sz w:val="18"/>
                <w:szCs w:val="18"/>
                <w:color w:val="auto"/>
              </w:rPr>
            </w:pPr>
          </w:p>
        </w:tc>
        <w:tc>
          <w:tcPr>
            <w:tcW w:w="19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issued upon exercise</w:t>
            </w:r>
          </w:p>
        </w:tc>
        <w:tc>
          <w:tcPr>
            <w:tcW w:w="1740" w:type="dxa"/>
            <w:vAlign w:val="bottom"/>
            <w:gridSpan w:val="3"/>
            <w:shd w:val="clear" w:color="auto" w:fill="4DC1E4"/>
          </w:tcPr>
          <w:p>
            <w:pPr>
              <w:jc w:val="center"/>
              <w:ind w:right="40"/>
              <w:spacing w:after="0"/>
              <w:rPr>
                <w:sz w:val="20"/>
                <w:szCs w:val="20"/>
                <w:color w:val="auto"/>
              </w:rPr>
            </w:pPr>
            <w:r>
              <w:rPr>
                <w:rFonts w:ascii="Times New Roman" w:cs="Times New Roman" w:eastAsia="Times New Roman" w:hAnsi="Times New Roman"/>
                <w:sz w:val="18"/>
                <w:szCs w:val="18"/>
                <w:b w:val="1"/>
                <w:bCs w:val="1"/>
                <w:color w:val="FFFFFF"/>
              </w:rPr>
              <w:t>average exercise</w:t>
            </w:r>
          </w:p>
        </w:tc>
        <w:tc>
          <w:tcPr>
            <w:tcW w:w="220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future issuance under</w:t>
            </w:r>
          </w:p>
        </w:tc>
      </w:tr>
      <w:tr>
        <w:trPr>
          <w:trHeight w:val="216"/>
        </w:trPr>
        <w:tc>
          <w:tcPr>
            <w:tcW w:w="5340" w:type="dxa"/>
            <w:vAlign w:val="bottom"/>
            <w:shd w:val="clear" w:color="auto" w:fill="4DC1E4"/>
          </w:tcPr>
          <w:p>
            <w:pPr>
              <w:spacing w:after="0"/>
              <w:rPr>
                <w:sz w:val="18"/>
                <w:szCs w:val="18"/>
                <w:color w:val="auto"/>
              </w:rPr>
            </w:pPr>
          </w:p>
        </w:tc>
        <w:tc>
          <w:tcPr>
            <w:tcW w:w="19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outstanding</w:t>
            </w:r>
          </w:p>
        </w:tc>
        <w:tc>
          <w:tcPr>
            <w:tcW w:w="420" w:type="dxa"/>
            <w:vAlign w:val="bottom"/>
            <w:shd w:val="clear" w:color="auto" w:fill="4DC1E4"/>
          </w:tcPr>
          <w:p>
            <w:pPr>
              <w:spacing w:after="0"/>
              <w:rPr>
                <w:sz w:val="18"/>
                <w:szCs w:val="18"/>
                <w:color w:val="auto"/>
              </w:rPr>
            </w:pPr>
          </w:p>
        </w:tc>
        <w:tc>
          <w:tcPr>
            <w:tcW w:w="1320" w:type="dxa"/>
            <w:vAlign w:val="bottom"/>
            <w:gridSpan w:val="2"/>
            <w:shd w:val="clear" w:color="auto" w:fill="4DC1E4"/>
          </w:tcPr>
          <w:p>
            <w:pPr>
              <w:jc w:val="center"/>
              <w:ind w:right="460"/>
              <w:spacing w:after="0"/>
              <w:rPr>
                <w:sz w:val="20"/>
                <w:szCs w:val="20"/>
                <w:color w:val="auto"/>
              </w:rPr>
            </w:pPr>
            <w:r>
              <w:rPr>
                <w:rFonts w:ascii="Times New Roman" w:cs="Times New Roman" w:eastAsia="Times New Roman" w:hAnsi="Times New Roman"/>
                <w:sz w:val="18"/>
                <w:szCs w:val="18"/>
                <w:b w:val="1"/>
                <w:bCs w:val="1"/>
                <w:color w:val="FFFFFF"/>
                <w:w w:val="99"/>
              </w:rPr>
              <w:t>price of</w:t>
            </w:r>
          </w:p>
        </w:tc>
        <w:tc>
          <w:tcPr>
            <w:tcW w:w="220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compensation</w:t>
            </w:r>
          </w:p>
        </w:tc>
      </w:tr>
      <w:tr>
        <w:trPr>
          <w:trHeight w:val="216"/>
        </w:trPr>
        <w:tc>
          <w:tcPr>
            <w:tcW w:w="5340" w:type="dxa"/>
            <w:vAlign w:val="bottom"/>
            <w:shd w:val="clear" w:color="auto" w:fill="4DC1E4"/>
          </w:tcPr>
          <w:p>
            <w:pPr>
              <w:spacing w:after="0"/>
              <w:rPr>
                <w:sz w:val="18"/>
                <w:szCs w:val="18"/>
                <w:color w:val="auto"/>
              </w:rPr>
            </w:pPr>
          </w:p>
        </w:tc>
        <w:tc>
          <w:tcPr>
            <w:tcW w:w="19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options, restricted</w:t>
            </w:r>
          </w:p>
        </w:tc>
        <w:tc>
          <w:tcPr>
            <w:tcW w:w="1740" w:type="dxa"/>
            <w:vAlign w:val="bottom"/>
            <w:gridSpan w:val="3"/>
            <w:shd w:val="clear" w:color="auto" w:fill="4DC1E4"/>
          </w:tcPr>
          <w:p>
            <w:pPr>
              <w:jc w:val="center"/>
              <w:ind w:right="40"/>
              <w:spacing w:after="0"/>
              <w:rPr>
                <w:sz w:val="20"/>
                <w:szCs w:val="20"/>
                <w:color w:val="auto"/>
              </w:rPr>
            </w:pPr>
            <w:r>
              <w:rPr>
                <w:rFonts w:ascii="Times New Roman" w:cs="Times New Roman" w:eastAsia="Times New Roman" w:hAnsi="Times New Roman"/>
                <w:sz w:val="18"/>
                <w:szCs w:val="18"/>
                <w:b w:val="1"/>
                <w:bCs w:val="1"/>
                <w:color w:val="FFFFFF"/>
                <w:w w:val="98"/>
              </w:rPr>
              <w:t>outstanding</w:t>
            </w:r>
          </w:p>
        </w:tc>
        <w:tc>
          <w:tcPr>
            <w:tcW w:w="400" w:type="dxa"/>
            <w:vAlign w:val="bottom"/>
            <w:shd w:val="clear" w:color="auto" w:fill="4DC1E4"/>
          </w:tcPr>
          <w:p>
            <w:pPr>
              <w:spacing w:after="0"/>
              <w:rPr>
                <w:sz w:val="18"/>
                <w:szCs w:val="18"/>
                <w:color w:val="auto"/>
              </w:rPr>
            </w:pPr>
          </w:p>
        </w:tc>
        <w:tc>
          <w:tcPr>
            <w:tcW w:w="1800" w:type="dxa"/>
            <w:vAlign w:val="bottom"/>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w w:val="98"/>
              </w:rPr>
              <w:t>plans (excluding</w:t>
            </w:r>
          </w:p>
        </w:tc>
      </w:tr>
      <w:tr>
        <w:trPr>
          <w:trHeight w:val="196"/>
        </w:trPr>
        <w:tc>
          <w:tcPr>
            <w:tcW w:w="5340" w:type="dxa"/>
            <w:vAlign w:val="bottom"/>
            <w:shd w:val="clear" w:color="auto" w:fill="4DC1E4"/>
          </w:tcPr>
          <w:p>
            <w:pPr>
              <w:spacing w:after="0"/>
              <w:rPr>
                <w:sz w:val="17"/>
                <w:szCs w:val="17"/>
                <w:color w:val="auto"/>
              </w:rPr>
            </w:pPr>
          </w:p>
        </w:tc>
        <w:tc>
          <w:tcPr>
            <w:tcW w:w="196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stock units and</w:t>
            </w:r>
          </w:p>
        </w:tc>
        <w:tc>
          <w:tcPr>
            <w:tcW w:w="1740" w:type="dxa"/>
            <w:vAlign w:val="bottom"/>
            <w:gridSpan w:val="3"/>
            <w:shd w:val="clear" w:color="auto" w:fill="4DC1E4"/>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options and other</w:t>
            </w:r>
          </w:p>
        </w:tc>
        <w:tc>
          <w:tcPr>
            <w:tcW w:w="220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rPr>
              <w:t>securities reflected in</w:t>
            </w:r>
          </w:p>
        </w:tc>
      </w:tr>
      <w:tr>
        <w:trPr>
          <w:trHeight w:val="304"/>
        </w:trPr>
        <w:tc>
          <w:tcPr>
            <w:tcW w:w="5340" w:type="dxa"/>
            <w:vAlign w:val="bottom"/>
            <w:tcBorders>
              <w:bottom w:val="single" w:sz="8" w:color="4DC1E4"/>
            </w:tcBorders>
            <w:shd w:val="clear" w:color="auto" w:fill="4DC1E4"/>
          </w:tcPr>
          <w:p>
            <w:pPr>
              <w:ind w:left="2120"/>
              <w:spacing w:after="0"/>
              <w:rPr>
                <w:sz w:val="20"/>
                <w:szCs w:val="20"/>
                <w:color w:val="auto"/>
              </w:rPr>
            </w:pPr>
            <w:r>
              <w:rPr>
                <w:rFonts w:ascii="Times New Roman" w:cs="Times New Roman" w:eastAsia="Times New Roman" w:hAnsi="Times New Roman"/>
                <w:sz w:val="18"/>
                <w:szCs w:val="18"/>
                <w:b w:val="1"/>
                <w:bCs w:val="1"/>
                <w:color w:val="FFFFFF"/>
              </w:rPr>
              <w:t>Plan Category</w:t>
            </w:r>
          </w:p>
        </w:tc>
        <w:tc>
          <w:tcPr>
            <w:tcW w:w="500" w:type="dxa"/>
            <w:vAlign w:val="bottom"/>
            <w:tcBorders>
              <w:bottom w:val="single" w:sz="8" w:color="4DC1E4"/>
            </w:tcBorders>
            <w:shd w:val="clear" w:color="auto" w:fill="4DC1E4"/>
          </w:tcPr>
          <w:p>
            <w:pPr>
              <w:spacing w:after="0"/>
              <w:rPr>
                <w:sz w:val="24"/>
                <w:szCs w:val="24"/>
                <w:color w:val="auto"/>
              </w:rPr>
            </w:pPr>
          </w:p>
        </w:tc>
        <w:tc>
          <w:tcPr>
            <w:tcW w:w="1460" w:type="dxa"/>
            <w:vAlign w:val="bottom"/>
            <w:tcBorders>
              <w:bottom w:val="single" w:sz="8" w:color="4DC1E4"/>
            </w:tcBorders>
            <w:gridSpan w:val="2"/>
            <w:shd w:val="clear" w:color="auto" w:fill="4DC1E4"/>
          </w:tcPr>
          <w:p>
            <w:pPr>
              <w:jc w:val="center"/>
              <w:ind w:right="440"/>
              <w:spacing w:after="0"/>
              <w:rPr>
                <w:sz w:val="20"/>
                <w:szCs w:val="20"/>
                <w:color w:val="auto"/>
              </w:rPr>
            </w:pPr>
            <w:r>
              <w:rPr>
                <w:rFonts w:ascii="Times New Roman" w:cs="Times New Roman" w:eastAsia="Times New Roman" w:hAnsi="Times New Roman"/>
                <w:sz w:val="18"/>
                <w:szCs w:val="18"/>
                <w:b w:val="1"/>
                <w:bCs w:val="1"/>
                <w:color w:val="FFFFFF"/>
                <w:w w:val="99"/>
              </w:rPr>
              <w:t>other rights</w:t>
            </w:r>
          </w:p>
        </w:tc>
        <w:tc>
          <w:tcPr>
            <w:tcW w:w="420" w:type="dxa"/>
            <w:vAlign w:val="bottom"/>
            <w:tcBorders>
              <w:bottom w:val="single" w:sz="8" w:color="4DC1E4"/>
            </w:tcBorders>
            <w:shd w:val="clear" w:color="auto" w:fill="4DC1E4"/>
          </w:tcPr>
          <w:p>
            <w:pPr>
              <w:spacing w:after="0"/>
              <w:rPr>
                <w:sz w:val="24"/>
                <w:szCs w:val="24"/>
                <w:color w:val="auto"/>
              </w:rPr>
            </w:pPr>
          </w:p>
        </w:tc>
        <w:tc>
          <w:tcPr>
            <w:tcW w:w="1320" w:type="dxa"/>
            <w:vAlign w:val="bottom"/>
            <w:tcBorders>
              <w:bottom w:val="single" w:sz="8" w:color="4DC1E4"/>
            </w:tcBorders>
            <w:gridSpan w:val="2"/>
            <w:shd w:val="clear" w:color="auto" w:fill="4DC1E4"/>
          </w:tcPr>
          <w:p>
            <w:pPr>
              <w:jc w:val="center"/>
              <w:ind w:right="460"/>
              <w:spacing w:after="0" w:line="258" w:lineRule="exact"/>
              <w:rPr>
                <w:sz w:val="20"/>
                <w:szCs w:val="20"/>
                <w:color w:val="auto"/>
              </w:rPr>
            </w:pPr>
            <w:r>
              <w:rPr>
                <w:rFonts w:ascii="Times New Roman" w:cs="Times New Roman" w:eastAsia="Times New Roman" w:hAnsi="Times New Roman"/>
                <w:sz w:val="18"/>
                <w:szCs w:val="18"/>
                <w:b w:val="1"/>
                <w:bCs w:val="1"/>
                <w:color w:val="FFFFFF"/>
                <w:w w:val="91"/>
              </w:rPr>
              <w:t>rights</w:t>
            </w:r>
            <w:r>
              <w:rPr>
                <w:rFonts w:ascii="Times New Roman" w:cs="Times New Roman" w:eastAsia="Times New Roman" w:hAnsi="Times New Roman"/>
                <w:sz w:val="24"/>
                <w:szCs w:val="24"/>
                <w:b w:val="1"/>
                <w:bCs w:val="1"/>
                <w:color w:val="FFFFFF"/>
                <w:w w:val="91"/>
                <w:vertAlign w:val="superscript"/>
              </w:rPr>
              <w:t>(1)</w:t>
            </w:r>
          </w:p>
        </w:tc>
        <w:tc>
          <w:tcPr>
            <w:tcW w:w="400" w:type="dxa"/>
            <w:vAlign w:val="bottom"/>
            <w:tcBorders>
              <w:bottom w:val="single" w:sz="8" w:color="4DC1E4"/>
            </w:tcBorders>
            <w:shd w:val="clear" w:color="auto" w:fill="4DC1E4"/>
          </w:tcPr>
          <w:p>
            <w:pPr>
              <w:spacing w:after="0"/>
              <w:rPr>
                <w:sz w:val="24"/>
                <w:szCs w:val="24"/>
                <w:color w:val="auto"/>
              </w:rPr>
            </w:pPr>
          </w:p>
        </w:tc>
        <w:tc>
          <w:tcPr>
            <w:tcW w:w="1800" w:type="dxa"/>
            <w:vAlign w:val="bottom"/>
            <w:tcBorders>
              <w:bottom w:val="single" w:sz="8" w:color="4DC1E4"/>
            </w:tcBorders>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w w:val="99"/>
              </w:rPr>
              <w:t>column (a))</w:t>
            </w:r>
          </w:p>
        </w:tc>
      </w:tr>
      <w:tr>
        <w:trPr>
          <w:trHeight w:val="210"/>
        </w:trPr>
        <w:tc>
          <w:tcPr>
            <w:tcW w:w="53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w:t>
            </w: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(c)</w:t>
            </w:r>
          </w:p>
        </w:tc>
      </w:tr>
      <w:tr>
        <w:trPr>
          <w:trHeight w:val="191"/>
        </w:trPr>
        <w:tc>
          <w:tcPr>
            <w:tcW w:w="5340" w:type="dxa"/>
            <w:vAlign w:val="bottom"/>
          </w:tcPr>
          <w:p>
            <w:pPr>
              <w:ind w:left="120"/>
              <w:spacing w:after="0" w:line="191" w:lineRule="exact"/>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2"/>
                <w:szCs w:val="22"/>
                <w:color w:val="auto"/>
                <w:vertAlign w:val="superscript"/>
              </w:rPr>
              <w:t>(2)</w:t>
            </w:r>
          </w:p>
        </w:tc>
        <w:tc>
          <w:tcPr>
            <w:tcW w:w="15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6,463,387</w:t>
            </w:r>
          </w:p>
        </w:tc>
        <w:tc>
          <w:tcPr>
            <w:tcW w:w="440" w:type="dxa"/>
            <w:vAlign w:val="bottom"/>
          </w:tcPr>
          <w:p>
            <w:pPr>
              <w:spacing w:after="0"/>
              <w:rPr>
                <w:sz w:val="16"/>
                <w:szCs w:val="16"/>
                <w:color w:val="auto"/>
              </w:rPr>
            </w:pPr>
          </w:p>
        </w:tc>
        <w:tc>
          <w:tcPr>
            <w:tcW w:w="12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$7.78</w:t>
            </w:r>
          </w:p>
        </w:tc>
        <w:tc>
          <w:tcPr>
            <w:tcW w:w="460" w:type="dxa"/>
            <w:vAlign w:val="bottom"/>
          </w:tcPr>
          <w:p>
            <w:pPr>
              <w:spacing w:after="0"/>
              <w:rPr>
                <w:sz w:val="16"/>
                <w:szCs w:val="16"/>
                <w:color w:val="auto"/>
              </w:rPr>
            </w:pPr>
          </w:p>
        </w:tc>
        <w:tc>
          <w:tcPr>
            <w:tcW w:w="2200" w:type="dxa"/>
            <w:vAlign w:val="bottom"/>
            <w:gridSpan w:val="3"/>
          </w:tcPr>
          <w:p>
            <w:pPr>
              <w:jc w:val="right"/>
              <w:ind w:right="460"/>
              <w:spacing w:after="0" w:line="191" w:lineRule="exact"/>
              <w:rPr>
                <w:sz w:val="20"/>
                <w:szCs w:val="20"/>
                <w:color w:val="auto"/>
              </w:rPr>
            </w:pPr>
            <w:r>
              <w:rPr>
                <w:rFonts w:ascii="Times New Roman" w:cs="Times New Roman" w:eastAsia="Times New Roman" w:hAnsi="Times New Roman"/>
                <w:sz w:val="17"/>
                <w:szCs w:val="17"/>
                <w:color w:val="auto"/>
              </w:rPr>
              <w:t xml:space="preserve">626,926 </w:t>
            </w:r>
            <w:r>
              <w:rPr>
                <w:rFonts w:ascii="Times New Roman" w:cs="Times New Roman" w:eastAsia="Times New Roman" w:hAnsi="Times New Roman"/>
                <w:sz w:val="22"/>
                <w:szCs w:val="22"/>
                <w:color w:val="auto"/>
                <w:vertAlign w:val="superscript"/>
              </w:rPr>
              <w:t>(3)(4)</w:t>
            </w:r>
          </w:p>
        </w:tc>
      </w:tr>
      <w:tr>
        <w:trPr>
          <w:trHeight w:val="234"/>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50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6,463,387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626,926</w:t>
            </w:r>
          </w:p>
        </w:tc>
        <w:tc>
          <w:tcPr>
            <w:tcW w:w="76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80" w:right="20" w:hanging="772"/>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weighted average exercise price for the total number of outstanding stock options. No such value is included for restricted stock units, which do not have an exercise price.</w:t>
      </w:r>
    </w:p>
    <w:p>
      <w:pPr>
        <w:ind w:left="780" w:hanging="772"/>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approved by stockholders consists of the Company’s 2020 Equity Incentive Plan (the “2020 Plan”).</w:t>
      </w:r>
    </w:p>
    <w:p>
      <w:pPr>
        <w:spacing w:after="0" w:line="9" w:lineRule="exact"/>
        <w:rPr>
          <w:rFonts w:ascii="Times New Roman" w:cs="Times New Roman" w:eastAsia="Times New Roman" w:hAnsi="Times New Roman"/>
          <w:sz w:val="18"/>
          <w:szCs w:val="18"/>
          <w:color w:val="auto"/>
        </w:rPr>
      </w:pPr>
    </w:p>
    <w:p>
      <w:pPr>
        <w:jc w:val="both"/>
        <w:ind w:left="780" w:hanging="772"/>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shares available for issuance under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w:t>
      </w:r>
    </w:p>
    <w:p>
      <w:pPr>
        <w:spacing w:after="0" w:line="1" w:lineRule="exact"/>
        <w:rPr>
          <w:rFonts w:ascii="Times New Roman" w:cs="Times New Roman" w:eastAsia="Times New Roman" w:hAnsi="Times New Roman"/>
          <w:sz w:val="18"/>
          <w:szCs w:val="18"/>
          <w:color w:val="auto"/>
        </w:rPr>
      </w:pPr>
    </w:p>
    <w:p>
      <w:pPr>
        <w:jc w:val="both"/>
        <w:ind w:left="780" w:hanging="772"/>
        <w:spacing w:after="0" w:line="25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2,552,603 shares were added to the 2020 Plan in accordance with the evergreen feature described above, increasing the maximum number of shares of the Company’s common stock that may be issued under the 2020 Plan to 3,179,529 shares. This increase is not reflected in the table above.</w:t>
      </w:r>
    </w:p>
    <w:p>
      <w:pPr>
        <w:spacing w:after="0" w:line="1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29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0" w:name="page41"/>
    <w:bookmarkEnd w:id="40"/>
    <w:p>
      <w:pPr>
        <w:ind w:left="1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April 1, 2025, except to the extent indicated otherwise in the footnotes, by (a) each person known by us to be the beneficial owner of more than 5% of the outstanding shares of common stock, (b) each NEO identified in the “2024 Summary Compensation Table” above, (c) each director and nominee for director, and (d) all executive officers and directors as a group.</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of common stock outstanding is based on 64,027,892 shares of our common stock outstanding as of April 1, 2025. For purposes of the table below, and in accordance with the rules of the SEC, we deem shares of common stock subject to options, warrants or other derivative securities of the Company that are currently exercisable or exercisable within sixty days of April 1, 2025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860" w:type="dxa"/>
            <w:vAlign w:val="bottom"/>
            <w:tcBorders>
              <w:top w:val="single" w:sz="8" w:color="auto"/>
              <w:left w:val="single" w:sz="8" w:color="auto"/>
              <w:bottom w:val="single" w:sz="8" w:color="auto"/>
            </w:tcBorders>
            <w:shd w:val="clear" w:color="auto" w:fill="4DC1E4"/>
          </w:tcPr>
          <w:p>
            <w:pPr>
              <w:spacing w:after="0"/>
              <w:rPr>
                <w:sz w:val="19"/>
                <w:szCs w:val="19"/>
                <w:color w:val="auto"/>
              </w:rPr>
            </w:pPr>
          </w:p>
        </w:tc>
        <w:tc>
          <w:tcPr>
            <w:tcW w:w="4380" w:type="dxa"/>
            <w:vAlign w:val="bottom"/>
            <w:tcBorders>
              <w:top w:val="single" w:sz="8" w:color="auto"/>
              <w:bottom w:val="single" w:sz="8" w:color="auto"/>
              <w:right w:val="single" w:sz="8" w:color="auto"/>
            </w:tcBorders>
            <w:gridSpan w:val="2"/>
            <w:shd w:val="clear" w:color="auto" w:fill="4DC1E4"/>
          </w:tcPr>
          <w:p>
            <w:pPr>
              <w:jc w:val="right"/>
              <w:ind w:right="91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HARES</w:t>
            </w:r>
            <w:r>
              <w:rPr>
                <w:rFonts w:ascii="Times New Roman" w:cs="Times New Roman" w:eastAsia="Times New Roman" w:hAnsi="Times New Roman"/>
                <w:sz w:val="18"/>
                <w:szCs w:val="18"/>
                <w:b w:val="1"/>
                <w:bCs w:val="1"/>
                <w:color w:val="FFFFFF"/>
              </w:rPr>
              <w:t xml:space="preserve"> B</w:t>
            </w:r>
            <w:r>
              <w:rPr>
                <w:rFonts w:ascii="Times New Roman" w:cs="Times New Roman" w:eastAsia="Times New Roman" w:hAnsi="Times New Roman"/>
                <w:sz w:val="13"/>
                <w:szCs w:val="13"/>
                <w:b w:val="1"/>
                <w:bCs w:val="1"/>
                <w:color w:val="FFFFFF"/>
              </w:rPr>
              <w:t>ENEFICIALLY</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WNED</w:t>
            </w:r>
          </w:p>
        </w:tc>
      </w:tr>
      <w:tr>
        <w:trPr>
          <w:trHeight w:val="255"/>
        </w:trPr>
        <w:tc>
          <w:tcPr>
            <w:tcW w:w="6860" w:type="dxa"/>
            <w:vAlign w:val="bottom"/>
            <w:tcBorders>
              <w:left w:val="single" w:sz="8" w:color="auto"/>
              <w:bottom w:val="single" w:sz="8" w:color="4DC1E4"/>
            </w:tcBorders>
            <w:shd w:val="clear" w:color="auto" w:fill="4DC1E4"/>
          </w:tcPr>
          <w:p>
            <w:pPr>
              <w:ind w:left="238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 OF BENEFICIAL OWNER</w:t>
            </w:r>
          </w:p>
        </w:tc>
        <w:tc>
          <w:tcPr>
            <w:tcW w:w="2440" w:type="dxa"/>
            <w:vAlign w:val="bottom"/>
            <w:tcBorders>
              <w:bottom w:val="single" w:sz="8" w:color="4DC1E4"/>
            </w:tcBorders>
            <w:shd w:val="clear" w:color="auto" w:fill="4DC1E4"/>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UMBER OF</w:t>
            </w:r>
            <w:r>
              <w:rPr>
                <w:rFonts w:ascii="Times New Roman" w:cs="Times New Roman" w:eastAsia="Times New Roman" w:hAnsi="Times New Roman"/>
                <w:sz w:val="18"/>
                <w:szCs w:val="18"/>
                <w:b w:val="1"/>
                <w:bCs w:val="1"/>
                <w:color w:val="FFFFFF"/>
              </w:rPr>
              <w:t xml:space="preserve"> S</w:t>
            </w:r>
            <w:r>
              <w:rPr>
                <w:rFonts w:ascii="Times New Roman" w:cs="Times New Roman" w:eastAsia="Times New Roman" w:hAnsi="Times New Roman"/>
                <w:sz w:val="13"/>
                <w:szCs w:val="13"/>
                <w:b w:val="1"/>
                <w:bCs w:val="1"/>
                <w:color w:val="FFFFFF"/>
              </w:rPr>
              <w:t>HARES</w:t>
            </w:r>
          </w:p>
        </w:tc>
        <w:tc>
          <w:tcPr>
            <w:tcW w:w="1940" w:type="dxa"/>
            <w:vAlign w:val="bottom"/>
            <w:tcBorders>
              <w:bottom w:val="single" w:sz="8" w:color="4DC1E4"/>
              <w:right w:val="single" w:sz="8" w:color="auto"/>
            </w:tcBorders>
            <w:shd w:val="clear" w:color="auto" w:fill="4DC1E4"/>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ERCENTAGE</w:t>
            </w:r>
          </w:p>
        </w:tc>
      </w:tr>
      <w:tr>
        <w:trPr>
          <w:trHeight w:val="250"/>
        </w:trPr>
        <w:tc>
          <w:tcPr>
            <w:tcW w:w="68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44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r>
      <w:tr>
        <w:trPr>
          <w:trHeight w:val="41"/>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Entities affiliated with Deerfield Management (1)</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21,292,474</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33.2 %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Entities affiliated with Janus Henderson Group plc (2)</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6,443,286</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10.1 %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Entities affiliated with RA Capital Management, L.P. (3)</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6,045,351</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9.4 %</w:t>
            </w:r>
          </w:p>
        </w:tc>
      </w:tr>
      <w:tr>
        <w:trPr>
          <w:trHeight w:val="41"/>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Blue Owl Capital Holdings LP (4)</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4,653,040</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7.3 %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Entities affiliated with Goldman Sachs (5)</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4,152,228</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6.5 %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BlackRock, Inc. (6)</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3,265,905</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5.1 %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440" w:type="dxa"/>
            <w:vAlign w:val="bottom"/>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Carole S. Ben-Maimon, M.D. (7)</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1,397,019</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2.1 %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Celano (8)</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483,304</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Gopi Shankar, Ph.D., MBA, FAAPS (9)</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156,875</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Frank Thomas (10)</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69,624</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Jonathan Leff (11)</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E. Hamilton (12)</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651,311</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1.0 %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Jeffrey W. Sherman, M.D., FACP (13)</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27,761</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Joseph Truitt (14)</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63,250</w:t>
            </w:r>
          </w:p>
        </w:tc>
        <w:tc>
          <w:tcPr>
            <w:tcW w:w="194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r>
        <w:trPr>
          <w:trHeight w:val="250"/>
        </w:trPr>
        <w:tc>
          <w:tcPr>
            <w:tcW w:w="6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 (15)</w:t>
            </w: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2,982,269</w:t>
            </w:r>
          </w:p>
        </w:tc>
        <w:tc>
          <w:tcPr>
            <w:tcW w:w="19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4.5 %</w:t>
            </w:r>
          </w:p>
        </w:tc>
      </w:tr>
      <w:tr>
        <w:trPr>
          <w:trHeight w:val="40"/>
        </w:trPr>
        <w:tc>
          <w:tcPr>
            <w:tcW w:w="686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r>
    </w:tbl>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07" w:lineRule="exact"/>
        <w:rPr>
          <w:sz w:val="20"/>
          <w:szCs w:val="20"/>
          <w:color w:val="auto"/>
        </w:rPr>
      </w:pPr>
    </w:p>
    <w:p>
      <w:pPr>
        <w:jc w:val="both"/>
        <w:ind w:left="780" w:hanging="772"/>
        <w:spacing w:after="0" w:line="254"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jointly filed with the SEC on March 15, 2024 by Deerfield Private Design Fund III, L.P., Deerfield Healthcare Innovations Fund, L.P., Deerfield Private Design Fund IV, L.P., Deerfield Partners, L.P., Deerfield Mgmt III, L.P., Deerfield Mgmt HIF, L.P., Deerfield Mgmt IV, L.P., Deerfield Mgmt, L.P., Deerfield Management Company, L.P. and James E. Flynn reflecting information as of February 16, 2024, consists of (a) 6,151,389 shares held by Deerfield Private Design Fund III, L.P., (b) 4,721,197 shares held by Deerfield Healthcare Innovations Fund, L.P., (c) 6,151,406 shares held by Deerfield Private Design Fund IV, L.P., (d) 4,207,982 shares held by Deerfield Partners, L.P. and (e) 60,500 shares of common stock issuable upon the exercise of an equal number of options that are currently exercisable or will be exercisable within 60 days of April 1, 2025 held by Jonathan Leff for the benefit, and the direction, of Deerfield Management Company L.P. Deerfield Mgmt IV, L.P. is the general partner of Deerfield Private Design Fund IV, L.P. Deerfield Mgmt HIF, L.P. is the general partner of Deerfield Healthcare Innovations Fund, L.P.</w:t>
      </w:r>
    </w:p>
    <w:p>
      <w:pPr>
        <w:spacing w:after="0" w:line="306"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1" w:name="page42"/>
    <w:bookmarkEnd w:id="41"/>
    <w:p>
      <w:pPr>
        <w:ind w:left="112"/>
        <w:spacing w:after="0"/>
        <w:rPr>
          <w:sz w:val="20"/>
          <w:szCs w:val="20"/>
          <w:color w:val="auto"/>
        </w:rPr>
      </w:pPr>
      <w:r>
        <w:rPr>
          <w:rFonts w:ascii="Times New Roman" w:cs="Times New Roman" w:eastAsia="Times New Roman" w:hAnsi="Times New Roman"/>
          <w:sz w:val="21"/>
          <w:szCs w:val="21"/>
          <w:b w:val="1"/>
          <w:bCs w:val="1"/>
          <w:color w:val="auto"/>
        </w:rPr>
        <w:t xml:space="preserve">SECURITY OWNERSHIP OF CERTAIN BENEFICIAL OWNERS AND MANAGEMENT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32"/>
          </w:cols>
          <w:pgMar w:left="328" w:top="1186" w:right="339" w:bottom="1440" w:gutter="0" w:footer="0" w:header="0"/>
        </w:sectPr>
      </w:pPr>
    </w:p>
    <w:p>
      <w:pPr>
        <w:spacing w:after="0" w:line="233" w:lineRule="exact"/>
        <w:rPr>
          <w:sz w:val="20"/>
          <w:szCs w:val="20"/>
          <w:color w:val="auto"/>
        </w:rPr>
      </w:pPr>
    </w:p>
    <w:p>
      <w:pPr>
        <w:jc w:val="both"/>
        <w:ind w:left="772"/>
        <w:spacing w:after="0" w:line="252" w:lineRule="auto"/>
        <w:rPr>
          <w:sz w:val="20"/>
          <w:szCs w:val="20"/>
          <w:color w:val="auto"/>
        </w:rPr>
      </w:pPr>
      <w:r>
        <w:rPr>
          <w:rFonts w:ascii="Times New Roman" w:cs="Times New Roman" w:eastAsia="Times New Roman" w:hAnsi="Times New Roman"/>
          <w:sz w:val="18"/>
          <w:szCs w:val="18"/>
          <w:color w:val="auto"/>
        </w:rPr>
        <w:t>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5" w:lineRule="exact"/>
        <w:rPr>
          <w:sz w:val="20"/>
          <w:szCs w:val="20"/>
          <w:color w:val="auto"/>
        </w:rPr>
      </w:pPr>
    </w:p>
    <w:p>
      <w:pPr>
        <w:jc w:val="both"/>
        <w:ind w:left="772" w:hanging="772"/>
        <w:spacing w:after="0" w:line="250" w:lineRule="auto"/>
        <w:tabs>
          <w:tab w:leader="none" w:pos="7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January 8, 2025 by Janus Henderson Group plc reflecting information as of December 31, 2024, consists of 6,443,286 shares of common stock. Janus Henderson Group plc has a 100% ownership stake in Janus Henderson Investors U.S. LLC (“JHIUS”), Janus Henderson Investors UK Limited and Janus Henderson Investors Australia Institutional Funds Management Limited, (each an “Asset Manager” and collectively as the “Asset Managers”). Due to the above ownership structure, holdings for the Asset Managers are aggregated for purposes of Janus Henderson Group plc’s Schedule 13G/A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the securities held by such Managed Portfolios. However, JHIUS does not have the right to receive any dividends from, or the proceeds from the sale of, the securities held in the Managed Portfolios and disclaims any ownership associated with such rights. The business address for Janus Henderson Group plc is 201 Bishopsgate EC2M 3AE, United Kingdom.</w:t>
      </w:r>
    </w:p>
    <w:p>
      <w:pPr>
        <w:spacing w:after="0" w:line="3" w:lineRule="exact"/>
        <w:rPr>
          <w:rFonts w:ascii="Times New Roman" w:cs="Times New Roman" w:eastAsia="Times New Roman" w:hAnsi="Times New Roman"/>
          <w:sz w:val="18"/>
          <w:szCs w:val="18"/>
          <w:color w:val="auto"/>
        </w:rPr>
      </w:pPr>
    </w:p>
    <w:p>
      <w:pPr>
        <w:jc w:val="both"/>
        <w:ind w:left="772" w:hanging="772"/>
        <w:spacing w:after="0" w:line="250" w:lineRule="auto"/>
        <w:tabs>
          <w:tab w:leader="none" w:pos="7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26, 2024 by RA Capital Management, L.P. (“RA Capital”), Peter Kolchinksy, Rajeev Shah and RA Capital Healthcare Fund, L.P. (the “Fund”) reflecting information as of February 16, 2024, consists of 6,045,351 shares of common stock held by the Fund. RA Capital Healthcare Fund GP, LLC is the general partner of the Fund. The general partner of RA Capital is RA Capital Management GP, LLC, of which Dr. Kolchinsky and Mr. Shah are the controlling persons. RA Capital serves as the investment adviser for the Fund and may be deemed to beneficially own the securities held by the Fund. The Fund has delegated to RA Capital the sole power to vote and dispose of all securities held in the Fund’s portfolio, including the shares held of the Company’s common stock. Because the Fund has divested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the securities reported herein. The business address for RA Capital is 200 Berkeley Street, 18th Floor, Boston, MA 02116.</w:t>
      </w:r>
    </w:p>
    <w:p>
      <w:pPr>
        <w:spacing w:after="0" w:line="4" w:lineRule="exact"/>
        <w:rPr>
          <w:rFonts w:ascii="Times New Roman" w:cs="Times New Roman" w:eastAsia="Times New Roman" w:hAnsi="Times New Roman"/>
          <w:sz w:val="18"/>
          <w:szCs w:val="18"/>
          <w:color w:val="auto"/>
        </w:rPr>
      </w:pPr>
    </w:p>
    <w:p>
      <w:pPr>
        <w:jc w:val="both"/>
        <w:ind w:left="772" w:hanging="772"/>
        <w:spacing w:after="0" w:line="250" w:lineRule="auto"/>
        <w:tabs>
          <w:tab w:leader="none" w:pos="7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 filed with the SEC on February 14, 2025 by Blue Owl Capital Holdings LP reflecting information as of December 31, 2024, consists of 4,653,040 shares of common stock held by Blue Owl Capital Holdings LP. The business address for Blue Owl Capital Holdings LP is 399 Park Avenue, New York, New York 10022.</w:t>
      </w:r>
    </w:p>
    <w:p>
      <w:pPr>
        <w:spacing w:after="0" w:line="1" w:lineRule="exact"/>
        <w:rPr>
          <w:rFonts w:ascii="Times New Roman" w:cs="Times New Roman" w:eastAsia="Times New Roman" w:hAnsi="Times New Roman"/>
          <w:sz w:val="18"/>
          <w:szCs w:val="18"/>
          <w:color w:val="auto"/>
        </w:rPr>
      </w:pPr>
    </w:p>
    <w:p>
      <w:pPr>
        <w:jc w:val="both"/>
        <w:ind w:left="772" w:hanging="772"/>
        <w:spacing w:after="0" w:line="250" w:lineRule="auto"/>
        <w:tabs>
          <w:tab w:leader="none" w:pos="7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 filed with the SEC on February 11, 2025 by Goldman Sachs Group, Inc. ("Goldman Group") and Goldman Sachs &amp; Co. LLC ("Goldman LLC") reflecting information as of December 31, 2024, consists of 4,152,228 shares of common stock of which Goldman Group and Goldman LLC have shared dispositive and voting power. The business address for Goldman Group and Goldman LLC is 200 West Street, New York, NY 10282..</w:t>
      </w:r>
    </w:p>
    <w:p>
      <w:pPr>
        <w:spacing w:after="0" w:line="1" w:lineRule="exact"/>
        <w:rPr>
          <w:rFonts w:ascii="Times New Roman" w:cs="Times New Roman" w:eastAsia="Times New Roman" w:hAnsi="Times New Roman"/>
          <w:sz w:val="18"/>
          <w:szCs w:val="18"/>
          <w:color w:val="auto"/>
        </w:rPr>
      </w:pPr>
    </w:p>
    <w:p>
      <w:pPr>
        <w:jc w:val="both"/>
        <w:ind w:left="772" w:hanging="772"/>
        <w:spacing w:after="0" w:line="255" w:lineRule="auto"/>
        <w:tabs>
          <w:tab w:leader="none" w:pos="7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4, 2025 by BlackRock, Inc. reflecting information as of December 31, 2024, consists of 3,265,905 shares of common stock of which BlackRock, Inc. has sole dispositive power and 3,240,946 shares of common stock of which BlackRock, Inc. has sole voting power. The business address for BlackRock, Inc. is 50 Hudson Yards New York, NY 10001.</w:t>
      </w:r>
    </w:p>
    <w:p>
      <w:pPr>
        <w:spacing w:after="0" w:line="303" w:lineRule="exact"/>
        <w:rPr>
          <w:sz w:val="20"/>
          <w:szCs w:val="20"/>
          <w:color w:val="auto"/>
        </w:rPr>
      </w:pPr>
    </w:p>
    <w:p>
      <w:pPr>
        <w:ind w:left="5592"/>
        <w:spacing w:after="0"/>
        <w:tabs>
          <w:tab w:leader="none" w:pos="11012"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547370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-116840</wp:posOffset>
            </wp:positionV>
            <wp:extent cx="825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32"/>
          </w:cols>
          <w:pgMar w:left="328" w:top="1186" w:right="339" w:bottom="1440" w:gutter="0" w:footer="0" w:header="0"/>
          <w:type w:val="continuous"/>
        </w:sectPr>
      </w:pPr>
    </w:p>
    <w:bookmarkStart w:id="42" w:name="page43"/>
    <w:bookmarkEnd w:id="42"/>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SECURITY OWNERSHIP OF CERTAIN BENEFICIAL OWNERS AND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both"/>
        <w:ind w:left="780" w:hanging="772"/>
        <w:spacing w:after="0" w:line="251"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144,115 shares directly beneficially owned by Dr. Ben-Maimon, (ii) 887,058 shares of common stock issuable upon the exercise of an equal number of options that are currently exercisable or will be exercisable within 60 days of April 1, 2025, (iii) 12,248 shares held by the Irrevocable Deed of Trust of Carole S. Ben-Maimon for the Benefit of Meadow Lainey Ben-Maimon (“Meadow Trust”), (iv) 12,249 shares held by the Irrevocable Deed of Trust of Carole S. Ben-Maimon for the Benefit of Olivia Liat Stein (“Olivia Trust”), (v) 12,249 shares held by the Irrevocable Deed of Trust of Carole S. Ben-Maimon for the Benefit of Ella Bar Stein (“Ella Trust”), (vi) 109,700 shares of common stock issuable upon the exercise of an equal number of options that are currently exercisable or will be exercisable within 60 days of April 1, 2025 held by Irrevocable Deed of Trust of Matzi Ben-Maimon and Carole Ben-Maimon for the Benefit of Joseph Ben-Maimon (“Joseph Trust”), (vii) 109,700 shares of common stock issuable upon the exercise of an equal number of options that are currently exercisable or will be exercisable within 60 days of April 1, 2025 held by Irrevocable Deed of Trust of Matzi Ben-Maimon and Carole Ben-Maimon for the Benefit of Tal Ben-Maimon (“Tal Trust”) and (viii) 109,700 shares of common stock issuable upon the exercise of an equal number of options that are currently exercisable or will be exercisable within 60 days of April 1, 2025 held by Irrevocable Deed of Trust of Matzi Ben-Maimon and Carole Ben-Maimon for the Benefit of Sivan Ben-Maimon (“Sivan Trust”). Dr. Ben-Maimon is the trustee of each of the Meadow Trust, Olivia Trust and Ella Trust. Dr. Ben-Maimon and Matzi Ben-Maimon, Dr. Ben-Maimon’s husband, are trustees of each of the Joseph Trust, Tal Trust and Sivan Trust. Dr. Ben-Maimon disclaims beneficial ownership of the shares held by each of the above named trusts.</w:t>
      </w:r>
    </w:p>
    <w:p>
      <w:pPr>
        <w:spacing w:after="0" w:line="11" w:lineRule="exact"/>
        <w:rPr>
          <w:rFonts w:ascii="Times New Roman" w:cs="Times New Roman" w:eastAsia="Times New Roman" w:hAnsi="Times New Roman"/>
          <w:sz w:val="18"/>
          <w:szCs w:val="18"/>
          <w:color w:val="auto"/>
        </w:rPr>
      </w:pPr>
    </w:p>
    <w:p>
      <w:pPr>
        <w:ind w:left="780" w:right="2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82,559 shares directly beneficially owned by Mr. Celano and (ii) 400,745 shares of common stock issuable upon the exercise of an equal number of options that are currently exercisable or will be exercisable within 60 days of April 1, 2025.</w:t>
      </w:r>
    </w:p>
    <w:p>
      <w:pPr>
        <w:ind w:left="78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10,625 shares directly beneficially owned by Dr. Shankar and (ii) 146,250 shares of common stock issuable upon the exercise of an equal number of options that are currently exercisable or will be exercisable within 60 days of April 1, 2025.</w:t>
      </w:r>
    </w:p>
    <w:p>
      <w:pPr>
        <w:ind w:left="78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directly beneficially owned by Mr. Thomas and (ii) 67,624 shares of common stock issuable upon the exercise of an equal number of options that are currently exercisable or will be exercisable within 60 days of April 1, 2025.</w:t>
      </w:r>
    </w:p>
    <w:p>
      <w:pPr>
        <w:jc w:val="both"/>
        <w:ind w:left="78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Leff disclaims beneficial ownership of the shares referred to in footnote 1 above, including 60,500 shares of common stock issuable upon the exercise of an equal number of options that are currently exercisable or will be exercisable within 60 days of April 1, 2025 that Mr. Leff, our director, holds for the benefit, and the direction, of Deerfield Management Company.</w:t>
      </w:r>
    </w:p>
    <w:p>
      <w:pPr>
        <w:spacing w:after="0" w:line="1" w:lineRule="exact"/>
        <w:rPr>
          <w:rFonts w:ascii="Times New Roman" w:cs="Times New Roman" w:eastAsia="Times New Roman" w:hAnsi="Times New Roman"/>
          <w:sz w:val="18"/>
          <w:szCs w:val="18"/>
          <w:color w:val="auto"/>
        </w:rPr>
      </w:pPr>
    </w:p>
    <w:p>
      <w:pPr>
        <w:jc w:val="both"/>
        <w:ind w:left="78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431,378 shares directly beneficially owned by Mr. Hamilton, (ii) 60,500 shares of common stock issuable upon the exercise of an equal number of options that are currently exercisable or will be exercisable within 60 days of April 1, 2025 and (iii) 159,433 shares directly held by Post Edison, LLC Mr. Hamilton disclaims beneficial ownership of the shares held by Post Edison, LLC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780" w:right="2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27,761 shares of common stock issuable upon the exercise of an equal number of options that are currently exercisable or will be exercisable within 60 days of April 1, 2025.</w:t>
      </w:r>
    </w:p>
    <w:p>
      <w:pPr>
        <w:ind w:left="780" w:hanging="772"/>
        <w:spacing w:after="0" w:line="25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2,750 shares directly beneficially owned by Mr. Truitt and (ii) 60,500 shares of common stock issuable upon the exercise of an equal number of options that are currently exercisable or will be exercisable within 60 days of April 1, 2025.</w:t>
      </w:r>
    </w:p>
    <w:p>
      <w:pPr>
        <w:ind w:left="780" w:hanging="772"/>
        <w:spacing w:after="0" w:line="260"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875,231 shares of common stock and (ii) 2,107,038 shares of common stock issuable upon the exercise of an equal number of options that are currently exercisable or will be exercisable within 60 days of April 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Section 16 of the Exchange Act requires the Company’s directors, certain officers and beneficial owners of more than ten percent of the Company’s common stock to file reports with the SEC indicating their holdings of and transactions in the Company’s equity securities and to provide copies of such reports to the Company. Based solely on a review of such reports and written representations from the Company’s reporting persons, the Company believes that all Section 16 filing requirements were fulfilled on a timely basis, except that Thomas E. Hamilton filed one late Form 4 with respect to a purchase of shares.</w:t>
      </w:r>
    </w:p>
    <w:p>
      <w:pPr>
        <w:spacing w:after="0" w:line="301"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3" w:name="page44"/>
    <w:bookmarkEnd w:id="43"/>
    <w:p>
      <w:pPr>
        <w:ind w:left="120"/>
        <w:spacing w:after="0"/>
        <w:rPr>
          <w:sz w:val="20"/>
          <w:szCs w:val="20"/>
          <w:color w:val="auto"/>
        </w:rPr>
      </w:pPr>
      <w:r>
        <w:rPr>
          <w:rFonts w:ascii="Times New Roman" w:cs="Times New Roman" w:eastAsia="Times New Roman" w:hAnsi="Times New Roman"/>
          <w:sz w:val="22"/>
          <w:szCs w:val="22"/>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1: ELECTION OF CLASS II DIRECTOR FOR A THREE-YEAR TERM EXPIRING AT THE 2028 ANNUAL MEETING OF STOCKHOLDERS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the Class II director nominee named in this Proxy Statement as a director, to serve until our 2028 Annual Meeting of Stockholders and until his respective successor is elected and qualified. Our Board has unanimously nominated Thomas E. Hamilton for election to our Board at the Annual Meeting.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Hamilton has agreed to be named and to serve, and we expect him to be able to serve if elected. If Mr. Hamilton is unable to serve, the Nominating and Corporate Governance Committee will recommend to our Board a replacement nominee. The Board may then designate the other nominee to stand for election. If you voted for the unavailable nominee, your vote will be cast for his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6172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w:t>
      </w:r>
    </w:p>
    <w:p>
      <w:pPr>
        <w:spacing w:after="0" w:line="3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ELECTION OF THOMAS E. HAMILTON.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4" w:name="page45"/>
    <w:bookmarkEnd w:id="44"/>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OUR NAMED EXECUTIVE OFFICERS IN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offering our stockholders an opportunity to cast an advisory vote to approve the compensation of our NEOs,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NEOs’ compensation. The vote is advisory, and, therefore, it is not binding on the Board, the Compensation Committee, or the Company. Nevertheless, the Compensation Committee will consider the outcome of the vote when considering future executive compensation decisions. We currently intend to conduct this advisory vote annually.</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NEOs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NEOs to ensure they achieve the desired goals of aligning our executive compensation structure with our stockholders’ interests and current market practices.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read the “2024 Summary Compensation Table” and other related compensation tables and narrative disclosures, which describe the 2024 compensation of our NEOs.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NEOs as described herein. This vote is not intended to address any specific item of compensation, but rather the overall compensation of our NEOs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6254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314" w:lineRule="exact"/>
        <w:rPr>
          <w:sz w:val="20"/>
          <w:szCs w:val="20"/>
          <w:color w:val="auto"/>
        </w:rPr>
      </w:pPr>
    </w:p>
    <w:p>
      <w:pPr>
        <w:jc w:val="center"/>
        <w:ind w:right="170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ON AN ADVISORY BASIS, THE COMPENSATION OF OUR NAMED EXECUTIVE OFFICERS IN 2024 AT THE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5" w:name="page46"/>
    <w:bookmarkEnd w:id="45"/>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APPOINTMENT OF PRICEWATERHOUSECOOPERS LLP AS OUR INDEPENDENT REGISTERED PUBLIC ACCOUNTING FIRM FOR THE 2025 FISCAL YEAR</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PwC to serve as our independent registered public accounting firm to audit the consolidated financial statements of the Company and our subsidiary for the 2025 fiscal year, and to perform audit-related services. PwC has served as our independent registered public accounting firm since 2020.</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PwC as our independent registered public accounting firm for the 2025 fiscal year.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762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spacing w:after="0" w:line="300" w:lineRule="exact"/>
        <w:rPr>
          <w:sz w:val="20"/>
          <w:szCs w:val="20"/>
          <w:color w:val="auto"/>
        </w:rPr>
      </w:pPr>
    </w:p>
    <w:p>
      <w:pPr>
        <w:jc w:val="center"/>
        <w:ind w:right="1780"/>
        <w:spacing w:after="0" w:line="262"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RATIFICATION OF PRICEWATERHOUSECOOPERS LLP AS INDEPENDENT REGISTERED PUBLIC ACCOUNTING FIRM FOR THE COMPANY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46" w:name="page47"/>
    <w:bookmarkEnd w:id="46"/>
    <w:p>
      <w:pPr>
        <w:ind w:left="120"/>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2026 Annual Meeting of Stockholders must submit a proposal that is received at our principal executive offices no later than December 12, 2025, which is the 120th day prior to the first anniversary we released this Proxy Statement to our stockholders for the 2025 Annual Meeting of Stockholders. If we change the date of the 2026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or nominate a director for election at our 2026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120th day, and no later than the close of business on the 90th day, prior to the first anniversary of the preceding year’s Annual Meeting. Accordingly, for our 2026 Annual Meeting of Stockholders, our Secretary must receive the proposal or nomination no earlier than January 13, 2026 and no later than the close of business on February 12, 2026. However, if we change the date of the 2026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306"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7" w:name="page48"/>
    <w:bookmarkEnd w:id="47"/>
    <w:p>
      <w:pPr>
        <w:ind w:left="120"/>
        <w:spacing w:after="0"/>
        <w:rPr>
          <w:sz w:val="20"/>
          <w:szCs w:val="20"/>
          <w:color w:val="auto"/>
        </w:rPr>
      </w:pPr>
      <w:r>
        <w:rPr>
          <w:rFonts w:ascii="Times New Roman" w:cs="Times New Roman" w:eastAsia="Times New Roman" w:hAnsi="Times New Roman"/>
          <w:sz w:val="21"/>
          <w:szCs w:val="21"/>
          <w:b w:val="1"/>
          <w:bCs w:val="1"/>
          <w:color w:val="auto"/>
        </w:rPr>
        <w:t xml:space="preserve">OTHER INFORMATION </w:t>
      </w:r>
      <w:r>
        <w:rPr>
          <w:rFonts w:ascii="Times New Roman" w:cs="Times New Roman" w:eastAsia="Times New Roman" w:hAnsi="Times New Roman"/>
          <w:sz w:val="21"/>
          <w:szCs w:val="2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who share a single address may receive only one copy of this Proxy Statement and the 2024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2024 Annual Report, including the consolidated financial statements, has been filed with the SEC and provides additional information about us, which is incorporated by reference herein. It is available on the Internet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cs="Times New Roman" w:eastAsia="Times New Roman" w:hAnsi="Times New Roman"/>
          <w:sz w:val="18"/>
          <w:szCs w:val="18"/>
          <w:u w:val="single" w:color="auto"/>
          <w:color w:val="2B7CF4"/>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B7CF4"/>
        </w:rPr>
        <w:t>http://www.envisionreports.com/LRMR</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21" w:lineRule="exact"/>
        <w:rPr>
          <w:sz w:val="20"/>
          <w:szCs w:val="20"/>
          <w:color w:val="auto"/>
        </w:rPr>
      </w:pPr>
    </w:p>
    <w:p>
      <w:pPr>
        <w:ind w:left="5600"/>
        <w:spacing w:after="0"/>
        <w:tabs>
          <w:tab w:leader="none" w:pos="110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2025 Proxy Statement</w:t>
      </w:r>
      <w:r>
        <w:rPr>
          <w:rFonts w:ascii="Times New Roman" w:cs="Times New Roman" w:eastAsia="Times New Roman" w:hAnsi="Times New Roman"/>
          <w:sz w:val="18"/>
          <w:szCs w:val="18"/>
          <w:b w:val="1"/>
          <w:bCs w:val="1"/>
          <w:color w:val="auto"/>
        </w:rPr>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-116840</wp:posOffset>
            </wp:positionV>
            <wp:extent cx="825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663575</wp:posOffset>
            </wp:positionV>
            <wp:extent cx="7157720" cy="8516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8516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525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852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o"/>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3"/>
    </w:lvl>
  </w:abstractNum>
  <w:abstractNum w:abstractNumId="25">
    <w:nsid w:val="2901D82"/>
    <w:multiLevelType w:val="hybridMultilevel"/>
    <w:lvl w:ilvl="0">
      <w:lvlJc w:val="left"/>
      <w:lvlText w:val="(%1)"/>
      <w:numFmt w:val="decimal"/>
      <w:start w:val="4"/>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5"/>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
    </w:lvl>
  </w:abstractNum>
  <w:abstractNum w:abstractNumId="31">
    <w:nsid w:val="6CEAF08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2025-04-11T06:46:53Z</dcterms:created>
  <dcterms:modified xsi:type="dcterms:W3CDTF">2025-04-11T06:46:53Z</dcterms:modified>
</cp:coreProperties>
</file>