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389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February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389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ZAFGEN,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389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1"/>
          </w:cols>
          <w:pgMar w:left="299" w:top="160" w:right="300"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1"/>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20-3857670</w:t>
      </w:r>
    </w:p>
    <w:p>
      <w:pPr>
        <w:spacing w:after="0" w:line="30" w:lineRule="exact"/>
        <w:rPr>
          <w:sz w:val="24"/>
          <w:szCs w:val="24"/>
          <w:color w:val="auto"/>
        </w:rPr>
      </w:pPr>
    </w:p>
    <w:p>
      <w:pPr>
        <w:sectPr>
          <w:pgSz w:w="12240" w:h="15840" w:orient="portrait"/>
          <w:cols w:equalWidth="0" w:num="3">
            <w:col w:w="4801" w:space="720"/>
            <w:col w:w="3080" w:space="720"/>
            <w:col w:w="2320"/>
          </w:cols>
          <w:pgMar w:left="299" w:top="160" w:right="300" w:bottom="1440" w:gutter="0" w:footer="0" w:header="0"/>
          <w:type w:val="continuous"/>
        </w:sectPr>
      </w:pP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3"/>
          <w:szCs w:val="13"/>
          <w:b w:val="1"/>
          <w:bCs w:val="1"/>
          <w:color w:val="auto"/>
        </w:rPr>
        <w:t>(State or other jurisdiction</w:t>
      </w:r>
    </w:p>
    <w:p>
      <w:pPr>
        <w:spacing w:after="0" w:line="1"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(Commission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b w:val="1"/>
          <w:bCs w:val="1"/>
          <w:color w:val="auto"/>
        </w:rPr>
        <w:t>(I.R.S. Employer</w:t>
      </w:r>
    </w:p>
    <w:p>
      <w:pPr>
        <w:spacing w:after="0"/>
        <w:rPr>
          <w:sz w:val="20"/>
          <w:szCs w:val="20"/>
          <w:color w:val="auto"/>
        </w:rPr>
      </w:pPr>
      <w:r>
        <w:rPr>
          <w:rFonts w:ascii="Arial" w:cs="Arial" w:eastAsia="Arial" w:hAnsi="Arial"/>
          <w:sz w:val="14"/>
          <w:szCs w:val="14"/>
          <w:b w:val="1"/>
          <w:bCs w:val="1"/>
          <w:color w:val="auto"/>
        </w:rPr>
        <w:t>Identification No.)</w:t>
      </w:r>
    </w:p>
    <w:p>
      <w:pPr>
        <w:spacing w:after="0" w:line="211" w:lineRule="exact"/>
        <w:rPr>
          <w:sz w:val="24"/>
          <w:szCs w:val="24"/>
          <w:color w:val="auto"/>
        </w:rPr>
      </w:pPr>
    </w:p>
    <w:p>
      <w:pPr>
        <w:sectPr>
          <w:pgSz w:w="12240" w:h="15840" w:orient="portrait"/>
          <w:cols w:equalWidth="0" w:num="3">
            <w:col w:w="4781" w:space="720"/>
            <w:col w:w="2960" w:space="720"/>
            <w:col w:w="2460"/>
          </w:cols>
          <w:pgMar w:left="299" w:top="160" w:right="300" w:bottom="1440" w:gutter="0" w:footer="0" w:header="0"/>
          <w:type w:val="continuous"/>
        </w:sectPr>
      </w:pPr>
    </w:p>
    <w:p>
      <w:pPr>
        <w:spacing w:after="0" w:line="42" w:lineRule="exact"/>
        <w:rPr>
          <w:sz w:val="24"/>
          <w:szCs w:val="24"/>
          <w:color w:val="auto"/>
        </w:rPr>
      </w:pPr>
    </w:p>
    <w:p>
      <w:pPr>
        <w:ind w:left="1741"/>
        <w:spacing w:after="0"/>
        <w:rPr>
          <w:sz w:val="20"/>
          <w:szCs w:val="20"/>
          <w:color w:val="auto"/>
        </w:rPr>
      </w:pPr>
      <w:r>
        <w:rPr>
          <w:rFonts w:ascii="Arial" w:cs="Arial" w:eastAsia="Arial" w:hAnsi="Arial"/>
          <w:sz w:val="17"/>
          <w:szCs w:val="17"/>
          <w:b w:val="1"/>
          <w:bCs w:val="1"/>
          <w:color w:val="auto"/>
        </w:rPr>
        <w:t>175 Portland Street, 4</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Floor</w:t>
      </w:r>
    </w:p>
    <w:p>
      <w:pPr>
        <w:spacing w:after="0" w:line="52" w:lineRule="exact"/>
        <w:rPr>
          <w:sz w:val="24"/>
          <w:szCs w:val="24"/>
          <w:color w:val="auto"/>
        </w:rPr>
      </w:pPr>
    </w:p>
    <w:p>
      <w:pPr>
        <w:ind w:left="2021"/>
        <w:spacing w:after="0"/>
        <w:rPr>
          <w:sz w:val="20"/>
          <w:szCs w:val="20"/>
          <w:color w:val="auto"/>
        </w:rPr>
      </w:pPr>
      <w:r>
        <w:rPr>
          <w:rFonts w:ascii="Arial" w:cs="Arial" w:eastAsia="Arial" w:hAnsi="Arial"/>
          <w:sz w:val="18"/>
          <w:szCs w:val="18"/>
          <w:b w:val="1"/>
          <w:bCs w:val="1"/>
          <w:color w:val="auto"/>
        </w:rPr>
        <w:t>Boston, Massachusetts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02114</w:t>
      </w:r>
    </w:p>
    <w:p>
      <w:pPr>
        <w:spacing w:after="0" w:line="291" w:lineRule="exact"/>
        <w:rPr>
          <w:sz w:val="24"/>
          <w:szCs w:val="24"/>
          <w:color w:val="auto"/>
        </w:rPr>
      </w:pPr>
    </w:p>
    <w:p>
      <w:pPr>
        <w:sectPr>
          <w:pgSz w:w="12240" w:h="15840" w:orient="portrait"/>
          <w:cols w:equalWidth="0" w:num="2">
            <w:col w:w="7861" w:space="720"/>
            <w:col w:w="3060"/>
          </w:cols>
          <w:pgMar w:left="299" w:top="160" w:right="300" w:bottom="1440" w:gutter="0" w:footer="0" w:header="0"/>
          <w:type w:val="continuous"/>
        </w:sectPr>
      </w:pPr>
    </w:p>
    <w:p>
      <w:pPr>
        <w:ind w:left="1681"/>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2240" w:h="15840" w:orient="portrait"/>
          <w:cols w:equalWidth="0" w:num="2">
            <w:col w:w="7741" w:space="720"/>
            <w:col w:w="3180"/>
          </w:cols>
          <w:pgMar w:left="299" w:top="160" w:right="300"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Registrant’s telephone number, including area code (617) 622-4003</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389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28" w:lineRule="exact"/>
        <w:rPr>
          <w:sz w:val="24"/>
          <w:szCs w:val="24"/>
          <w:color w:val="auto"/>
        </w:rPr>
      </w:pPr>
    </w:p>
    <w:p>
      <w:pPr>
        <w:ind w:left="1" w:right="50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38" w:lineRule="exact"/>
        <w:rPr>
          <w:sz w:val="24"/>
          <w:szCs w:val="24"/>
          <w:color w:val="auto"/>
        </w:rPr>
      </w:pPr>
    </w:p>
    <w:p>
      <w:pPr>
        <w:ind w:left="1" w:right="32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ind w:left="9201"/>
        <w:spacing w:after="0" w:line="219" w:lineRule="exact"/>
        <w:tabs>
          <w:tab w:leader="none" w:pos="11440" w:val="left"/>
        </w:tabs>
        <w:rPr>
          <w:sz w:val="20"/>
          <w:szCs w:val="20"/>
          <w:color w:val="auto"/>
        </w:rPr>
      </w:pPr>
      <w:r>
        <w:rPr>
          <w:rFonts w:ascii="Arial" w:cs="Arial" w:eastAsia="Arial" w:hAnsi="Arial"/>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73" w:lineRule="exact"/>
        <w:rPr>
          <w:sz w:val="24"/>
          <w:szCs w:val="24"/>
          <w:color w:val="auto"/>
        </w:rPr>
      </w:pPr>
    </w:p>
    <w:p>
      <w:pPr>
        <w:ind w:left="1" w:right="32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2240" w:h="15840" w:orient="portrait"/>
          <w:cols w:equalWidth="0" w:num="1">
            <w:col w:w="11641"/>
          </w:cols>
          <w:pgMar w:left="299" w:top="160" w:right="300"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135890</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On February 12, 2019, Zafgen, Inc. (the “Company”) entered into an Office Lease Agreement (the “Lease”) with Shigo Center Plaza Owner, LLC, a Delaware limited liability company, as Landlord, for approximately 17,705 square feet of office space at 1-3 Center Plaza, Boston, Massachusetts for its headquarters.</w:t>
      </w:r>
    </w:p>
    <w:p>
      <w:pPr>
        <w:spacing w:after="0" w:line="194"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Lease will commence upon the delivery of the premises to the Company (the “Commencement Date”) and shall continue for a period of one hundred and twenty four (124) months. Under the Lease, the Company will pay a monthly rent starting four (4) months after the Commencement Date as set forth below.</w:t>
      </w:r>
    </w:p>
    <w:p>
      <w:pPr>
        <w:spacing w:after="0" w:line="198"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40" w:type="dxa"/>
            <w:vAlign w:val="bottom"/>
          </w:tcPr>
          <w:p>
            <w:pPr>
              <w:jc w:val="center"/>
              <w:spacing w:after="0"/>
              <w:rPr>
                <w:sz w:val="20"/>
                <w:szCs w:val="20"/>
                <w:color w:val="auto"/>
              </w:rPr>
            </w:pPr>
            <w:r>
              <w:rPr>
                <w:rFonts w:ascii="Arial" w:cs="Arial" w:eastAsia="Arial" w:hAnsi="Arial"/>
                <w:sz w:val="15"/>
                <w:szCs w:val="15"/>
                <w:b w:val="1"/>
                <w:bCs w:val="1"/>
                <w:color w:val="auto"/>
                <w:w w:val="97"/>
              </w:rPr>
              <w:t>Monthly</w:t>
            </w:r>
          </w:p>
        </w:tc>
      </w:tr>
      <w:tr>
        <w:trPr>
          <w:trHeight w:val="194"/>
        </w:trPr>
        <w:tc>
          <w:tcPr>
            <w:tcW w:w="4480" w:type="dxa"/>
            <w:vAlign w:val="bottom"/>
            <w:gridSpan w:val="2"/>
          </w:tcPr>
          <w:p>
            <w:pPr>
              <w:ind w:left="1840"/>
              <w:spacing w:after="0"/>
              <w:rPr>
                <w:sz w:val="20"/>
                <w:szCs w:val="20"/>
                <w:color w:val="auto"/>
              </w:rPr>
            </w:pPr>
            <w:r>
              <w:rPr>
                <w:rFonts w:ascii="Arial" w:cs="Arial" w:eastAsia="Arial" w:hAnsi="Arial"/>
                <w:sz w:val="15"/>
                <w:szCs w:val="15"/>
                <w:b w:val="1"/>
                <w:bCs w:val="1"/>
                <w:color w:val="auto"/>
              </w:rPr>
              <w:t>Lease Year</w:t>
            </w:r>
          </w:p>
        </w:tc>
        <w:tc>
          <w:tcPr>
            <w:tcW w:w="4240" w:type="dxa"/>
            <w:vAlign w:val="bottom"/>
          </w:tcPr>
          <w:p>
            <w:pPr>
              <w:jc w:val="center"/>
              <w:spacing w:after="0"/>
              <w:rPr>
                <w:sz w:val="20"/>
                <w:szCs w:val="20"/>
                <w:color w:val="auto"/>
              </w:rPr>
            </w:pPr>
            <w:r>
              <w:rPr>
                <w:rFonts w:ascii="Arial" w:cs="Arial" w:eastAsia="Arial" w:hAnsi="Arial"/>
                <w:sz w:val="15"/>
                <w:szCs w:val="15"/>
                <w:b w:val="1"/>
                <w:bCs w:val="1"/>
                <w:color w:val="auto"/>
                <w:w w:val="89"/>
              </w:rPr>
              <w:t>Base Rent</w:t>
            </w:r>
          </w:p>
        </w:tc>
      </w:tr>
      <w:tr>
        <w:trPr>
          <w:trHeight w:val="208"/>
        </w:trPr>
        <w:tc>
          <w:tcPr>
            <w:tcW w:w="4400" w:type="dxa"/>
            <w:vAlign w:val="bottom"/>
            <w:tcBorders>
              <w:top w:val="single" w:sz="8" w:color="auto"/>
            </w:tcBorders>
          </w:tcPr>
          <w:p>
            <w:pPr>
              <w:jc w:val="center"/>
              <w:spacing w:after="0" w:line="208" w:lineRule="exact"/>
              <w:rPr>
                <w:sz w:val="20"/>
                <w:szCs w:val="20"/>
                <w:color w:val="auto"/>
              </w:rPr>
            </w:pPr>
            <w:r>
              <w:rPr>
                <w:rFonts w:ascii="Arial" w:cs="Arial" w:eastAsia="Arial" w:hAnsi="Arial"/>
                <w:sz w:val="19"/>
                <w:szCs w:val="19"/>
                <w:color w:val="auto"/>
                <w:w w:val="75"/>
              </w:rPr>
              <w:t>1</w:t>
            </w:r>
          </w:p>
        </w:tc>
        <w:tc>
          <w:tcPr>
            <w:tcW w:w="80" w:type="dxa"/>
            <w:vAlign w:val="bottom"/>
          </w:tcPr>
          <w:p>
            <w:pPr>
              <w:spacing w:after="0"/>
              <w:rPr>
                <w:sz w:val="18"/>
                <w:szCs w:val="18"/>
                <w:color w:val="auto"/>
              </w:rPr>
            </w:pPr>
          </w:p>
        </w:tc>
        <w:tc>
          <w:tcPr>
            <w:tcW w:w="4240" w:type="dxa"/>
            <w:vAlign w:val="bottom"/>
            <w:tcBorders>
              <w:top w:val="single" w:sz="8" w:color="auto"/>
            </w:tcBorders>
          </w:tcPr>
          <w:p>
            <w:pPr>
              <w:jc w:val="center"/>
              <w:spacing w:after="0" w:line="208" w:lineRule="exact"/>
              <w:rPr>
                <w:sz w:val="20"/>
                <w:szCs w:val="20"/>
                <w:color w:val="auto"/>
              </w:rPr>
            </w:pPr>
            <w:r>
              <w:rPr>
                <w:rFonts w:ascii="Arial" w:cs="Arial" w:eastAsia="Arial" w:hAnsi="Arial"/>
                <w:sz w:val="19"/>
                <w:szCs w:val="19"/>
                <w:color w:val="auto"/>
                <w:w w:val="89"/>
              </w:rPr>
              <w:t>$ 82,623.33</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2</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$ 84,098.75</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3</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$ 85,574.17</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4</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$ 87,049.58</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5</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$ 88,525.00</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6</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$ 90,000.42</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7</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$ 91,475.83</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8</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$ 92,951.25</w:t>
            </w:r>
          </w:p>
        </w:tc>
      </w:tr>
      <w:tr>
        <w:trPr>
          <w:trHeight w:val="228"/>
        </w:trPr>
        <w:tc>
          <w:tcPr>
            <w:tcW w:w="4400" w:type="dxa"/>
            <w:vAlign w:val="bottom"/>
          </w:tcPr>
          <w:p>
            <w:pPr>
              <w:jc w:val="center"/>
              <w:spacing w:after="0"/>
              <w:rPr>
                <w:sz w:val="20"/>
                <w:szCs w:val="20"/>
                <w:color w:val="auto"/>
              </w:rPr>
            </w:pPr>
            <w:r>
              <w:rPr>
                <w:rFonts w:ascii="Arial" w:cs="Arial" w:eastAsia="Arial" w:hAnsi="Arial"/>
                <w:sz w:val="19"/>
                <w:szCs w:val="19"/>
                <w:color w:val="auto"/>
                <w:w w:val="75"/>
              </w:rPr>
              <w:t>9</w:t>
            </w:r>
          </w:p>
        </w:tc>
        <w:tc>
          <w:tcPr>
            <w:tcW w:w="8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$ 94,426.67</w:t>
            </w:r>
          </w:p>
        </w:tc>
      </w:tr>
      <w:tr>
        <w:trPr>
          <w:trHeight w:val="241"/>
        </w:trPr>
        <w:tc>
          <w:tcPr>
            <w:tcW w:w="4400" w:type="dxa"/>
            <w:vAlign w:val="bottom"/>
          </w:tcPr>
          <w:p>
            <w:pPr>
              <w:jc w:val="center"/>
              <w:spacing w:after="0"/>
              <w:rPr>
                <w:sz w:val="20"/>
                <w:szCs w:val="20"/>
                <w:color w:val="auto"/>
              </w:rPr>
            </w:pPr>
            <w:r>
              <w:rPr>
                <w:rFonts w:ascii="Arial" w:cs="Arial" w:eastAsia="Arial" w:hAnsi="Arial"/>
                <w:sz w:val="19"/>
                <w:szCs w:val="19"/>
                <w:color w:val="auto"/>
                <w:w w:val="94"/>
              </w:rPr>
              <w:t>10</w:t>
            </w:r>
          </w:p>
        </w:tc>
        <w:tc>
          <w:tcPr>
            <w:tcW w:w="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9"/>
                <w:szCs w:val="19"/>
                <w:color w:val="auto"/>
                <w:w w:val="89"/>
              </w:rPr>
              <w:t>$ 95,902.08</w:t>
            </w:r>
          </w:p>
        </w:tc>
      </w:tr>
    </w:tbl>
    <w:p>
      <w:pPr>
        <w:spacing w:after="0" w:line="215"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During the term of the Lease, the Company will also pay its share of operating expenses, taxes and any other expenses payable under the Lease. The Lease provides the Company an option to extend the term for a period of sixty (60) months. The Lease also includes customary representations, warranties, and covenants on behalf of the parties and provides for certain customary mutual indemnities.</w:t>
      </w:r>
    </w:p>
    <w:p>
      <w:pPr>
        <w:spacing w:after="0" w:line="178"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The foregoing description of the Lease does not purport to be complete and is qualified in its entirety by reference to the Lease, a complete copy of which the Company intends to file with the Securities and Exchange Commission as an exhibit to its Annual Report on Form 10-K for the year ended December 31, 2018.</w:t>
      </w:r>
    </w:p>
    <w:p>
      <w:pPr>
        <w:spacing w:after="0" w:line="345"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information set forth under Item 1.01 of this Current Report on Form 8-K is incorporated herein by reference.</w:t>
      </w:r>
    </w:p>
    <w:p>
      <w:pPr>
        <w:sectPr>
          <w:pgSz w:w="12240" w:h="15840" w:orient="portrait"/>
          <w:cols w:equalWidth="0" w:num="1">
            <w:col w:w="11580"/>
          </w:cols>
          <w:pgMar w:left="300" w:top="250" w:right="360" w:bottom="1440" w:gutter="0" w:footer="0" w:header="0"/>
        </w:sectPr>
      </w:pPr>
    </w:p>
    <w:bookmarkStart w:id="2" w:name="page3"/>
    <w:bookmarkEnd w:id="2"/>
    <w:p>
      <w:pPr>
        <w:ind w:left="52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SIGNATURES</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6" w:lineRule="exact"/>
        <w:rPr>
          <w:sz w:val="20"/>
          <w:szCs w:val="20"/>
          <w:color w:val="auto"/>
        </w:rPr>
      </w:pPr>
    </w:p>
    <w:p>
      <w:pPr>
        <w:spacing w:after="0"/>
        <w:tabs>
          <w:tab w:leader="none" w:pos="5980" w:val="left"/>
        </w:tabs>
        <w:rPr>
          <w:sz w:val="20"/>
          <w:szCs w:val="20"/>
          <w:color w:val="auto"/>
        </w:rPr>
      </w:pPr>
      <w:r>
        <w:rPr>
          <w:rFonts w:ascii="Arial" w:cs="Arial" w:eastAsia="Arial" w:hAnsi="Arial"/>
          <w:sz w:val="19"/>
          <w:szCs w:val="19"/>
          <w:color w:val="auto"/>
        </w:rPr>
        <w:t>Date: February 15, 2019</w:t>
      </w:r>
      <w:r>
        <w:rPr>
          <w:sz w:val="20"/>
          <w:szCs w:val="20"/>
          <w:color w:val="auto"/>
        </w:rPr>
        <w:tab/>
      </w:r>
      <w:r>
        <w:rPr>
          <w:rFonts w:ascii="Arial" w:cs="Arial" w:eastAsia="Arial" w:hAnsi="Arial"/>
          <w:sz w:val="19"/>
          <w:szCs w:val="19"/>
          <w:b w:val="1"/>
          <w:bCs w:val="1"/>
          <w:color w:val="auto"/>
        </w:rPr>
        <w:t>ZAFGEN, INC.</w:t>
      </w:r>
    </w:p>
    <w:p>
      <w:pPr>
        <w:spacing w:after="0" w:line="244"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By:  /s/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15240</wp:posOffset>
            </wp:positionV>
            <wp:extent cx="3395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Jeffrey Hatfield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Chief Executive Officer</w:t>
      </w:r>
    </w:p>
    <w:sectPr>
      <w:pgSz w:w="12240" w:h="15840" w:orient="portrait"/>
      <w:cols w:equalWidth="0" w:num="1">
        <w:col w:w="10860"/>
      </w:cols>
      <w:pgMar w:left="300" w:top="136" w:right="10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2019-12-15T14:37:55Z</dcterms:created>
  <dcterms:modified xsi:type="dcterms:W3CDTF">2019-12-15T14:37:55Z</dcterms:modified>
</cp:coreProperties>
</file>