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880" w:right="1580" w:hanging="3862"/>
        <w:spacing w:after="0" w:line="305" w:lineRule="auto"/>
        <w:tabs>
          <w:tab w:leader="none" w:pos="51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360" w:right="1560" w:hanging="4342"/>
        <w:spacing w:after="0" w:line="344" w:lineRule="auto"/>
        <w:tabs>
          <w:tab w:leader="none" w:pos="51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001-36510</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LARIMAR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080" w:type="dxa"/>
            <w:vAlign w:val="bottom"/>
          </w:tcPr>
          <w:p>
            <w:pPr>
              <w:jc w:val="center"/>
              <w:ind w:left="1482"/>
              <w:spacing w:after="0"/>
              <w:rPr>
                <w:sz w:val="20"/>
                <w:szCs w:val="20"/>
                <w:color w:val="auto"/>
              </w:rPr>
            </w:pPr>
            <w:r>
              <w:rPr>
                <w:rFonts w:ascii="Arial" w:cs="Arial" w:eastAsia="Arial" w:hAnsi="Arial"/>
                <w:sz w:val="18"/>
                <w:szCs w:val="18"/>
                <w:b w:val="1"/>
                <w:bCs w:val="1"/>
                <w:color w:val="auto"/>
                <w:w w:val="91"/>
              </w:rPr>
              <w:t>Delaware</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3"/>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80" w:type="dxa"/>
            <w:vAlign w:val="bottom"/>
          </w:tcPr>
          <w:p>
            <w:pPr>
              <w:jc w:val="center"/>
              <w:ind w:left="14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83"/>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80" w:type="dxa"/>
            <w:vAlign w:val="bottom"/>
          </w:tcPr>
          <w:p>
            <w:pPr>
              <w:jc w:val="center"/>
              <w:ind w:left="1482"/>
              <w:spacing w:after="0"/>
              <w:rPr>
                <w:sz w:val="20"/>
                <w:szCs w:val="20"/>
                <w:color w:val="auto"/>
              </w:rPr>
            </w:pPr>
            <w:r>
              <w:rPr>
                <w:rFonts w:ascii="Arial" w:cs="Arial" w:eastAsia="Arial" w:hAnsi="Arial"/>
                <w:sz w:val="14"/>
                <w:szCs w:val="14"/>
                <w:b w:val="1"/>
                <w:bCs w:val="1"/>
                <w:color w:val="auto"/>
                <w:w w:val="94"/>
              </w:rPr>
              <w:t>incorporation or organization)</w:t>
            </w: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3"/>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4080" w:type="dxa"/>
            <w:vAlign w:val="bottom"/>
          </w:tcPr>
          <w:p>
            <w:pPr>
              <w:jc w:val="center"/>
              <w:ind w:left="1462"/>
              <w:spacing w:after="0"/>
              <w:rPr>
                <w:sz w:val="20"/>
                <w:szCs w:val="20"/>
                <w:color w:val="auto"/>
              </w:rPr>
            </w:pPr>
            <w:r>
              <w:rPr>
                <w:rFonts w:ascii="Arial" w:cs="Arial" w:eastAsia="Arial" w:hAnsi="Arial"/>
                <w:sz w:val="18"/>
                <w:szCs w:val="18"/>
                <w:b w:val="1"/>
                <w:bCs w:val="1"/>
                <w:color w:val="auto"/>
                <w:w w:val="90"/>
              </w:rPr>
              <w:t>Three Bala Plaza East, Suite 506</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3"/>
              <w:spacing w:after="0"/>
              <w:rPr>
                <w:sz w:val="20"/>
                <w:szCs w:val="20"/>
                <w:color w:val="auto"/>
              </w:rPr>
            </w:pPr>
            <w:r>
              <w:rPr>
                <w:rFonts w:ascii="Arial" w:cs="Arial" w:eastAsia="Arial" w:hAnsi="Arial"/>
                <w:sz w:val="18"/>
                <w:szCs w:val="18"/>
                <w:b w:val="1"/>
                <w:bCs w:val="1"/>
                <w:color w:val="auto"/>
              </w:rPr>
              <w:t>19004</w:t>
            </w:r>
          </w:p>
        </w:tc>
      </w:tr>
      <w:tr>
        <w:trPr>
          <w:trHeight w:val="216"/>
        </w:trPr>
        <w:tc>
          <w:tcPr>
            <w:tcW w:w="4080" w:type="dxa"/>
            <w:vAlign w:val="bottom"/>
          </w:tcPr>
          <w:p>
            <w:pPr>
              <w:jc w:val="center"/>
              <w:ind w:left="1482"/>
              <w:spacing w:after="0"/>
              <w:rPr>
                <w:sz w:val="20"/>
                <w:szCs w:val="20"/>
                <w:color w:val="auto"/>
              </w:rPr>
            </w:pPr>
            <w:r>
              <w:rPr>
                <w:rFonts w:ascii="Arial" w:cs="Arial" w:eastAsia="Arial" w:hAnsi="Arial"/>
                <w:sz w:val="18"/>
                <w:szCs w:val="18"/>
                <w:b w:val="1"/>
                <w:bCs w:val="1"/>
                <w:color w:val="auto"/>
                <w:w w:val="92"/>
              </w:rPr>
              <w:t>Bala Cynwyd, PA</w:t>
            </w: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3"/>
              <w:spacing w:after="0"/>
              <w:rPr>
                <w:sz w:val="20"/>
                <w:szCs w:val="20"/>
                <w:color w:val="auto"/>
              </w:rPr>
            </w:pPr>
            <w:r>
              <w:rPr>
                <w:rFonts w:ascii="Arial" w:cs="Arial" w:eastAsia="Arial" w:hAnsi="Arial"/>
                <w:sz w:val="14"/>
                <w:szCs w:val="14"/>
                <w:b w:val="1"/>
                <w:bCs w:val="1"/>
                <w:color w:val="auto"/>
                <w:w w:val="88"/>
              </w:rPr>
              <w:t>(zip code)</w:t>
            </w:r>
          </w:p>
        </w:tc>
      </w:tr>
      <w:tr>
        <w:trPr>
          <w:trHeight w:val="186"/>
        </w:trPr>
        <w:tc>
          <w:tcPr>
            <w:tcW w:w="4080" w:type="dxa"/>
            <w:vAlign w:val="bottom"/>
          </w:tcPr>
          <w:p>
            <w:pPr>
              <w:jc w:val="center"/>
              <w:ind w:left="14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300"/>
        </w:trPr>
        <w:tc>
          <w:tcPr>
            <w:tcW w:w="4080" w:type="dxa"/>
            <w:vAlign w:val="bottom"/>
          </w:tcPr>
          <w:p>
            <w:pPr>
              <w:spacing w:after="0"/>
              <w:rPr>
                <w:sz w:val="24"/>
                <w:szCs w:val="24"/>
                <w:color w:val="auto"/>
              </w:rPr>
            </w:pPr>
          </w:p>
        </w:tc>
        <w:tc>
          <w:tcPr>
            <w:tcW w:w="2680" w:type="dxa"/>
            <w:vAlign w:val="bottom"/>
            <w:gridSpan w:val="2"/>
          </w:tcPr>
          <w:p>
            <w:pPr>
              <w:jc w:val="center"/>
              <w:ind w:left="324"/>
              <w:spacing w:after="0"/>
              <w:rPr>
                <w:sz w:val="20"/>
                <w:szCs w:val="20"/>
                <w:color w:val="auto"/>
              </w:rPr>
            </w:pPr>
            <w:r>
              <w:rPr>
                <w:rFonts w:ascii="Arial" w:cs="Arial" w:eastAsia="Arial" w:hAnsi="Arial"/>
                <w:sz w:val="18"/>
                <w:szCs w:val="18"/>
                <w:b w:val="1"/>
                <w:bCs w:val="1"/>
                <w:color w:val="auto"/>
                <w:w w:val="90"/>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6"/>
        </w:trPr>
        <w:tc>
          <w:tcPr>
            <w:tcW w:w="7480" w:type="dxa"/>
            <w:vAlign w:val="bottom"/>
            <w:gridSpan w:val="4"/>
          </w:tcPr>
          <w:p>
            <w:pPr>
              <w:jc w:val="center"/>
              <w:ind w:left="368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253"/>
        </w:trPr>
        <w:tc>
          <w:tcPr>
            <w:tcW w:w="4080" w:type="dxa"/>
            <w:vAlign w:val="bottom"/>
          </w:tcPr>
          <w:p>
            <w:pPr>
              <w:spacing w:after="0"/>
              <w:rPr>
                <w:sz w:val="21"/>
                <w:szCs w:val="21"/>
                <w:color w:val="auto"/>
              </w:rPr>
            </w:pPr>
          </w:p>
        </w:tc>
        <w:tc>
          <w:tcPr>
            <w:tcW w:w="34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760" w:type="dxa"/>
            <w:vAlign w:val="bottom"/>
          </w:tcPr>
          <w:p>
            <w:pPr>
              <w:spacing w:after="0"/>
              <w:rPr>
                <w:sz w:val="21"/>
                <w:szCs w:val="21"/>
                <w:color w:val="auto"/>
              </w:rPr>
            </w:pPr>
          </w:p>
        </w:tc>
      </w:tr>
      <w:tr>
        <w:trPr>
          <w:trHeight w:val="110"/>
        </w:trPr>
        <w:tc>
          <w:tcPr>
            <w:tcW w:w="40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142"/>
        </w:trPr>
        <w:tc>
          <w:tcPr>
            <w:tcW w:w="4080" w:type="dxa"/>
            <w:vAlign w:val="bottom"/>
            <w:tcBorders>
              <w:left w:val="single" w:sz="8" w:color="auto"/>
              <w:bottom w:val="single" w:sz="8" w:color="auto"/>
            </w:tcBorders>
          </w:tcPr>
          <w:p>
            <w:pPr>
              <w:jc w:val="center"/>
              <w:ind w:left="362"/>
              <w:spacing w:after="0" w:line="142" w:lineRule="exact"/>
              <w:rPr>
                <w:sz w:val="20"/>
                <w:szCs w:val="20"/>
                <w:color w:val="auto"/>
              </w:rPr>
            </w:pPr>
            <w:r>
              <w:rPr>
                <w:rFonts w:ascii="Arial" w:cs="Arial" w:eastAsia="Arial" w:hAnsi="Arial"/>
                <w:sz w:val="14"/>
                <w:szCs w:val="14"/>
                <w:color w:val="auto"/>
                <w:w w:val="92"/>
              </w:rPr>
              <w:t>Title of each class</w:t>
            </w:r>
          </w:p>
        </w:tc>
        <w:tc>
          <w:tcPr>
            <w:tcW w:w="42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Trading Symbol(s)</w:t>
            </w: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663"/>
              <w:spacing w:after="0" w:line="142" w:lineRule="exact"/>
              <w:rPr>
                <w:sz w:val="20"/>
                <w:szCs w:val="20"/>
                <w:color w:val="auto"/>
              </w:rPr>
            </w:pPr>
            <w:r>
              <w:rPr>
                <w:rFonts w:ascii="Arial" w:cs="Arial" w:eastAsia="Arial" w:hAnsi="Arial"/>
                <w:sz w:val="14"/>
                <w:szCs w:val="14"/>
                <w:color w:val="auto"/>
                <w:w w:val="91"/>
              </w:rPr>
              <w:t>Name of each exchange on which registered</w:t>
            </w:r>
          </w:p>
        </w:tc>
      </w:tr>
      <w:tr>
        <w:trPr>
          <w:trHeight w:val="142"/>
        </w:trPr>
        <w:tc>
          <w:tcPr>
            <w:tcW w:w="4080" w:type="dxa"/>
            <w:vAlign w:val="bottom"/>
            <w:tcBorders>
              <w:left w:val="single" w:sz="8" w:color="auto"/>
              <w:bottom w:val="single" w:sz="8" w:color="auto"/>
            </w:tcBorders>
          </w:tcPr>
          <w:p>
            <w:pPr>
              <w:jc w:val="center"/>
              <w:ind w:left="342"/>
              <w:spacing w:after="0" w:line="142" w:lineRule="exact"/>
              <w:rPr>
                <w:sz w:val="20"/>
                <w:szCs w:val="20"/>
                <w:color w:val="auto"/>
              </w:rPr>
            </w:pPr>
            <w:r>
              <w:rPr>
                <w:rFonts w:ascii="Arial" w:cs="Arial" w:eastAsia="Arial" w:hAnsi="Arial"/>
                <w:sz w:val="14"/>
                <w:szCs w:val="14"/>
                <w:color w:val="auto"/>
                <w:w w:val="92"/>
              </w:rPr>
              <w:t>Common Stock, par value $0.001 per share</w:t>
            </w:r>
          </w:p>
        </w:tc>
        <w:tc>
          <w:tcPr>
            <w:tcW w:w="42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LRMR</w:t>
            </w: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663"/>
              <w:spacing w:after="0" w:line="142" w:lineRule="exact"/>
              <w:rPr>
                <w:sz w:val="20"/>
                <w:szCs w:val="20"/>
                <w:color w:val="auto"/>
              </w:rPr>
            </w:pPr>
            <w:r>
              <w:rPr>
                <w:rFonts w:ascii="Arial" w:cs="Arial" w:eastAsia="Arial" w:hAnsi="Arial"/>
                <w:sz w:val="14"/>
                <w:szCs w:val="14"/>
                <w:color w:val="auto"/>
                <w:w w:val="94"/>
              </w:rPr>
              <w:t>The Nasdaq Global Market</w:t>
            </w:r>
          </w:p>
        </w:tc>
      </w:tr>
    </w:tbl>
    <w:p>
      <w:pPr>
        <w:spacing w:after="0" w:line="108" w:lineRule="exact"/>
        <w:rPr>
          <w:sz w:val="24"/>
          <w:szCs w:val="24"/>
          <w:color w:val="auto"/>
        </w:rPr>
      </w:pPr>
    </w:p>
    <w:p>
      <w:pPr>
        <w:ind w:right="44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74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Smaller reporting company</w:t>
            </w:r>
          </w:p>
        </w:tc>
        <w:tc>
          <w:tcPr>
            <w:tcW w:w="31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87"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ind w:right="3360"/>
        <w:spacing w:after="0" w:line="25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10, 2021, there were 17,710,450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which are subject to risks, uncertainties and assumptions about us, may include projections of our future financial performance, our anticipated growth strategies and anticipated trends in our business.</w:t>
      </w:r>
    </w:p>
    <w:p>
      <w:pPr>
        <w:spacing w:after="0" w:line="18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170" w:lineRule="exact"/>
        <w:rPr>
          <w:sz w:val="20"/>
          <w:szCs w:val="20"/>
          <w:color w:val="auto"/>
        </w:rPr>
      </w:pPr>
    </w:p>
    <w:p>
      <w:pPr>
        <w:ind w:left="1160" w:right="240" w:hanging="572"/>
        <w:spacing w:after="0" w:line="259"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engage with the FDA concerning the clinical hold on the investigational new drug application (IND) for CTI-1601 and the timing and outcomes of our planned interactions with the FDA and submission of a clinical hold complete response with further information and data regarding CTI-1601 requested by FDA to lift the clinical hold and allow initiation of interventional clinical studies;</w:t>
      </w:r>
    </w:p>
    <w:p>
      <w:pPr>
        <w:spacing w:after="0" w:line="78"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62" w:lineRule="exact"/>
        <w:rPr>
          <w:rFonts w:ascii="Arial" w:cs="Arial" w:eastAsia="Arial" w:hAnsi="Arial"/>
          <w:sz w:val="18"/>
          <w:szCs w:val="18"/>
          <w:color w:val="auto"/>
        </w:rPr>
      </w:pPr>
    </w:p>
    <w:p>
      <w:pPr>
        <w:ind w:left="1160" w:right="10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products will not achieve broad market acceptance;</w:t>
      </w:r>
    </w:p>
    <w:p>
      <w:pPr>
        <w:spacing w:after="0" w:line="75"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or changes in our anticipated clinical timelines, including as a result of patient recruitment, clinical and non-clinical results, changes in clinical protocols and milestones for CTI-1601, including those associated with COVID-19;</w:t>
      </w:r>
    </w:p>
    <w:p>
      <w:pPr>
        <w:spacing w:after="0" w:line="62" w:lineRule="exact"/>
        <w:rPr>
          <w:rFonts w:ascii="Arial" w:cs="Arial" w:eastAsia="Arial" w:hAnsi="Arial"/>
          <w:sz w:val="18"/>
          <w:szCs w:val="18"/>
          <w:color w:val="auto"/>
        </w:rPr>
      </w:pPr>
    </w:p>
    <w:p>
      <w:pPr>
        <w:ind w:left="1160" w:right="100" w:hanging="572"/>
        <w:spacing w:after="0" w:line="286"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obtaining successful non-clinical or clinical trial results that reliably and meaningfully demonstrate safety, tolerability and efficacy profiles that are satisfactory to the FDA, EMA, and other comparable regulatory authorities for marketing approval for CTI-1601 or any other product candidate that we may develop in the future and unexpected costs that may result therefrom;</w:t>
      </w:r>
    </w:p>
    <w:p>
      <w:pPr>
        <w:spacing w:after="0" w:line="57" w:lineRule="exact"/>
        <w:rPr>
          <w:rFonts w:ascii="Arial" w:cs="Arial" w:eastAsia="Arial" w:hAnsi="Arial"/>
          <w:sz w:val="17"/>
          <w:szCs w:val="17"/>
          <w:color w:val="auto"/>
        </w:rPr>
      </w:pPr>
    </w:p>
    <w:p>
      <w:pPr>
        <w:ind w:left="1160" w:right="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foreign countries;</w:t>
      </w:r>
    </w:p>
    <w:p>
      <w:pPr>
        <w:spacing w:after="0" w:line="62" w:lineRule="exact"/>
        <w:rPr>
          <w:rFonts w:ascii="Arial" w:cs="Arial" w:eastAsia="Arial" w:hAnsi="Arial"/>
          <w:sz w:val="18"/>
          <w:szCs w:val="18"/>
          <w:color w:val="auto"/>
        </w:rPr>
      </w:pPr>
    </w:p>
    <w:p>
      <w:pPr>
        <w:ind w:left="1160" w:right="200" w:hanging="572"/>
        <w:spacing w:after="0" w:line="308"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38" w:lineRule="exact"/>
        <w:rPr>
          <w:rFonts w:ascii="Arial" w:cs="Arial" w:eastAsia="Arial" w:hAnsi="Arial"/>
          <w:sz w:val="17"/>
          <w:szCs w:val="17"/>
          <w:color w:val="auto"/>
        </w:rPr>
      </w:pPr>
    </w:p>
    <w:p>
      <w:pPr>
        <w:ind w:left="1160" w:right="200" w:hanging="572"/>
        <w:spacing w:after="0" w:line="223" w:lineRule="exact"/>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w:t>
      </w:r>
      <w:r>
        <w:rPr>
          <w:rFonts w:ascii="MS PGothic" w:cs="MS PGothic" w:eastAsia="MS PGothic" w:hAnsi="MS PGothic"/>
          <w:sz w:val="18"/>
          <w:szCs w:val="18"/>
          <w:color w:val="auto"/>
        </w:rPr>
        <w:t>‑</w:t>
      </w:r>
      <w:r>
        <w:rPr>
          <w:rFonts w:ascii="Arial" w:cs="Arial" w:eastAsia="Arial" w:hAnsi="Arial"/>
          <w:sz w:val="18"/>
          <w:szCs w:val="18"/>
          <w:color w:val="auto"/>
        </w:rPr>
        <w:t>1601 or any other product candidate we may develop in the future, and the indication and labeling under any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jc w:val="both"/>
        <w:ind w:left="1160" w:right="22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and products that are or become available;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 parties;</w:t>
      </w:r>
    </w:p>
    <w:p>
      <w:pPr>
        <w:spacing w:after="0" w:line="117"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 parties upon which we depend, including third-party CROs, and third-party suppliers, manufacturers, distributors, and logistics providers;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relationships, and contracts with our key vendors;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or retain key scientific, technical, commercial, and management personnel or to retain our executive officers;</w:t>
      </w:r>
    </w:p>
    <w:p>
      <w:pPr>
        <w:spacing w:after="0" w:line="128" w:lineRule="exact"/>
        <w:rPr>
          <w:rFonts w:ascii="Arial" w:cs="Arial" w:eastAsia="Arial" w:hAnsi="Arial"/>
          <w:sz w:val="17"/>
          <w:szCs w:val="17"/>
          <w:color w:val="auto"/>
        </w:rPr>
      </w:pPr>
    </w:p>
    <w:p>
      <w:pPr>
        <w:ind w:left="1160" w:right="40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62" w:lineRule="exact"/>
        <w:rPr>
          <w:rFonts w:ascii="Arial" w:cs="Arial" w:eastAsia="Arial" w:hAnsi="Arial"/>
          <w:sz w:val="18"/>
          <w:szCs w:val="18"/>
          <w:color w:val="auto"/>
        </w:rPr>
      </w:pPr>
    </w:p>
    <w:p>
      <w:pPr>
        <w:ind w:left="116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health epidemics and other outbreaks of communicable diseases, including the ongoing COVID-19 pandemic, disrupt our operations, the operations of third parties on which we rely or the operations of regulatory agencies we interact with in the development of CTI-1601.</w:t>
      </w:r>
    </w:p>
    <w:p>
      <w:pPr>
        <w:spacing w:after="0" w:line="76"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4, 2021 and subsequent reports on Form 10-Q filed thereafter.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on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63"/>
        </w:trPr>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60" w:type="dxa"/>
            <w:vAlign w:val="bottom"/>
            <w:gridSpan w:val="12"/>
          </w:tcPr>
          <w:p>
            <w:pPr>
              <w:jc w:val="center"/>
              <w:ind w:right="35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20" w:type="dxa"/>
            <w:vAlign w:val="bottom"/>
          </w:tcPr>
          <w:p>
            <w:pPr>
              <w:spacing w:after="0"/>
              <w:rPr>
                <w:sz w:val="22"/>
                <w:szCs w:val="22"/>
                <w:color w:val="auto"/>
              </w:rPr>
            </w:pPr>
          </w:p>
        </w:tc>
      </w:tr>
      <w:tr>
        <w:trPr>
          <w:trHeight w:val="291"/>
        </w:trPr>
        <w:tc>
          <w:tcPr>
            <w:tcW w:w="13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74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312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1"/>
        </w:trPr>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June 30, 2021 and December 31, 2020</w:t>
              </w:r>
            </w:hyperlink>
          </w:p>
        </w:tc>
        <w:tc>
          <w:tcPr>
            <w:tcW w:w="326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0"/>
        </w:trPr>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0" w:type="dxa"/>
            <w:vAlign w:val="bottom"/>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Operations and Comprehensive Loss for the three and six months ended June 30, 2021</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2020</w:t>
              </w:r>
            </w:hyperlink>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1"/>
        </w:trPr>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0" w:type="dxa"/>
            <w:vAlign w:val="bottom"/>
            <w:gridSpan w:val="20"/>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Changes in Stockholders Equity for the three and six months ended June 30, 2021 and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2020</w:t>
              </w:r>
            </w:hyperlink>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90"/>
        </w:trPr>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and six months ended June 30, 2021 and 2020</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000" w:type="dxa"/>
            <w:vAlign w:val="bottom"/>
            <w:tcBorders>
              <w:top w:val="single" w:sz="8" w:color="0000EE"/>
            </w:tcBorders>
            <w:gridSpan w:val="7"/>
          </w:tcPr>
          <w:p>
            <w:pPr>
              <w:spacing w:after="0"/>
              <w:rPr>
                <w:sz w:val="24"/>
                <w:szCs w:val="24"/>
                <w:color w:val="auto"/>
              </w:rPr>
            </w:pPr>
          </w:p>
        </w:tc>
        <w:tc>
          <w:tcPr>
            <w:tcW w:w="140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13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94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0"/>
        </w:trPr>
        <w:tc>
          <w:tcPr>
            <w:tcW w:w="13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50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1"/>
        </w:trPr>
        <w:tc>
          <w:tcPr>
            <w:tcW w:w="13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36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290"/>
        </w:trPr>
        <w:tc>
          <w:tcPr>
            <w:tcW w:w="13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06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1"/>
        </w:trPr>
        <w:tc>
          <w:tcPr>
            <w:tcW w:w="13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0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506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600" w:type="dxa"/>
            <w:vAlign w:val="bottom"/>
            <w:tcBorders>
              <w:top w:val="single" w:sz="8" w:color="0000EE"/>
            </w:tcBorders>
          </w:tcPr>
          <w:p>
            <w:pPr>
              <w:spacing w:after="0"/>
              <w:rPr>
                <w:sz w:val="17"/>
                <w:szCs w:val="17"/>
                <w:color w:val="auto"/>
              </w:rPr>
            </w:pPr>
          </w:p>
        </w:tc>
        <w:tc>
          <w:tcPr>
            <w:tcW w:w="702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808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90"/>
        </w:trPr>
        <w:tc>
          <w:tcPr>
            <w:tcW w:w="13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1"/>
        </w:trPr>
        <w:tc>
          <w:tcPr>
            <w:tcW w:w="1300" w:type="dxa"/>
            <w:vAlign w:val="bottom"/>
            <w:gridSpan w:val="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3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As previously disclosed, on May 28, 2020, Zafgen, Inc., a Delaware corporation (“Zafgen”), completed a Merger with Chondrial Therapeutics, Inc., a Delaware corporation (“Chondrial”), in accordance with the terms of the Agreement and Plan of Merger (the “Merger Agreement”) entered into on December 17, 2019. Pursuant to the Merger Agreement, (i) a subsidiary of Zafgen merged with and into Chondrial, with Chondrial continuing as a wholly owned subsidiary of Zafgen and the surviving corporation of the merger and (ii) Zafgen was renamed as “Larimar Therapeutics, Inc.” (the “Merger”).</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For accounting purposes, the Merger is treated as a “reverse asset acquisition” under generally accepted accounting principles in the United States (“U.S. GAAP”) and Chondrial is considered the accounting acquirer. Accordingly, Chondrial’s historical results of operations replace Larimar’s historical results of operations for all periods prior to the Merger and, for all periods following the Merger, the results of operations of the combined company are included in the Company’s financial statements.</w:t>
      </w:r>
    </w:p>
    <w:p>
      <w:pPr>
        <w:spacing w:after="0" w:line="2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Unless the context otherwise requires, references to the “Company,” the “combined company” “we,” “our” or “us” in this report refer to Larimar Therapeutics, Inc. and its subsidiaries, references to “Larimar” refer to the Company following the completion of the Merger, and references to “Zafgen” refer to the Company prior to the completion of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3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74,036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80,931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1,463</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(See Note 9)</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per share; 5,000,000 shares authorized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as of June 30, 2021 and December 31, 2020; no shares issued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outstanding as of June 30, 2021 and December 31, 2020</w:t>
            </w:r>
          </w:p>
        </w:tc>
        <w:tc>
          <w:tcPr>
            <w:tcW w:w="32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per share; 115,000,000 shares</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as of June 30, 2021 and December 31, 2020;</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15,367,730 shares issued and outstanding as of June 30, 2021</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2020, respectively</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157,820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(90,311)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(65,614)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9,102</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8,907</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18,076</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15,996,133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9,381,412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15,996,133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7,736,331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(12,609)</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(11,330)</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(24,697)</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marketable debt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500"/>
              <w:spacing w:after="0"/>
              <w:rPr>
                <w:sz w:val="20"/>
                <w:szCs w:val="20"/>
                <w:color w:val="auto"/>
              </w:rPr>
            </w:pPr>
            <w:r>
              <w:rPr>
                <w:rFonts w:ascii="Arial" w:cs="Arial" w:eastAsia="Arial" w:hAnsi="Arial"/>
                <w:sz w:val="18"/>
                <w:szCs w:val="18"/>
                <w:color w:val="auto"/>
              </w:rPr>
              <w:t>Total other comprehensive loss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94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00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3"/>
                <w:szCs w:val="13"/>
                <w:color w:val="auto"/>
              </w:rPr>
            </w:pPr>
          </w:p>
        </w:tc>
        <w:tc>
          <w:tcPr>
            <w:tcW w:w="10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3"/>
                <w:szCs w:val="13"/>
                <w:color w:val="auto"/>
              </w:rPr>
            </w:pPr>
          </w:p>
        </w:tc>
        <w:tc>
          <w:tcPr>
            <w:tcW w:w="94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15,367,730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155,290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(12,088)</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as of March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15,367,730</w:t>
            </w:r>
          </w:p>
        </w:tc>
        <w:tc>
          <w:tcPr>
            <w:tcW w:w="22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156,470</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(77,702)</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(12,609)</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(12,609)</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June 30, 2021</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15,367,730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94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00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3"/>
                <w:szCs w:val="13"/>
                <w:color w:val="auto"/>
              </w:rPr>
            </w:pPr>
          </w:p>
        </w:tc>
        <w:tc>
          <w:tcPr>
            <w:tcW w:w="10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3"/>
                <w:szCs w:val="13"/>
                <w:color w:val="auto"/>
              </w:rPr>
            </w:pPr>
          </w:p>
        </w:tc>
        <w:tc>
          <w:tcPr>
            <w:tcW w:w="94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2019</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Capital contributions from related party</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(6,674)</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Capital contributions from related party</w:t>
            </w: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Merger with Zafgen Inc.</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3,124,337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w w:val="96"/>
              </w:rPr>
              <w:t>Private Placement of common shares and pre-funded</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6,140,619</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75,344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75,350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120" w:type="dxa"/>
            <w:vAlign w:val="bottom"/>
            <w:vMerge w:val="restart"/>
          </w:tcPr>
          <w:p>
            <w:pPr>
              <w:spacing w:after="0"/>
              <w:rPr>
                <w:sz w:val="20"/>
                <w:szCs w:val="20"/>
                <w:color w:val="auto"/>
              </w:rPr>
            </w:pPr>
            <w:r>
              <w:rPr>
                <w:rFonts w:ascii="Arial" w:cs="Arial" w:eastAsia="Arial" w:hAnsi="Arial"/>
                <w:sz w:val="18"/>
                <w:szCs w:val="18"/>
                <w:color w:val="auto"/>
              </w:rPr>
              <w:t>warrants, net of transaction costs</w:t>
            </w: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(11,330)</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Balances as of June 30, 2020</w:t>
            </w: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15,356,206</w:t>
            </w:r>
          </w:p>
        </w:tc>
        <w:tc>
          <w:tcPr>
            <w:tcW w:w="22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153,668</w:t>
            </w:r>
          </w:p>
        </w:tc>
        <w:tc>
          <w:tcPr>
            <w:tcW w:w="2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(41,136)</w:t>
            </w:r>
          </w:p>
        </w:tc>
        <w:tc>
          <w:tcPr>
            <w:tcW w:w="2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(24,697)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2,530</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fixed asset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premium on marketable securities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(1,466)</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(21,988)</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Maturities and sales of marketable securities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acquired in connection with the Merger</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Merger transaction costs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24,470</w:t>
            </w:r>
          </w:p>
        </w:tc>
        <w:tc>
          <w:tcPr>
            <w:tcW w:w="6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Capital contribution from related party</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common stock and prefunded warrants, net of issuance costs</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20" w:type="dxa"/>
            <w:vAlign w:val="bottom"/>
            <w:gridSpan w:val="2"/>
            <w:vMerge w:val="restart"/>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75,485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69,487</w:t>
            </w: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71,969</w:t>
            </w:r>
          </w:p>
        </w:tc>
        <w:tc>
          <w:tcPr>
            <w:tcW w:w="6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4"/>
              </w:rPr>
              <w:t>Fair value of net assets acquired in the Merger, including $1.0 million of marketable debt securities and</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excluding cash acquired</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w:t>
            </w:r>
          </w:p>
        </w:tc>
        <w:tc>
          <w:tcPr>
            <w:tcW w:w="6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Offering costs included in accounts payable and accrued expense</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Merger transaction costs included in accounts payable and accrued expenses</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Clinical Development, Nature of the Business, COVID-19 Risk and Basis of Presentation</w:t>
      </w:r>
    </w:p>
    <w:p>
      <w:pPr>
        <w:spacing w:after="0" w:line="121" w:lineRule="exact"/>
        <w:rPr>
          <w:sz w:val="20"/>
          <w:szCs w:val="20"/>
          <w:color w:val="auto"/>
        </w:rPr>
      </w:pPr>
    </w:p>
    <w:p>
      <w:pPr>
        <w:ind w:right="140" w:firstLine="424"/>
        <w:spacing w:after="0" w:line="257" w:lineRule="auto"/>
        <w:rPr>
          <w:sz w:val="20"/>
          <w:szCs w:val="20"/>
          <w:color w:val="auto"/>
        </w:rPr>
      </w:pPr>
      <w:r>
        <w:rPr>
          <w:rFonts w:ascii="Arial" w:cs="Arial" w:eastAsia="Arial" w:hAnsi="Arial"/>
          <w:sz w:val="18"/>
          <w:szCs w:val="18"/>
          <w:color w:val="auto"/>
        </w:rPr>
        <w:t>Larimar Therapeutics, Inc., together with its subsidiaries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sufficient FXN due to a genetic abnormality.</w:t>
      </w:r>
    </w:p>
    <w:p>
      <w:pPr>
        <w:spacing w:after="0" w:line="80" w:lineRule="exact"/>
        <w:rPr>
          <w:sz w:val="20"/>
          <w:szCs w:val="20"/>
          <w:color w:val="auto"/>
        </w:rPr>
      </w:pPr>
    </w:p>
    <w:p>
      <w:pPr>
        <w:ind w:firstLine="424"/>
        <w:spacing w:after="0" w:line="273" w:lineRule="auto"/>
        <w:rPr>
          <w:sz w:val="20"/>
          <w:szCs w:val="20"/>
          <w:color w:val="auto"/>
        </w:rPr>
      </w:pPr>
      <w:r>
        <w:rPr>
          <w:rFonts w:ascii="Arial" w:cs="Arial" w:eastAsia="Arial" w:hAnsi="Arial"/>
          <w:sz w:val="17"/>
          <w:szCs w:val="17"/>
          <w:color w:val="auto"/>
        </w:rPr>
        <w:t>In May 2021, Larimar reported positive topline data from its Phase 1 Friedreich’s ataxia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frataxin levels from baseline compared to placebo in all evaluated tissues (buccal cells, skin, and platelets). Frataxin levels achieved in peripheral tissues (buccal cells) following daily 50 mg and 100 mg subcutaneous injections of CTI-1601 were at or in excess of frataxin levels that would be expected in phenotypically normal heterozygous carriers. There were no serious adverse events (SAEs) associated with either the MAD or SAD trials.</w:t>
      </w:r>
    </w:p>
    <w:p>
      <w:pPr>
        <w:spacing w:after="0" w:line="70" w:lineRule="exact"/>
        <w:rPr>
          <w:sz w:val="20"/>
          <w:szCs w:val="20"/>
          <w:color w:val="auto"/>
        </w:rPr>
      </w:pPr>
    </w:p>
    <w:p>
      <w:pPr>
        <w:ind w:right="140" w:firstLine="424"/>
        <w:spacing w:after="0" w:line="255" w:lineRule="auto"/>
        <w:rPr>
          <w:sz w:val="20"/>
          <w:szCs w:val="20"/>
          <w:color w:val="auto"/>
        </w:rPr>
      </w:pPr>
      <w:r>
        <w:rPr>
          <w:rFonts w:ascii="Arial" w:cs="Arial" w:eastAsia="Arial" w:hAnsi="Arial"/>
          <w:sz w:val="18"/>
          <w:szCs w:val="18"/>
          <w:color w:val="auto"/>
        </w:rPr>
        <w:t>On May 25, 2021 the United States Food and Drug Administration (FDA) placed a clinical hold on the CTI-1601 clinical program following the Company’s notification to the FDA of mortalities which occurred at the highest dose levels in an ongoing 180-day non-human primate (NHP) toxicology study, which is designed to support extended dosing of patients with CTI-1601. In the clinical hold letter, the FDA stated that it needs a full study report from the ongoing NHP study and Larimar may not initiate additional clinical trials until the company has submitted the report and received notification from the FDA that additional clinical trials may commence. At the time of this notice, the Company had no interventional clinical trials with patients enrolled or enrolling.</w:t>
      </w:r>
    </w:p>
    <w:p>
      <w:pPr>
        <w:spacing w:after="0" w:line="84" w:lineRule="exact"/>
        <w:rPr>
          <w:sz w:val="20"/>
          <w:szCs w:val="20"/>
          <w:color w:val="auto"/>
        </w:rPr>
      </w:pPr>
    </w:p>
    <w:p>
      <w:pPr>
        <w:ind w:right="20" w:firstLine="424"/>
        <w:spacing w:after="0" w:line="259" w:lineRule="auto"/>
        <w:rPr>
          <w:sz w:val="20"/>
          <w:szCs w:val="20"/>
          <w:color w:val="auto"/>
        </w:rPr>
      </w:pPr>
      <w:r>
        <w:rPr>
          <w:rFonts w:ascii="Arial" w:cs="Arial" w:eastAsia="Arial" w:hAnsi="Arial"/>
          <w:sz w:val="18"/>
          <w:szCs w:val="18"/>
          <w:color w:val="auto"/>
        </w:rPr>
        <w:t>In July 2021, the Company completed dosing in the non-human primate toxicology study discussed above. The Company is currently collecting and analyzing data from the study. While there is no way to predict the FDA’s response or whether they will require additional data or testing before lifting the clinical hold on CTI-1601 in full or in part, the Company expects to initiate its Jive open-label extension and pediatric MAD trials in the first half of next year.</w:t>
      </w:r>
    </w:p>
    <w:p>
      <w:pPr>
        <w:spacing w:after="0" w:line="79" w:lineRule="exact"/>
        <w:rPr>
          <w:sz w:val="20"/>
          <w:szCs w:val="20"/>
          <w:color w:val="auto"/>
        </w:rPr>
      </w:pPr>
    </w:p>
    <w:p>
      <w:pPr>
        <w:ind w:right="80" w:firstLine="424"/>
        <w:spacing w:after="0" w:line="254" w:lineRule="auto"/>
        <w:rPr>
          <w:sz w:val="20"/>
          <w:szCs w:val="20"/>
          <w:color w:val="auto"/>
        </w:rPr>
      </w:pPr>
      <w:r>
        <w:rPr>
          <w:rFonts w:ascii="Arial" w:cs="Arial" w:eastAsia="Arial" w:hAnsi="Arial"/>
          <w:sz w:val="18"/>
          <w:szCs w:val="18"/>
          <w:color w:val="auto"/>
        </w:rPr>
        <w:t>The Company is subject to risks and uncertainties common to pre-commercialization companies in the biotechnology industry, including, but not limited 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spacing w:after="0" w:line="87" w:lineRule="exact"/>
        <w:rPr>
          <w:sz w:val="20"/>
          <w:szCs w:val="20"/>
          <w:color w:val="auto"/>
        </w:rPr>
      </w:pPr>
    </w:p>
    <w:p>
      <w:pPr>
        <w:ind w:right="20" w:firstLine="424"/>
        <w:spacing w:after="0" w:line="289"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The pandemic resulted in the temporary stoppage of the Company’s CTI-1601 Phase 1 clinical trials in patients with Friedreich’s ataxia in March 2020. In July 2020, the Company resumed these clinical trials, and have since completed dosing of both its single ascending dose and multiple ascending dose clinical trials. 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in some states, particularly in some areas of the country. The incidence of variants of COVID-19, has been increasing particularly among unvaccinated individuals and the variant is proving to be more easily spread than earlier variants. The low vaccination rate, the spread of variants, the evolution of furthermore deadly mutations against which the current vaccines may prove ineffective could again result in major disruptions to businesses and markets worldwide.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 w:name="page10"/>
    <w:bookmarkEnd w:id="9"/>
    <w:p>
      <w:pPr>
        <w:ind w:right="120"/>
        <w:spacing w:after="0" w:line="269" w:lineRule="auto"/>
        <w:rPr>
          <w:sz w:val="20"/>
          <w:szCs w:val="20"/>
          <w:color w:val="auto"/>
        </w:rPr>
      </w:pPr>
      <w:r>
        <w:rPr>
          <w:rFonts w:ascii="Arial" w:cs="Arial" w:eastAsia="Arial" w:hAnsi="Arial"/>
          <w:sz w:val="18"/>
          <w:szCs w:val="18"/>
          <w:color w:val="auto"/>
        </w:rPr>
        <w:t>Company’s business, results of operations, financial condition and cash flows could be materially and adversely affected. Specifically, the Company could experience additional delays in future clinical trial timelines as a result of additional travel and hospital restrictions related to the COVID-19 pandemic which may be imposed or experience supply shortages or manufacturer shutdowns impacting the manufacture of drug substance or drug product. The financial statements do not reflect any adjustments as a result of the pandemic.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Zafgen</w:t>
      </w:r>
    </w:p>
    <w:p>
      <w:pPr>
        <w:spacing w:after="0" w:line="117" w:lineRule="exact"/>
        <w:rPr>
          <w:sz w:val="20"/>
          <w:szCs w:val="20"/>
          <w:color w:val="auto"/>
        </w:rPr>
      </w:pPr>
    </w:p>
    <w:p>
      <w:pPr>
        <w:ind w:firstLine="424"/>
        <w:spacing w:after="0" w:line="259" w:lineRule="auto"/>
        <w:rPr>
          <w:sz w:val="20"/>
          <w:szCs w:val="20"/>
          <w:color w:val="auto"/>
        </w:rPr>
      </w:pPr>
      <w:r>
        <w:rPr>
          <w:rFonts w:ascii="Arial" w:cs="Arial" w:eastAsia="Arial" w:hAnsi="Arial"/>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w:t>
      </w:r>
    </w:p>
    <w:p>
      <w:pPr>
        <w:spacing w:after="0" w:line="79" w:lineRule="exact"/>
        <w:rPr>
          <w:sz w:val="20"/>
          <w:szCs w:val="20"/>
          <w:color w:val="auto"/>
        </w:rPr>
      </w:pPr>
    </w:p>
    <w:p>
      <w:pPr>
        <w:ind w:right="80" w:firstLine="424"/>
        <w:spacing w:after="0" w:line="289" w:lineRule="auto"/>
        <w:rPr>
          <w:sz w:val="20"/>
          <w:szCs w:val="20"/>
          <w:color w:val="auto"/>
        </w:rPr>
      </w:pPr>
      <w:r>
        <w:rPr>
          <w:rFonts w:ascii="Arial" w:cs="Arial" w:eastAsia="Arial" w:hAnsi="Arial"/>
          <w:sz w:val="16"/>
          <w:szCs w:val="16"/>
          <w:color w:val="auto"/>
        </w:rPr>
        <w:t xml:space="preserve">The transaction was accounted for as a reverse acquisition in accordance with accounting principles generally accepted in the United States of America ("GAAP"). Under this method of accounting, Chondrial was deemed to be the accounting acquirer for financial reporting purposes. This determination was primarily based on the facts that, immediately following the Merger: (1) former shareholders of Chondrial own a substantial majority of the voting rights of the combined company; (2) the majority of the board of directors of the combined company is composed of directors designated by Chondrial under the terms of the Merger Agreement; and (3) existing members of Chondrial management constituted the management of the combined company. Because Chondrial has been determined to be the accounting acquirer in the Merger, but not the legal acquirer, the Merger is deemed a reverse acquisition under the guidance of the Financial Accounting Standards Board (“FASB”) Accounting Standards Codification (“ASC”) Topic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As a result, the historical financial statements of Chondrial are the historical financial statements of the combined company. As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accounted for as an asset acquisition, goodwill has not been recorded within the condensed combined balance sheet.</w:t>
      </w:r>
    </w:p>
    <w:p>
      <w:pPr>
        <w:spacing w:after="0" w:line="58" w:lineRule="exact"/>
        <w:rPr>
          <w:sz w:val="20"/>
          <w:szCs w:val="20"/>
          <w:color w:val="auto"/>
        </w:rPr>
      </w:pPr>
    </w:p>
    <w:p>
      <w:pPr>
        <w:ind w:firstLine="424"/>
        <w:spacing w:after="0" w:line="271" w:lineRule="auto"/>
        <w:rPr>
          <w:sz w:val="20"/>
          <w:szCs w:val="20"/>
          <w:color w:val="auto"/>
        </w:rPr>
      </w:pPr>
      <w:r>
        <w:rPr>
          <w:rFonts w:ascii="Arial" w:cs="Arial" w:eastAsia="Arial" w:hAnsi="Arial"/>
          <w:sz w:val="17"/>
          <w:szCs w:val="17"/>
          <w:color w:val="auto"/>
        </w:rPr>
        <w:t>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Common Stock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w:t>
      </w:r>
    </w:p>
    <w:p>
      <w:pPr>
        <w:spacing w:after="0" w:line="70" w:lineRule="exact"/>
        <w:rPr>
          <w:sz w:val="20"/>
          <w:szCs w:val="20"/>
          <w:color w:val="auto"/>
        </w:rPr>
      </w:pPr>
    </w:p>
    <w:p>
      <w:pPr>
        <w:ind w:right="120" w:firstLine="424"/>
        <w:spacing w:after="0" w:line="255" w:lineRule="auto"/>
        <w:rPr>
          <w:sz w:val="20"/>
          <w:szCs w:val="20"/>
          <w:color w:val="auto"/>
        </w:rPr>
      </w:pPr>
      <w:r>
        <w:rPr>
          <w:rFonts w:ascii="Arial" w:cs="Arial" w:eastAsia="Arial" w:hAnsi="Arial"/>
          <w:sz w:val="18"/>
          <w:szCs w:val="18"/>
          <w:color w:val="auto"/>
        </w:rPr>
        <w:t>In addition, all outstanding options exercisable for common units of Holdings became options exercisable for the shares of common stock of Zafgen based on the conversion factor discussed within the Merger Agreement. In connection with the Merger, Zafgen changed its name to Larimar Therapeutics, Inc. Following the closing of the Merger, Chondrial Therapeutics, Inc. became a wholly owned subsidiary of the Company. In December 2020, Chondrial Therapeutics was legally merged into Larimar Therapeutics, Inc. As used herein, the words “the Company” refers to, for periods following the Merger, Larimar, together with its subsidiaries, and for periods prior to the Merger, Chondrial Therapeutics Inc., and its direct and indirect subsidiaries, as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40" w:firstLine="424"/>
        <w:spacing w:after="0" w:line="311" w:lineRule="auto"/>
        <w:rPr>
          <w:sz w:val="20"/>
          <w:szCs w:val="20"/>
          <w:color w:val="auto"/>
        </w:rPr>
      </w:pPr>
      <w:r>
        <w:rPr>
          <w:rFonts w:ascii="Arial" w:cs="Arial" w:eastAsia="Arial" w:hAnsi="Arial"/>
          <w:sz w:val="16"/>
          <w:szCs w:val="16"/>
          <w:color w:val="auto"/>
        </w:rPr>
        <w:t>The condensed consolidated financial statements include the accounts of Larimar and its wholly owned subsidiaries. All intercompany balances and transactions have been eliminated. The accompanying condensed consolidated financial statements have been prepared in conformity with GAAP. Unless otherwise noted, all references to common stock share and per share amounts have also been adjusted to reflect the Exchange Ratio.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180" w:firstLine="424"/>
        <w:spacing w:after="0" w:line="279" w:lineRule="auto"/>
        <w:rPr>
          <w:sz w:val="20"/>
          <w:szCs w:val="20"/>
          <w:color w:val="auto"/>
        </w:rPr>
      </w:pPr>
      <w:r>
        <w:rPr>
          <w:rFonts w:ascii="Arial" w:cs="Arial" w:eastAsia="Arial" w:hAnsi="Arial"/>
          <w:sz w:val="17"/>
          <w:szCs w:val="17"/>
          <w:color w:val="auto"/>
        </w:rPr>
        <w:t>On May 28, 2020, immediately prior to the closing of the Merger, Zafgen effected the Reverse Stock Split. Accordingly, all share and per share amounts for all periods presented in the accompanying condensed consolidated financial statements and notes thereto have been adjusted retroactively, where applicable, to reflect the Reverse Stock Split. No fractional shares were issued in connection with the Reverse Stock Split. Unless otherwise noted, all references to common stock share and per share amounts have also been adjusted to reflect the Exchange Ratio.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Going Concern Assessment</w:t>
      </w:r>
    </w:p>
    <w:p>
      <w:pPr>
        <w:spacing w:after="0" w:line="117" w:lineRule="exact"/>
        <w:rPr>
          <w:sz w:val="20"/>
          <w:szCs w:val="20"/>
          <w:color w:val="auto"/>
        </w:rPr>
      </w:pPr>
    </w:p>
    <w:p>
      <w:pPr>
        <w:ind w:right="20" w:firstLine="424"/>
        <w:spacing w:after="0" w:line="311"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the Company has evaluated whether there are certain conditions and events, considered in the aggregate, that raise substantial doubt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ability to continue as a going concern within one year after the date that the condensed consolidated financial statements are issued.</w:t>
      </w:r>
    </w:p>
    <w:p>
      <w:pPr>
        <w:spacing w:after="0" w:line="41" w:lineRule="exact"/>
        <w:rPr>
          <w:sz w:val="20"/>
          <w:szCs w:val="20"/>
          <w:color w:val="auto"/>
        </w:rPr>
      </w:pPr>
    </w:p>
    <w:p>
      <w:pPr>
        <w:ind w:right="60" w:firstLine="424"/>
        <w:spacing w:after="0" w:line="263" w:lineRule="auto"/>
        <w:rPr>
          <w:sz w:val="20"/>
          <w:szCs w:val="20"/>
          <w:color w:val="auto"/>
        </w:rPr>
      </w:pPr>
      <w:r>
        <w:rPr>
          <w:rFonts w:ascii="Arial" w:cs="Arial" w:eastAsia="Arial" w:hAnsi="Arial"/>
          <w:sz w:val="18"/>
          <w:szCs w:val="18"/>
          <w:color w:val="auto"/>
        </w:rPr>
        <w:t>As of the issuance date of these condensed consolidated financial statements, the Company expects that its cash, cash equivalents and marketable debt securities will be sufficient to fund its forecasted operating expenses and capital expenditure requirements for at least the next twelve months from the issuance date of these financial statements.</w:t>
      </w:r>
    </w:p>
    <w:p>
      <w:pPr>
        <w:spacing w:after="0" w:line="76" w:lineRule="exact"/>
        <w:rPr>
          <w:sz w:val="20"/>
          <w:szCs w:val="20"/>
          <w:color w:val="auto"/>
        </w:rPr>
      </w:pPr>
    </w:p>
    <w:p>
      <w:pPr>
        <w:ind w:firstLine="424"/>
        <w:spacing w:after="0" w:line="275" w:lineRule="auto"/>
        <w:rPr>
          <w:sz w:val="20"/>
          <w:szCs w:val="20"/>
          <w:color w:val="auto"/>
        </w:rPr>
      </w:pPr>
      <w:r>
        <w:rPr>
          <w:rFonts w:ascii="Arial" w:cs="Arial" w:eastAsia="Arial" w:hAnsi="Arial"/>
          <w:sz w:val="17"/>
          <w:szCs w:val="17"/>
          <w:color w:val="auto"/>
        </w:rPr>
        <w:t>The Company has funded its operations to date primarily with proceeds from sales of common stock, prefunded warrants for the purchase of common stock and, prior to the merger with Zafgen described above, contributions from Holdings. In June 2020, the Company completed the Merger and acquired $42.9 million of cash, cash equivalents, restricted cash and marketable debt securities that were held by Zafgen immediately prior to the Merger. The Company also raised $75.4 million, net of offering costs, through a private offering of common stock and prefunded warrants to purchase shares of common stock in connection with and immediately after the closing of the Merger in June 2020.</w:t>
      </w:r>
    </w:p>
    <w:p>
      <w:pPr>
        <w:spacing w:after="0" w:line="68" w:lineRule="exact"/>
        <w:rPr>
          <w:sz w:val="20"/>
          <w:szCs w:val="20"/>
          <w:color w:val="auto"/>
        </w:rPr>
      </w:pPr>
    </w:p>
    <w:p>
      <w:pPr>
        <w:ind w:right="100" w:firstLine="424"/>
        <w:spacing w:after="0" w:line="301" w:lineRule="auto"/>
        <w:rPr>
          <w:sz w:val="20"/>
          <w:szCs w:val="20"/>
          <w:color w:val="auto"/>
        </w:rPr>
      </w:pPr>
      <w:r>
        <w:rPr>
          <w:rFonts w:ascii="Arial" w:cs="Arial" w:eastAsia="Arial" w:hAnsi="Arial"/>
          <w:sz w:val="16"/>
          <w:szCs w:val="16"/>
          <w:color w:val="auto"/>
        </w:rPr>
        <w:t>In August 2020, the Company entered into an Equity Distribution Agreement (the “ATM Agreement”) with an investment bank in connection with the establishment of an “at-the-market” offering program under which the Company may sell up to an aggregate of $50,000,000 of shares of its common stock from time to time through this investment bank as sales agent. In July 2021, the Company sold 2,342,720 shares pursuant to the ATM Agreement for gross proceeds of $20.5 million. As of August 10, 2021, the Company may sell up to $29.2 million of common stock under the ATM Agreement.</w:t>
      </w:r>
    </w:p>
    <w:p>
      <w:pPr>
        <w:spacing w:after="0" w:line="49" w:lineRule="exact"/>
        <w:rPr>
          <w:sz w:val="20"/>
          <w:szCs w:val="20"/>
          <w:color w:val="auto"/>
        </w:rPr>
      </w:pPr>
    </w:p>
    <w:p>
      <w:pPr>
        <w:ind w:right="80" w:firstLine="424"/>
        <w:spacing w:after="0" w:line="304" w:lineRule="auto"/>
        <w:rPr>
          <w:sz w:val="20"/>
          <w:szCs w:val="20"/>
          <w:color w:val="auto"/>
        </w:rPr>
      </w:pPr>
      <w:r>
        <w:rPr>
          <w:rFonts w:ascii="Arial" w:cs="Arial" w:eastAsia="Arial" w:hAnsi="Arial"/>
          <w:sz w:val="16"/>
          <w:szCs w:val="16"/>
          <w:color w:val="auto"/>
        </w:rPr>
        <w:t>Since its inception, the Company has incurred significant operating losses and negative cash flows from operations. The Company has incurred recurring losses since inception, including net losses of $24.7 million and $18.0 million for six months ended June 30, 2021 and 2020, respectively. In addition, as of June 30, 2021, the Company had an accumulated deficit of $90.3 million. The Company expects to continue to generate operating losses for the foreseeable future. As of June 30, 2021, the Company had approximately $70.6 million of cash and cash equivalents available for use to</w:t>
      </w:r>
    </w:p>
    <w:p>
      <w:pPr>
        <w:spacing w:after="0"/>
        <w:rPr>
          <w:sz w:val="20"/>
          <w:szCs w:val="20"/>
          <w:color w:val="auto"/>
        </w:rPr>
      </w:pPr>
      <w:r>
        <w:rPr>
          <w:rFonts w:ascii="Arial" w:cs="Arial" w:eastAsia="Arial" w:hAnsi="Arial"/>
          <w:sz w:val="18"/>
          <w:szCs w:val="18"/>
          <w:color w:val="auto"/>
        </w:rPr>
        <w:t>fund its operations.</w:t>
      </w:r>
    </w:p>
    <w:p>
      <w:pPr>
        <w:spacing w:after="0" w:line="103" w:lineRule="exact"/>
        <w:rPr>
          <w:sz w:val="20"/>
          <w:szCs w:val="20"/>
          <w:color w:val="auto"/>
        </w:rPr>
      </w:pPr>
    </w:p>
    <w:p>
      <w:pPr>
        <w:ind w:right="20" w:firstLine="424"/>
        <w:spacing w:after="0" w:line="279" w:lineRule="auto"/>
        <w:rPr>
          <w:sz w:val="20"/>
          <w:szCs w:val="20"/>
          <w:color w:val="auto"/>
        </w:rPr>
      </w:pPr>
      <w:r>
        <w:rPr>
          <w:rFonts w:ascii="Arial" w:cs="Arial" w:eastAsia="Arial" w:hAnsi="Arial"/>
          <w:sz w:val="17"/>
          <w:szCs w:val="17"/>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will need additional capital to fund its future operations, which it may raise through a combination of equity offerings, debt financings, other third-party funding, marketing and distribution arrangements, and other collaborations, strategic alliances and licensing arrangements.</w:t>
      </w:r>
    </w:p>
    <w:p>
      <w:pPr>
        <w:spacing w:after="0" w:line="198" w:lineRule="exact"/>
        <w:rPr>
          <w:sz w:val="20"/>
          <w:szCs w:val="20"/>
          <w:color w:val="auto"/>
        </w:rPr>
      </w:pPr>
    </w:p>
    <w:p>
      <w:pPr>
        <w:ind w:right="80" w:firstLine="478"/>
        <w:spacing w:after="0" w:line="226" w:lineRule="exact"/>
        <w:rPr>
          <w:sz w:val="20"/>
          <w:szCs w:val="20"/>
          <w:color w:val="auto"/>
        </w:rPr>
      </w:pPr>
      <w:r>
        <w:rPr>
          <w:rFonts w:ascii="Arial" w:cs="Arial" w:eastAsia="Arial" w:hAnsi="Arial"/>
          <w:sz w:val="18"/>
          <w:szCs w:val="18"/>
          <w:color w:val="auto"/>
        </w:rPr>
        <w:t>If the Company is unable to obtain future funding when needed, the Company may be forced to delay, reduce or eliminate some or all of its research and development programs, product portfolio expansion or pre</w:t>
      </w:r>
      <w:r>
        <w:rPr>
          <w:rFonts w:ascii="MS PGothic" w:cs="MS PGothic" w:eastAsia="MS PGothic" w:hAnsi="MS PGothic"/>
          <w:sz w:val="18"/>
          <w:szCs w:val="18"/>
          <w:color w:val="auto"/>
        </w:rPr>
        <w:t>‑</w:t>
      </w:r>
      <w:r>
        <w:rPr>
          <w:rFonts w:ascii="Arial" w:cs="Arial" w:eastAsia="Arial" w:hAnsi="Arial"/>
          <w:sz w:val="18"/>
          <w:szCs w:val="18"/>
          <w:color w:val="auto"/>
        </w:rPr>
        <w:t>commercialization efforts, which could adversely affect its business prospects, or the Company may be unable to continue operations. There is no assurance that the Company will be successful in obtaining sufficient funding on terms acceptable to the Company to fund continuing operations, if at all.</w:t>
      </w:r>
    </w:p>
    <w:p>
      <w:pPr>
        <w:spacing w:after="0" w:line="19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120" w:firstLine="424"/>
        <w:spacing w:after="0" w:line="271" w:lineRule="auto"/>
        <w:rPr>
          <w:sz w:val="20"/>
          <w:szCs w:val="20"/>
          <w:color w:val="auto"/>
        </w:rPr>
      </w:pPr>
      <w:r>
        <w:rPr>
          <w:rFonts w:ascii="Arial" w:cs="Arial" w:eastAsia="Arial" w:hAnsi="Arial"/>
          <w:sz w:val="17"/>
          <w:szCs w:val="17"/>
          <w:color w:val="auto"/>
        </w:rPr>
        <w:t>The condensed consolidated balance sheet as of December 31, 2020 was derived from the Company’s audited financial statements but does not include all disclosures required by GAAP. The accompanying unaudited condensed consolidated financial statements as of June 30, 2021 and for the three and six months ended June 30, 2021 and 2020,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2020 included in the Company’s Annual Report on Form 10-K filed on March 4, 2021.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firstLine="424"/>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necessary for a fair statement of the Company’s condensed consolidated financial position as of June 30, 2021 and condensed consolidated results of operations and cash flows for the three and six months ended June 30, 2021 and 2020 have been made. The results of operations for the three and six months ended June 30, 2021 are not necessarily indicative of the results of operations that may be expected for the year ending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17" w:lineRule="exact"/>
        <w:rPr>
          <w:sz w:val="20"/>
          <w:szCs w:val="20"/>
          <w:color w:val="auto"/>
        </w:rPr>
      </w:pPr>
    </w:p>
    <w:p>
      <w:pPr>
        <w:ind w:right="100" w:firstLine="424"/>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The Company generally maintains cash balances in various operating accounts at financial institutions that management believes to be of high credit quality in amounts that may exceed federally insured limits. The Company has not experienced losses related to its cash and cash equivalents.</w:t>
      </w:r>
    </w:p>
    <w:p>
      <w:pPr>
        <w:spacing w:after="0" w:line="41" w:lineRule="exact"/>
        <w:rPr>
          <w:sz w:val="20"/>
          <w:szCs w:val="20"/>
          <w:color w:val="auto"/>
        </w:rPr>
      </w:pPr>
    </w:p>
    <w:p>
      <w:pPr>
        <w:ind w:right="140" w:firstLine="424"/>
        <w:spacing w:after="0" w:line="272" w:lineRule="auto"/>
        <w:rPr>
          <w:sz w:val="20"/>
          <w:szCs w:val="20"/>
          <w:color w:val="auto"/>
        </w:rPr>
      </w:pPr>
      <w:r>
        <w:rPr>
          <w:rFonts w:ascii="Arial" w:cs="Arial" w:eastAsia="Arial" w:hAnsi="Arial"/>
          <w:sz w:val="17"/>
          <w:szCs w:val="17"/>
          <w:color w:val="auto"/>
        </w:rPr>
        <w:t>The Company is highly dependent on third-party manufacturers to supply products for research and development activities in its programs. The Company relies and expects to continue to rely on a small number of manufacturers to supply it with its requirements for drug substance and formulated drugs related to these programs. The drug substance which is in frozen liquid form for CTI-1601 is currently manufactured for us by a third-party manufacturer, and the frozen liquid form of drug product is made at another manufacturer. The Company is undertaking a program with a third manufacturer to begin to produce a lyophilized version of the drug product from the same drug substance, that, once available, we intend to use in certain of our future planned clinical trials. The Company’s research and development programs could be adversely affected by a significant interruption in these manufacturing services or in the supply of drug substance and formulated drugs.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considers all highly liquid investments with maturities of three months or less at the date of purchase to be cash equivalents. At</w:t>
      </w:r>
    </w:p>
    <w:p>
      <w:pPr>
        <w:spacing w:after="0" w:line="3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June 30, 2021 and December 31, 2020, cash equivalents consisted of commercial paper and corporate bonds with maturity dates of less than three months at the date of acquisition and money market funds.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17" w:lineRule="exact"/>
        <w:rPr>
          <w:sz w:val="20"/>
          <w:szCs w:val="20"/>
          <w:color w:val="auto"/>
        </w:rPr>
      </w:pPr>
    </w:p>
    <w:p>
      <w:pPr>
        <w:ind w:right="140" w:firstLine="424"/>
        <w:spacing w:after="0" w:line="271" w:lineRule="auto"/>
        <w:rPr>
          <w:sz w:val="20"/>
          <w:szCs w:val="20"/>
          <w:color w:val="auto"/>
        </w:rPr>
      </w:pPr>
      <w:r>
        <w:rPr>
          <w:rFonts w:ascii="Arial" w:cs="Arial" w:eastAsia="Arial" w:hAnsi="Arial"/>
          <w:sz w:val="17"/>
          <w:szCs w:val="17"/>
          <w:color w:val="auto"/>
        </w:rPr>
        <w:t>Marketable debt securities consist of debt investments with original maturities greater than ninety days.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Long-lived assets consist of property and equipment, net¸ and the net operating lease asset.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20" w:firstLine="424"/>
        <w:spacing w:after="0" w:line="255" w:lineRule="auto"/>
        <w:rPr>
          <w:sz w:val="20"/>
          <w:szCs w:val="20"/>
          <w:color w:val="auto"/>
        </w:rPr>
      </w:pPr>
      <w:r>
        <w:rPr>
          <w:rFonts w:ascii="Arial" w:cs="Arial" w:eastAsia="Arial" w:hAnsi="Arial"/>
          <w:sz w:val="18"/>
          <w:szCs w:val="18"/>
          <w:color w:val="auto"/>
        </w:rPr>
        <w:t>Costs associated with internal research and development and external research and development services, including drug development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84" w:lineRule="exact"/>
        <w:rPr>
          <w:sz w:val="20"/>
          <w:szCs w:val="20"/>
          <w:color w:val="auto"/>
        </w:rPr>
      </w:pPr>
    </w:p>
    <w:p>
      <w:pPr>
        <w:ind w:right="20" w:firstLine="424"/>
        <w:spacing w:after="0" w:line="263"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76" w:lineRule="exact"/>
        <w:rPr>
          <w:sz w:val="20"/>
          <w:szCs w:val="20"/>
          <w:color w:val="auto"/>
        </w:rPr>
      </w:pPr>
    </w:p>
    <w:p>
      <w:pPr>
        <w:ind w:right="40" w:firstLine="424"/>
        <w:spacing w:after="0" w:line="277" w:lineRule="auto"/>
        <w:rPr>
          <w:sz w:val="20"/>
          <w:szCs w:val="20"/>
          <w:color w:val="auto"/>
        </w:rPr>
      </w:pPr>
      <w:r>
        <w:rPr>
          <w:rFonts w:ascii="Arial" w:cs="Arial" w:eastAsia="Arial" w:hAnsi="Arial"/>
          <w:sz w:val="18"/>
          <w:szCs w:val="18"/>
          <w:color w:val="auto"/>
        </w:rPr>
        <w:t>Upfront payments, milestone payments and annual maintenance fees under license agreements are currently expensed in the period in which they are incurred.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180" w:firstLine="424"/>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40" w:firstLine="424"/>
        <w:spacing w:after="0" w:line="279" w:lineRule="auto"/>
        <w:rPr>
          <w:sz w:val="20"/>
          <w:szCs w:val="20"/>
          <w:color w:val="auto"/>
        </w:rPr>
      </w:pPr>
      <w:r>
        <w:rPr>
          <w:rFonts w:ascii="Arial" w:cs="Arial" w:eastAsia="Arial" w:hAnsi="Arial"/>
          <w:sz w:val="17"/>
          <w:szCs w:val="17"/>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77" w:lineRule="exact"/>
        <w:rPr>
          <w:sz w:val="20"/>
          <w:szCs w:val="20"/>
          <w:color w:val="auto"/>
        </w:rPr>
      </w:pPr>
    </w:p>
    <w:p>
      <w:pPr>
        <w:ind w:right="300" w:firstLine="424"/>
        <w:spacing w:after="0" w:line="342" w:lineRule="auto"/>
        <w:rPr>
          <w:sz w:val="20"/>
          <w:szCs w:val="20"/>
          <w:color w:val="auto"/>
        </w:rPr>
      </w:pPr>
      <w:r>
        <w:rPr>
          <w:rFonts w:ascii="Arial" w:cs="Arial" w:eastAsia="Arial" w:hAnsi="Arial"/>
          <w:sz w:val="16"/>
          <w:szCs w:val="16"/>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16" w:lineRule="exact"/>
        <w:rPr>
          <w:sz w:val="20"/>
          <w:szCs w:val="20"/>
          <w:color w:val="auto"/>
        </w:rPr>
      </w:pPr>
    </w:p>
    <w:p>
      <w:pPr>
        <w:ind w:firstLine="424"/>
        <w:spacing w:after="0" w:line="254" w:lineRule="auto"/>
        <w:rPr>
          <w:sz w:val="20"/>
          <w:szCs w:val="20"/>
          <w:color w:val="auto"/>
        </w:rPr>
      </w:pPr>
      <w:r>
        <w:rPr>
          <w:rFonts w:ascii="Arial" w:cs="Arial" w:eastAsia="Arial" w:hAnsi="Arial"/>
          <w:sz w:val="18"/>
          <w:szCs w:val="18"/>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24"/>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condensed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70" w:lineRule="exact"/>
        <w:rPr>
          <w:sz w:val="20"/>
          <w:szCs w:val="20"/>
          <w:color w:val="auto"/>
        </w:rPr>
      </w:pPr>
    </w:p>
    <w:p>
      <w:pPr>
        <w:ind w:right="340" w:firstLine="424"/>
        <w:spacing w:after="0" w:line="293"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424"/>
        <w:spacing w:after="0" w:line="296"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and six months ended June 30, 2021 and 2020 includes the weighted average effect of 628,403 prefunded warrants for the purchase of shares of common stock, which were issued in June 2020, and for which the remaining unfunded exercise price is $0.01 per share.</w:t>
      </w:r>
    </w:p>
    <w:p>
      <w:pPr>
        <w:spacing w:after="0" w:line="53" w:lineRule="exact"/>
        <w:rPr>
          <w:sz w:val="20"/>
          <w:szCs w:val="20"/>
          <w:color w:val="auto"/>
        </w:rPr>
      </w:pPr>
    </w:p>
    <w:p>
      <w:pPr>
        <w:ind w:right="100" w:firstLine="424"/>
        <w:spacing w:after="0" w:line="296" w:lineRule="auto"/>
        <w:rPr>
          <w:sz w:val="20"/>
          <w:szCs w:val="20"/>
          <w:color w:val="auto"/>
        </w:rPr>
      </w:pPr>
      <w:r>
        <w:rPr>
          <w:rFonts w:ascii="Arial" w:cs="Arial" w:eastAsia="Arial" w:hAnsi="Arial"/>
          <w:sz w:val="16"/>
          <w:szCs w:val="16"/>
          <w:color w:val="auto"/>
        </w:rPr>
        <w:t>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80" w:lineRule="exact"/>
        <w:rPr>
          <w:sz w:val="20"/>
          <w:szCs w:val="20"/>
          <w:color w:val="auto"/>
        </w:rPr>
      </w:pPr>
    </w:p>
    <w:p>
      <w:pPr>
        <w:ind w:right="20" w:firstLine="424"/>
        <w:spacing w:after="0" w:line="263" w:lineRule="auto"/>
        <w:rPr>
          <w:sz w:val="20"/>
          <w:szCs w:val="20"/>
          <w:color w:val="auto"/>
        </w:rPr>
      </w:pPr>
      <w:r>
        <w:rPr>
          <w:rFonts w:ascii="Arial" w:cs="Arial" w:eastAsia="Arial" w:hAnsi="Arial"/>
          <w:sz w:val="18"/>
          <w:szCs w:val="18"/>
          <w:color w:val="auto"/>
        </w:rPr>
        <w:t>The Company excluded 2,546,962 and 727,024 common stock equivalents, outstanding as of June 30, 2021 and 2020, respectively, from the computation of diluted net loss per share for the three and six months ended June 30, 2021 and 2020 because they had an anti-dilutive impact due to the net loss incurred for the periods.</w:t>
      </w:r>
    </w:p>
    <w:p>
      <w:pPr>
        <w:spacing w:after="0" w:line="89" w:lineRule="exact"/>
        <w:rPr>
          <w:sz w:val="20"/>
          <w:szCs w:val="20"/>
          <w:color w:val="auto"/>
        </w:rPr>
      </w:pPr>
    </w:p>
    <w:p>
      <w:pPr>
        <w:ind w:right="60" w:firstLine="424"/>
        <w:spacing w:after="0" w:line="279" w:lineRule="auto"/>
        <w:rPr>
          <w:sz w:val="20"/>
          <w:szCs w:val="20"/>
          <w:color w:val="auto"/>
        </w:rPr>
      </w:pPr>
      <w:r>
        <w:rPr>
          <w:rFonts w:ascii="Arial" w:cs="Arial" w:eastAsia="Arial" w:hAnsi="Arial"/>
          <w:sz w:val="18"/>
          <w:szCs w:val="18"/>
          <w:color w:val="auto"/>
        </w:rPr>
        <w:t>Prior to the Merger the Company did not have options to purchase common stock or unvested restricted common stock to exclude from the calculation of earnings per share as all outstanding options were for common units of Holdings that upon the Merger converted into options exercisable for the shares of common stock of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right="20" w:firstLine="424"/>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FASB subsequently issued amendments to ASU 2016-13. This standard requires entities to estimate an expected lifetime credit loss on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condensed consolidated financial statements and related disclosures.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jc w:val="both"/>
        <w:ind w:right="440" w:firstLine="424"/>
        <w:spacing w:after="0" w:line="31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standard modifies certain disclosure requirements on fair value measurements. This standard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the Company on January 1, 2020. The adoption of this standard did not have a material impact on the Company’s disclosures.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Merger Accounting</w:t>
      </w:r>
    </w:p>
    <w:p>
      <w:pPr>
        <w:spacing w:after="0" w:line="121" w:lineRule="exact"/>
        <w:rPr>
          <w:sz w:val="20"/>
          <w:szCs w:val="20"/>
          <w:color w:val="auto"/>
        </w:rPr>
      </w:pPr>
    </w:p>
    <w:p>
      <w:pPr>
        <w:ind w:right="100" w:firstLine="424"/>
        <w:spacing w:after="0" w:line="255" w:lineRule="auto"/>
        <w:rPr>
          <w:sz w:val="20"/>
          <w:szCs w:val="20"/>
          <w:color w:val="auto"/>
        </w:rPr>
      </w:pPr>
      <w:r>
        <w:rPr>
          <w:rFonts w:ascii="Arial" w:cs="Arial" w:eastAsia="Arial" w:hAnsi="Arial"/>
          <w:sz w:val="18"/>
          <w:szCs w:val="18"/>
          <w:color w:val="auto"/>
        </w:rPr>
        <w:t>On May 28, 2020, the Company completed its merger with Zafgen. Based on the Exchange Ratio,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Holdings, the former Chondrial stockholder,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84" w:lineRule="exact"/>
        <w:rPr>
          <w:sz w:val="20"/>
          <w:szCs w:val="20"/>
          <w:color w:val="auto"/>
        </w:rPr>
      </w:pPr>
    </w:p>
    <w:p>
      <w:pPr>
        <w:ind w:right="100" w:firstLine="424"/>
        <w:spacing w:after="0" w:line="263" w:lineRule="auto"/>
        <w:rPr>
          <w:sz w:val="20"/>
          <w:szCs w:val="20"/>
          <w:color w:val="auto"/>
        </w:rPr>
      </w:pPr>
      <w:r>
        <w:rPr>
          <w:rFonts w:ascii="Arial" w:cs="Arial" w:eastAsia="Arial" w:hAnsi="Arial"/>
          <w:sz w:val="18"/>
          <w:szCs w:val="18"/>
          <w:color w:val="auto"/>
        </w:rPr>
        <w:t>In addition, pursuant to the terms of the Merger Agreement, the Company assumed all outstanding stock options to purchase shares of Zafgen common stock at the closing of the Merger. At the closing of the Merger, such stock options became options to purchase an aggregate of 328,770 shares of the Company’s common stock after giving effect to the Reverse Stock Split.</w:t>
      </w:r>
    </w:p>
    <w:p>
      <w:pPr>
        <w:spacing w:after="0" w:line="76" w:lineRule="exact"/>
        <w:rPr>
          <w:sz w:val="20"/>
          <w:szCs w:val="20"/>
          <w:color w:val="auto"/>
        </w:rPr>
      </w:pPr>
    </w:p>
    <w:p>
      <w:pPr>
        <w:jc w:val="both"/>
        <w:ind w:right="140" w:firstLine="424"/>
        <w:spacing w:after="0" w:line="329" w:lineRule="auto"/>
        <w:rPr>
          <w:sz w:val="20"/>
          <w:szCs w:val="20"/>
          <w:color w:val="auto"/>
        </w:rPr>
      </w:pPr>
      <w:r>
        <w:rPr>
          <w:rFonts w:ascii="Arial" w:cs="Arial" w:eastAsia="Arial" w:hAnsi="Arial"/>
          <w:sz w:val="16"/>
          <w:szCs w:val="16"/>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shares of the combined organization owned by Zafgen stockholders</w:t>
            </w:r>
            <w:r>
              <w:rPr>
                <w:rFonts w:ascii="Arial" w:cs="Arial" w:eastAsia="Arial" w:hAnsi="Arial"/>
                <w:sz w:val="15"/>
                <w:szCs w:val="15"/>
                <w:color w:val="auto"/>
              </w:rPr>
              <w:t>(1)</w:t>
            </w:r>
          </w:p>
        </w:tc>
        <w:tc>
          <w:tcPr>
            <w:tcW w:w="17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3,124,337</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Multiplied by the fair value per share of Zafgen common stock</w:t>
            </w:r>
            <w:r>
              <w:rPr>
                <w:rFonts w:ascii="Arial" w:cs="Arial" w:eastAsia="Arial" w:hAnsi="Arial"/>
                <w:sz w:val="15"/>
                <w:szCs w:val="15"/>
                <w:color w:val="auto"/>
              </w:rPr>
              <w:t>(2)</w:t>
            </w:r>
          </w:p>
        </w:tc>
        <w:tc>
          <w:tcPr>
            <w:tcW w:w="232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r>
      <w:tr>
        <w:trPr>
          <w:trHeight w:val="223"/>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Fair value of consideration issued in effect of the Merger</w:t>
            </w:r>
          </w:p>
        </w:tc>
        <w:tc>
          <w:tcPr>
            <w:tcW w:w="17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232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9"/>
                <w:szCs w:val="19"/>
                <w:color w:val="auto"/>
              </w:rPr>
            </w:pPr>
          </w:p>
        </w:tc>
      </w:tr>
      <w:tr>
        <w:trPr>
          <w:trHeight w:val="223"/>
        </w:trPr>
        <w:tc>
          <w:tcPr>
            <w:tcW w:w="7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price:</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438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840" w:right="240" w:hanging="414"/>
        <w:spacing w:after="0" w:line="258" w:lineRule="auto"/>
        <w:tabs>
          <w:tab w:leader="none" w:pos="84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number of shares of 3,124,337 represents the historical 37,492,044 shares of Zafgen common stock outstanding immediately prior to the closing of the Merger, adjusted for the Reverse Stock Split.</w:t>
      </w:r>
    </w:p>
    <w:p>
      <w:pPr>
        <w:spacing w:after="0" w:line="1" w:lineRule="exact"/>
        <w:rPr>
          <w:rFonts w:ascii="Arial" w:cs="Arial" w:eastAsia="Arial" w:hAnsi="Arial"/>
          <w:sz w:val="15"/>
          <w:szCs w:val="15"/>
          <w:color w:val="auto"/>
        </w:rPr>
      </w:pPr>
    </w:p>
    <w:p>
      <w:pPr>
        <w:ind w:left="840" w:right="220" w:hanging="414"/>
        <w:spacing w:after="0" w:line="260" w:lineRule="auto"/>
        <w:tabs>
          <w:tab w:leader="none" w:pos="840" w:val="left"/>
        </w:tabs>
        <w:numPr>
          <w:ilvl w:val="0"/>
          <w:numId w:val="7"/>
        </w:numPr>
        <w:rPr>
          <w:rFonts w:ascii="Arial" w:cs="Arial" w:eastAsia="Arial" w:hAnsi="Arial"/>
          <w:sz w:val="15"/>
          <w:szCs w:val="15"/>
          <w:color w:val="auto"/>
        </w:rPr>
      </w:pPr>
      <w:r>
        <w:rPr>
          <w:rFonts w:ascii="Arial" w:cs="Arial" w:eastAsia="Arial" w:hAnsi="Arial"/>
          <w:sz w:val="18"/>
          <w:szCs w:val="18"/>
          <w:color w:val="auto"/>
        </w:rPr>
        <w:t>Based on the last reported sale price of Zafgen common stock on the Nasdaq Global Market on May 28, 2020, the closing date of the Merger, and after giving effect to the Reverse Stock Split.</w:t>
      </w:r>
    </w:p>
    <w:p>
      <w:pPr>
        <w:spacing w:after="0" w:line="77" w:lineRule="exact"/>
        <w:rPr>
          <w:sz w:val="20"/>
          <w:szCs w:val="20"/>
          <w:color w:val="auto"/>
        </w:rPr>
      </w:pPr>
    </w:p>
    <w:p>
      <w:pPr>
        <w:ind w:right="60" w:firstLine="424"/>
        <w:spacing w:after="0" w:line="263" w:lineRule="auto"/>
        <w:rPr>
          <w:sz w:val="20"/>
          <w:szCs w:val="20"/>
          <w:color w:val="auto"/>
        </w:rPr>
      </w:pPr>
      <w:r>
        <w:rPr>
          <w:rFonts w:ascii="Arial" w:cs="Arial" w:eastAsia="Arial" w:hAnsi="Arial"/>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The following summarizes the allocation of the purchase price to the net tangible and intangible assets acquired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90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5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5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Right-of-use asset</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Lease liability, net of current portion</w:t>
            </w:r>
          </w:p>
        </w:tc>
        <w:tc>
          <w:tcPr>
            <w:tcW w:w="5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Purchase price</w:t>
            </w:r>
          </w:p>
        </w:tc>
        <w:tc>
          <w:tcPr>
            <w:tcW w:w="5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180" w:type="dxa"/>
            <w:vAlign w:val="bottom"/>
            <w:vMerge w:val="restart"/>
          </w:tcPr>
          <w:p>
            <w:pPr>
              <w:jc w:val="right"/>
              <w:ind w:right="3450"/>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8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00" w:firstLine="424"/>
        <w:spacing w:after="0" w:line="279"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June 30, 2021 and December 31, 2020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661"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Level – 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Inputs to the valuation methodology are quoted prices (unadjusted) for identical assets or liabilities in active markets.</w:t>
      </w:r>
    </w:p>
    <w:p>
      <w:pPr>
        <w:spacing w:after="0" w:line="140" w:lineRule="exact"/>
        <w:rPr>
          <w:sz w:val="20"/>
          <w:szCs w:val="20"/>
          <w:color w:val="auto"/>
        </w:rPr>
      </w:pPr>
    </w:p>
    <w:p>
      <w:pPr>
        <w:sectPr>
          <w:pgSz w:w="11900" w:h="16838" w:orient="portrait"/>
          <w:cols w:equalWidth="0" w:num="2">
            <w:col w:w="680" w:space="640"/>
            <w:col w:w="9920"/>
          </w:cols>
          <w:pgMar w:left="320" w:top="661" w:right="339" w:bottom="1440" w:gutter="0" w:footer="0" w:header="0"/>
          <w:type w:val="continuous"/>
        </w:sectPr>
      </w:pPr>
    </w:p>
    <w:p>
      <w:pPr>
        <w:spacing w:after="0"/>
        <w:rPr>
          <w:sz w:val="20"/>
          <w:szCs w:val="20"/>
          <w:color w:val="auto"/>
        </w:rPr>
      </w:pPr>
      <w:r>
        <w:rPr>
          <w:rFonts w:ascii="Arial" w:cs="Arial" w:eastAsia="Arial" w:hAnsi="Arial"/>
          <w:sz w:val="16"/>
          <w:szCs w:val="16"/>
          <w:color w:val="auto"/>
        </w:rPr>
        <w:t>Level – 2</w:t>
      </w:r>
    </w:p>
    <w:p>
      <w:pPr>
        <w:spacing w:after="0" w:line="20" w:lineRule="exact"/>
        <w:rPr>
          <w:sz w:val="20"/>
          <w:szCs w:val="20"/>
          <w:color w:val="auto"/>
        </w:rPr>
      </w:pPr>
      <w:r>
        <w:rPr>
          <w:sz w:val="20"/>
          <w:szCs w:val="20"/>
          <w:color w:val="auto"/>
        </w:rPr>
        <w:br w:type="column"/>
      </w:r>
    </w:p>
    <w:p>
      <w:pPr>
        <w:ind w:right="760"/>
        <w:spacing w:after="0" w:line="342" w:lineRule="auto"/>
        <w:rPr>
          <w:sz w:val="20"/>
          <w:szCs w:val="20"/>
          <w:color w:val="auto"/>
        </w:rPr>
      </w:pP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6" w:lineRule="exact"/>
        <w:rPr>
          <w:sz w:val="20"/>
          <w:szCs w:val="20"/>
          <w:color w:val="auto"/>
        </w:rPr>
      </w:pPr>
    </w:p>
    <w:p>
      <w:pPr>
        <w:sectPr>
          <w:pgSz w:w="11900" w:h="16838" w:orient="portrait"/>
          <w:cols w:equalWidth="0" w:num="2">
            <w:col w:w="680" w:space="640"/>
            <w:col w:w="9920"/>
          </w:cols>
          <w:pgMar w:left="320" w:top="661" w:right="339" w:bottom="1440" w:gutter="0" w:footer="0" w:header="0"/>
          <w:type w:val="continuous"/>
        </w:sectPr>
      </w:pPr>
    </w:p>
    <w:p>
      <w:pPr>
        <w:spacing w:after="0"/>
        <w:rPr>
          <w:sz w:val="20"/>
          <w:szCs w:val="20"/>
          <w:color w:val="auto"/>
        </w:rPr>
      </w:pPr>
      <w:r>
        <w:rPr>
          <w:rFonts w:ascii="Arial" w:cs="Arial" w:eastAsia="Arial" w:hAnsi="Arial"/>
          <w:sz w:val="16"/>
          <w:szCs w:val="16"/>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are unobservable and significant to the fair value measurement.</w:t>
      </w:r>
    </w:p>
    <w:p>
      <w:pPr>
        <w:spacing w:after="0" w:line="140" w:lineRule="exact"/>
        <w:rPr>
          <w:sz w:val="20"/>
          <w:szCs w:val="20"/>
          <w:color w:val="auto"/>
        </w:rPr>
      </w:pPr>
    </w:p>
    <w:p>
      <w:pPr>
        <w:sectPr>
          <w:pgSz w:w="11900" w:h="16838" w:orient="portrait"/>
          <w:cols w:equalWidth="0" w:num="2">
            <w:col w:w="680" w:space="640"/>
            <w:col w:w="9920"/>
          </w:cols>
          <w:pgMar w:left="320" w:top="661" w:right="339" w:bottom="1440" w:gutter="0" w:footer="0" w:header="0"/>
          <w:type w:val="continuous"/>
        </w:sectPr>
      </w:pPr>
    </w:p>
    <w:p>
      <w:pPr>
        <w:ind w:right="60" w:firstLine="424"/>
        <w:spacing w:after="0" w:line="263" w:lineRule="auto"/>
        <w:rPr>
          <w:sz w:val="20"/>
          <w:szCs w:val="20"/>
          <w:color w:val="auto"/>
        </w:rPr>
      </w:pPr>
      <w:r>
        <w:rPr>
          <w:rFonts w:ascii="Arial" w:cs="Arial" w:eastAsia="Arial" w:hAnsi="Arial"/>
          <w:sz w:val="18"/>
          <w:szCs w:val="18"/>
          <w:color w:val="auto"/>
        </w:rPr>
        <w:t>The Company’s financial instruments consist primarily of cash, cash equivalents, marketable debt securities, accounts payable and accrued liabilities. For accounts payable and accrued liabilities, the carrying amounts of these financial instruments as of June 30, 2021 and December 31, 2020 were considered representative of their fair values due to their short term to maturity.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the Company’s cash equivalents and marketable debt securities as of June 30, 2021 and December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136"/>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7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center"/>
              <w:ind w:right="55"/>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right"/>
              <w:ind w:right="715"/>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June 30, 2021</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12,978</w:t>
            </w:r>
          </w:p>
        </w:tc>
        <w:tc>
          <w:tcPr>
            <w:tcW w:w="4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12,978</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cash equivalents</w:t>
            </w:r>
          </w:p>
        </w:tc>
        <w:tc>
          <w:tcPr>
            <w:tcW w:w="1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4,229</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4,229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debt securities: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U.S. Government securities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Total marketable debt securities</w:t>
            </w:r>
          </w:p>
        </w:tc>
        <w:tc>
          <w:tcPr>
            <w:tcW w:w="10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equivalents and marketable debt securities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32,896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44" w:lineRule="exact"/>
        <w:rPr>
          <w:sz w:val="20"/>
          <w:szCs w:val="20"/>
          <w:color w:val="auto"/>
        </w:rPr>
      </w:pPr>
    </w:p>
    <w:p>
      <w:pPr>
        <w:ind w:right="680" w:firstLine="424"/>
        <w:spacing w:after="0" w:line="308" w:lineRule="auto"/>
        <w:rPr>
          <w:sz w:val="20"/>
          <w:szCs w:val="20"/>
          <w:color w:val="auto"/>
        </w:rPr>
      </w:pPr>
      <w:r>
        <w:rPr>
          <w:rFonts w:ascii="Arial" w:cs="Arial" w:eastAsia="Arial" w:hAnsi="Arial"/>
          <w:sz w:val="18"/>
          <w:szCs w:val="18"/>
          <w:color w:val="auto"/>
        </w:rPr>
        <w:t>The following tables summarize the Company’s marketable debt securities as of December 31, 2020. The Company held no marketable debt securities as of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00"/>
              <w:spacing w:after="0" w:line="15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99"/>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right"/>
              <w:ind w:right="92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securities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24,489</w:t>
            </w:r>
          </w:p>
        </w:tc>
        <w:tc>
          <w:tcPr>
            <w:tcW w:w="10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10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6"/>
        </w:trPr>
        <w:tc>
          <w:tcPr>
            <w:tcW w:w="7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expenses</w:t>
            </w: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2,945</w:t>
            </w:r>
          </w:p>
        </w:tc>
        <w:tc>
          <w:tcPr>
            <w:tcW w:w="6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Prepaid insurance</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Payroll tax receivable</w:t>
            </w: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 and other assets</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3,406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680" w:type="dxa"/>
            <w:vAlign w:val="bottom"/>
          </w:tcPr>
          <w:p>
            <w:pPr>
              <w:spacing w:after="0"/>
              <w:rPr>
                <w:sz w:val="14"/>
                <w:szCs w:val="14"/>
                <w:color w:val="auto"/>
              </w:rPr>
            </w:pPr>
          </w:p>
        </w:tc>
        <w:tc>
          <w:tcPr>
            <w:tcW w:w="3560" w:type="dxa"/>
            <w:vAlign w:val="bottom"/>
          </w:tcPr>
          <w:p>
            <w:pPr>
              <w:jc w:val="center"/>
              <w:ind w:left="1754"/>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4"/>
          </w:tcPr>
          <w:p>
            <w:pPr>
              <w:jc w:val="right"/>
              <w:ind w:right="93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560" w:type="dxa"/>
            <w:vAlign w:val="bottom"/>
            <w:shd w:val="clear" w:color="auto" w:fill="CFF0FC"/>
          </w:tcPr>
          <w:p>
            <w:pPr>
              <w:jc w:val="center"/>
              <w:ind w:left="1754"/>
              <w:spacing w:after="0"/>
              <w:rPr>
                <w:sz w:val="20"/>
                <w:szCs w:val="20"/>
                <w:color w:val="auto"/>
              </w:rPr>
            </w:pPr>
            <w:r>
              <w:rPr>
                <w:rFonts w:ascii="Arial" w:cs="Arial" w:eastAsia="Arial" w:hAnsi="Arial"/>
                <w:sz w:val="18"/>
                <w:szCs w:val="18"/>
                <w:color w:val="auto"/>
                <w:w w:val="88"/>
              </w:rPr>
              <w:t>5 years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Lab equipment</w:t>
            </w:r>
          </w:p>
        </w:tc>
        <w:tc>
          <w:tcPr>
            <w:tcW w:w="3560" w:type="dxa"/>
            <w:vAlign w:val="bottom"/>
          </w:tcPr>
          <w:p>
            <w:pPr>
              <w:jc w:val="center"/>
              <w:ind w:left="1754"/>
              <w:spacing w:after="0"/>
              <w:rPr>
                <w:sz w:val="20"/>
                <w:szCs w:val="20"/>
                <w:color w:val="auto"/>
              </w:rPr>
            </w:pPr>
            <w:r>
              <w:rPr>
                <w:rFonts w:ascii="Arial" w:cs="Arial" w:eastAsia="Arial" w:hAnsi="Arial"/>
                <w:sz w:val="18"/>
                <w:szCs w:val="18"/>
                <w:color w:val="auto"/>
                <w:w w:val="88"/>
              </w:rPr>
              <w:t>5 years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560" w:type="dxa"/>
            <w:vAlign w:val="bottom"/>
            <w:shd w:val="clear" w:color="auto" w:fill="CFF0FC"/>
          </w:tcPr>
          <w:p>
            <w:pPr>
              <w:jc w:val="center"/>
              <w:ind w:left="1754"/>
              <w:spacing w:after="0"/>
              <w:rPr>
                <w:sz w:val="20"/>
                <w:szCs w:val="20"/>
                <w:color w:val="auto"/>
              </w:rPr>
            </w:pPr>
            <w:r>
              <w:rPr>
                <w:rFonts w:ascii="Arial" w:cs="Arial" w:eastAsia="Arial" w:hAnsi="Arial"/>
                <w:sz w:val="18"/>
                <w:szCs w:val="18"/>
                <w:color w:val="auto"/>
                <w:w w:val="88"/>
              </w:rPr>
              <w:t>7 years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60" w:type="dxa"/>
            <w:vAlign w:val="bottom"/>
          </w:tcPr>
          <w:p>
            <w:pPr>
              <w:jc w:val="center"/>
              <w:ind w:left="1774"/>
              <w:spacing w:after="0"/>
              <w:rPr>
                <w:sz w:val="20"/>
                <w:szCs w:val="20"/>
                <w:color w:val="auto"/>
              </w:rPr>
            </w:pPr>
            <w:r>
              <w:rPr>
                <w:rFonts w:ascii="Arial" w:cs="Arial" w:eastAsia="Arial" w:hAnsi="Arial"/>
                <w:sz w:val="18"/>
                <w:szCs w:val="18"/>
                <w:color w:val="auto"/>
                <w:w w:val="88"/>
              </w:rPr>
              <w:t>lease term</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Borders>
              <w:top w:val="single" w:sz="8" w:color="CFF0FC"/>
            </w:tcBorders>
            <w:shd w:val="clear" w:color="auto" w:fill="CFF0FC"/>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223"/>
        </w:trPr>
        <w:tc>
          <w:tcPr>
            <w:tcW w:w="4680" w:type="dxa"/>
            <w:vAlign w:val="bottom"/>
            <w:tcBorders>
              <w:top w:val="single" w:sz="8" w:color="CFF0FC"/>
              <w:bottom w:val="single" w:sz="8" w:color="CFF0FC"/>
            </w:tcBorders>
            <w:shd w:val="clear" w:color="auto" w:fill="CFF0FC"/>
          </w:tcPr>
          <w:p>
            <w:pPr>
              <w:spacing w:after="0"/>
              <w:rPr>
                <w:sz w:val="19"/>
                <w:szCs w:val="19"/>
                <w:color w:val="auto"/>
              </w:rPr>
            </w:pPr>
          </w:p>
        </w:tc>
        <w:tc>
          <w:tcPr>
            <w:tcW w:w="3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expense during the six months ended June 30, 2021 and 2020 was $0.2 million and less than $0.1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440" w:type="dxa"/>
            <w:vAlign w:val="bottom"/>
          </w:tcPr>
          <w:p>
            <w:pPr>
              <w:ind w:left="140"/>
              <w:spacing w:after="0"/>
              <w:rPr>
                <w:sz w:val="20"/>
                <w:szCs w:val="20"/>
                <w:color w:val="auto"/>
              </w:rPr>
            </w:pPr>
            <w:r>
              <w:rPr>
                <w:rFonts w:ascii="Arial" w:cs="Arial" w:eastAsia="Arial" w:hAnsi="Arial"/>
                <w:sz w:val="18"/>
                <w:szCs w:val="18"/>
                <w:b w:val="1"/>
                <w:bCs w:val="1"/>
                <w:color w:val="auto"/>
              </w:rPr>
              <w:t>Accrued Expenses</w:t>
            </w: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28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Accrued payroll and related expenses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Accrued other</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19"/>
                <w:szCs w:val="19"/>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74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5,675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117" w:lineRule="exact"/>
        <w:rPr>
          <w:sz w:val="20"/>
          <w:szCs w:val="20"/>
          <w:color w:val="auto"/>
        </w:rPr>
      </w:pPr>
    </w:p>
    <w:p>
      <w:pPr>
        <w:ind w:right="60" w:firstLine="424"/>
        <w:spacing w:after="0" w:line="296" w:lineRule="auto"/>
        <w:rPr>
          <w:sz w:val="20"/>
          <w:szCs w:val="20"/>
          <w:color w:val="auto"/>
        </w:rPr>
      </w:pPr>
      <w:r>
        <w:rPr>
          <w:rFonts w:ascii="Arial" w:cs="Arial" w:eastAsia="Arial" w:hAnsi="Arial"/>
          <w:sz w:val="16"/>
          <w:szCs w:val="16"/>
          <w:color w:val="auto"/>
        </w:rPr>
        <w:t>As of June 30, 2021, the Company’s Certificate of Incorporation, as amended and restated, authorized the Company to issue 115,000,000 of $0.001 par value common stock and 5,000,000 of $0.001 par value preferred stock.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53" w:lineRule="exact"/>
        <w:rPr>
          <w:sz w:val="20"/>
          <w:szCs w:val="20"/>
          <w:color w:val="auto"/>
        </w:rPr>
      </w:pPr>
    </w:p>
    <w:p>
      <w:pPr>
        <w:ind w:right="60" w:firstLine="424"/>
        <w:spacing w:after="0" w:line="292" w:lineRule="auto"/>
        <w:rPr>
          <w:sz w:val="20"/>
          <w:szCs w:val="20"/>
          <w:color w:val="auto"/>
        </w:rPr>
      </w:pPr>
      <w:r>
        <w:rPr>
          <w:rFonts w:ascii="Arial" w:cs="Arial" w:eastAsia="Arial" w:hAnsi="Arial"/>
          <w:sz w:val="16"/>
          <w:szCs w:val="16"/>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we issued MTS Health Partners 35,260 shares of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117" w:lineRule="exact"/>
        <w:rPr>
          <w:sz w:val="20"/>
          <w:szCs w:val="20"/>
          <w:color w:val="auto"/>
        </w:rPr>
      </w:pPr>
    </w:p>
    <w:p>
      <w:pPr>
        <w:ind w:right="40" w:firstLine="424"/>
        <w:spacing w:after="0" w:line="263" w:lineRule="auto"/>
        <w:rPr>
          <w:sz w:val="20"/>
          <w:szCs w:val="20"/>
          <w:color w:val="auto"/>
        </w:rPr>
      </w:pPr>
      <w:r>
        <w:rPr>
          <w:rFonts w:ascii="Arial" w:cs="Arial" w:eastAsia="Arial" w:hAnsi="Arial"/>
          <w:sz w:val="18"/>
          <w:szCs w:val="18"/>
          <w:color w:val="auto"/>
        </w:rPr>
        <w:t>On August 14, 2020, the Company entered into the ATM Agreement with an investment bank in connection with the establishment of an “at-the-market” offering program under which the Company may sell up to an aggregate of $50,000,000 of shares of common stock (the “ATM Shares”) from time to time (the “Offering”).</w:t>
      </w:r>
    </w:p>
    <w:p>
      <w:pPr>
        <w:spacing w:after="0" w:line="76" w:lineRule="exact"/>
        <w:rPr>
          <w:sz w:val="20"/>
          <w:szCs w:val="20"/>
          <w:color w:val="auto"/>
        </w:rPr>
      </w:pPr>
    </w:p>
    <w:p>
      <w:pPr>
        <w:ind w:right="20" w:firstLine="424"/>
        <w:spacing w:after="0" w:line="289" w:lineRule="auto"/>
        <w:rPr>
          <w:sz w:val="20"/>
          <w:szCs w:val="20"/>
          <w:color w:val="auto"/>
        </w:rPr>
      </w:pPr>
      <w:r>
        <w:rPr>
          <w:rFonts w:ascii="Arial" w:cs="Arial" w:eastAsia="Arial" w:hAnsi="Arial"/>
          <w:sz w:val="16"/>
          <w:szCs w:val="16"/>
          <w:color w:val="auto"/>
        </w:rPr>
        <w:t>Under the ATM Agreement, the Company will set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 to be “at-the-market offerings” as defined in Rule 415 under the Securities Act. The Company will pay its investment bank a commission equal to 3.0% of the gross proceeds of any ATM Shares sold through its investment bank under the ATM Agreement and will reimburse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ATM Agreement. As of June 30, 2021, 11,524 shares of Common Stock have been sold under the ATM Agreement for net proceeds of $0.2 million at an average gross price per share of $21.89.</w:t>
      </w:r>
    </w:p>
    <w:p>
      <w:pPr>
        <w:spacing w:after="0" w:line="58" w:lineRule="exact"/>
        <w:rPr>
          <w:sz w:val="20"/>
          <w:szCs w:val="20"/>
          <w:color w:val="auto"/>
        </w:rPr>
      </w:pPr>
    </w:p>
    <w:p>
      <w:pPr>
        <w:ind w:right="60" w:firstLine="424"/>
        <w:spacing w:after="0" w:line="277" w:lineRule="auto"/>
        <w:rPr>
          <w:sz w:val="20"/>
          <w:szCs w:val="20"/>
          <w:color w:val="auto"/>
        </w:rPr>
      </w:pPr>
      <w:r>
        <w:rPr>
          <w:rFonts w:ascii="Arial" w:cs="Arial" w:eastAsia="Arial" w:hAnsi="Arial"/>
          <w:sz w:val="18"/>
          <w:szCs w:val="18"/>
          <w:color w:val="auto"/>
        </w:rPr>
        <w:t>In July 2021, the Company sold an additional 2,342,720 shares under the ATM Agreement for net proceeds of $19.9 million. As of August 10, 2021, the Company could sell up to $29.2 million under the ATM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Summary of Plans</w:t>
      </w:r>
    </w:p>
    <w:p>
      <w:pPr>
        <w:spacing w:after="0" w:line="117" w:lineRule="exact"/>
        <w:rPr>
          <w:sz w:val="20"/>
          <w:szCs w:val="20"/>
          <w:color w:val="auto"/>
        </w:rPr>
      </w:pPr>
    </w:p>
    <w:p>
      <w:pPr>
        <w:ind w:firstLine="424"/>
        <w:spacing w:after="0" w:line="259" w:lineRule="auto"/>
        <w:rPr>
          <w:sz w:val="20"/>
          <w:szCs w:val="20"/>
          <w:color w:val="auto"/>
        </w:rPr>
      </w:pPr>
      <w:r>
        <w:rPr>
          <w:rFonts w:ascii="Arial" w:cs="Arial" w:eastAsia="Arial" w:hAnsi="Arial"/>
          <w:sz w:val="18"/>
          <w:szCs w:val="18"/>
          <w:color w:val="auto"/>
        </w:rPr>
        <w:t>Upon completion of the Merger with Zafgen, Zafgen’s 2014 Stock Option and Incentive Plan (the “2014 Plan”) and Zafgen’s 2006 Stock Option Plan (the “2006 Plan” and together with the 2014 Plan the “Prior Plans”) were assumed by the Company. As described below, the Company adopted a new equity incentive plan in July 2020 that was approved by the stockholders in September 2020. These three plans are administered by the Board or, at the discretion of the Board, by a committee of the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140" w:firstLine="424"/>
        <w:spacing w:after="0" w:line="296" w:lineRule="auto"/>
        <w:rPr>
          <w:sz w:val="20"/>
          <w:szCs w:val="20"/>
          <w:color w:val="auto"/>
        </w:rPr>
      </w:pPr>
      <w:r>
        <w:rPr>
          <w:rFonts w:ascii="Arial" w:cs="Arial" w:eastAsia="Arial" w:hAnsi="Arial"/>
          <w:sz w:val="16"/>
          <w:szCs w:val="16"/>
          <w:color w:val="auto"/>
        </w:rPr>
        <w:t>The Company’s Board of Directors adopted the 2020 Equity Incentive Plan (the 2020 Plan) on July 16, 2020 and the stockholders of the Company approved the 2020 Plan on September 29, 2020. The 2020 Plan replaces the 2014 Plan. Option outstanding under the Prior Plans will remain outstanding, unchanged, and subject to the terms of the 2014 Plan and the respective award agreements, and no further awards will be made under the 2014 Plan.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161" w:lineRule="exact"/>
        <w:rPr>
          <w:sz w:val="20"/>
          <w:szCs w:val="20"/>
          <w:color w:val="auto"/>
        </w:rPr>
      </w:pPr>
    </w:p>
    <w:p>
      <w:pPr>
        <w:ind w:right="180" w:firstLine="424"/>
        <w:spacing w:after="0" w:line="301" w:lineRule="auto"/>
        <w:rPr>
          <w:sz w:val="20"/>
          <w:szCs w:val="20"/>
          <w:color w:val="auto"/>
        </w:rPr>
      </w:pPr>
      <w:r>
        <w:rPr>
          <w:rFonts w:ascii="Arial" w:cs="Arial" w:eastAsia="Arial" w:hAnsi="Arial"/>
          <w:sz w:val="16"/>
          <w:szCs w:val="16"/>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157" w:lineRule="exact"/>
        <w:rPr>
          <w:sz w:val="20"/>
          <w:szCs w:val="20"/>
          <w:color w:val="auto"/>
        </w:rPr>
      </w:pPr>
    </w:p>
    <w:p>
      <w:pPr>
        <w:ind w:firstLine="424"/>
        <w:spacing w:after="0" w:line="271" w:lineRule="auto"/>
        <w:rPr>
          <w:sz w:val="20"/>
          <w:szCs w:val="20"/>
          <w:color w:val="auto"/>
        </w:rPr>
      </w:pPr>
      <w:r>
        <w:rPr>
          <w:rFonts w:ascii="Arial" w:cs="Arial" w:eastAsia="Arial" w:hAnsi="Arial"/>
          <w:sz w:val="17"/>
          <w:szCs w:val="17"/>
          <w:color w:val="auto"/>
        </w:rPr>
        <w:t>As of June 30, 2021, 970,349 shares of common stock were available for grant under the 2020 Plan. 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(collectively, the “Plan Limit”). As permitted by the plan, the Company added 614,709 shares available for grant to the 2020 Plan on January 1, 2021 increasing the maximum number of shares of the Company’s common stock that may be issued under the 2020 plan to 2,314,709 shares. The maximum aggregate number of shares that may be issued under the 2020 Plan in respect of incentive stock options is 8,000,000 over the ten-year term of the 2020 Plan. On May 28, 2021, options to purchase 38,090 shares issued under the 2014 Plan were cancelled and became available under the 2020 Plan.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Incentive Plan and 2006 Stock Option Plan</w:t>
      </w:r>
    </w:p>
    <w:p>
      <w:pPr>
        <w:spacing w:after="0" w:line="117" w:lineRule="exact"/>
        <w:rPr>
          <w:sz w:val="20"/>
          <w:szCs w:val="20"/>
          <w:color w:val="auto"/>
        </w:rPr>
      </w:pPr>
    </w:p>
    <w:p>
      <w:pPr>
        <w:ind w:right="100" w:firstLine="424"/>
        <w:spacing w:after="0" w:line="257" w:lineRule="auto"/>
        <w:rPr>
          <w:sz w:val="20"/>
          <w:szCs w:val="20"/>
          <w:color w:val="auto"/>
        </w:rPr>
      </w:pPr>
      <w:r>
        <w:rPr>
          <w:rFonts w:ascii="Arial" w:cs="Arial" w:eastAsia="Arial" w:hAnsi="Arial"/>
          <w:sz w:val="18"/>
          <w:szCs w:val="18"/>
          <w:color w:val="auto"/>
        </w:rPr>
        <w:t>In 2014, the Board and stockholders of Zafgen adopted the 2014 Plan. The 2014 Plan provided for the grant of stock options, stock appreciation rights, restricted stock awards, restricted stock units, unrestricted stock awards, performance-share awards, cash-based awards and dividend equivalent rights to employees, members of the Board and consultants of the Company. The number of shares initially reserved for issuance under the 2014 Plan was 180,685 shares of common stock. As the 2020 Plan was adopted by the Company and approved by the Company’s stockholders, no further awards will be made under the Prior Plans.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and Incentive Plan</w:t>
      </w:r>
    </w:p>
    <w:p>
      <w:pPr>
        <w:spacing w:after="0" w:line="117" w:lineRule="exact"/>
        <w:rPr>
          <w:sz w:val="20"/>
          <w:szCs w:val="20"/>
          <w:color w:val="auto"/>
        </w:rPr>
      </w:pPr>
    </w:p>
    <w:p>
      <w:pPr>
        <w:ind w:right="20" w:firstLine="424"/>
        <w:spacing w:after="0" w:line="255" w:lineRule="auto"/>
        <w:rPr>
          <w:sz w:val="20"/>
          <w:szCs w:val="20"/>
          <w:color w:val="auto"/>
        </w:rPr>
      </w:pPr>
      <w:r>
        <w:rPr>
          <w:rFonts w:ascii="Arial" w:cs="Arial" w:eastAsia="Arial" w:hAnsi="Arial"/>
          <w:sz w:val="18"/>
          <w:szCs w:val="18"/>
          <w:color w:val="auto"/>
        </w:rPr>
        <w:t>Under the 2016 Equity Plan adopted by Holdings on November 30, 2016, (the “2016 Equity Incentive Plan”), the Board of Managers of Holdings (the “Board of Managers”) or a committee thereof was authorized to issue 122,133 Common Units of Holdings or combination of Common Units, Common Unit options or profit interest units. On March 23, 2018, the Board of Managers increased the number of Common Units reserved for grant and issuance pursuant to the 2016 Plan from 122,133 to 138,133 and on April 29, 2019 increased the number of Common Units reserved for grant and issuance pursuant to the 2016 Plan by an additional 101,500 to 239,633. The Company has recorded costs incurred as stock-based compensation with a corresponding capital contribution from Holdings.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From January 1, 2020 through the Merger date Holdings did not issue options to purchase Common Units to employees of the Company.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ind w:right="160" w:firstLine="424"/>
        <w:spacing w:after="0" w:line="259" w:lineRule="auto"/>
        <w:rPr>
          <w:sz w:val="20"/>
          <w:szCs w:val="20"/>
          <w:color w:val="auto"/>
        </w:rPr>
      </w:pPr>
      <w:r>
        <w:rPr>
          <w:rFonts w:ascii="Arial" w:cs="Arial" w:eastAsia="Arial" w:hAnsi="Arial"/>
          <w:sz w:val="18"/>
          <w:szCs w:val="18"/>
          <w:color w:val="auto"/>
        </w:rPr>
        <w:t>The Company assumed all of the outstanding and unexercised options to purchase units of Holdings upon consummation of the Merger. Pursuant to the terms of the Merger Agreement, options to purchase 330,818 shares of the Company’s common stock at a weighted average exercise price of $12.14 per share were substituted for the 202,392 options to purchase Common Units, with a weighted average exercise price of $10.36 per Common Unit, that were outstanding immediately prior to the Merger.</w:t>
      </w:r>
    </w:p>
    <w:p>
      <w:pPr>
        <w:spacing w:after="0" w:line="79" w:lineRule="exact"/>
        <w:rPr>
          <w:sz w:val="20"/>
          <w:szCs w:val="20"/>
          <w:color w:val="auto"/>
        </w:rPr>
      </w:pPr>
    </w:p>
    <w:p>
      <w:pPr>
        <w:ind w:right="100" w:firstLine="424"/>
        <w:spacing w:after="0" w:line="259" w:lineRule="auto"/>
        <w:rPr>
          <w:sz w:val="20"/>
          <w:szCs w:val="20"/>
          <w:color w:val="auto"/>
        </w:rPr>
      </w:pPr>
      <w:r>
        <w:rPr>
          <w:rFonts w:ascii="Arial" w:cs="Arial" w:eastAsia="Arial" w:hAnsi="Arial"/>
          <w:sz w:val="18"/>
          <w:szCs w:val="18"/>
          <w:color w:val="auto"/>
        </w:rPr>
        <w:t xml:space="preserve">The Company treated the conversion as a modification pursuant to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calculated the pre- and post-modification value of the options. The increase in fair value of the options was calculated to be $1.2 million. As $0.7 million related to vested options the expense was recognized immediately on the Merger date, the remaining $0.5 million is recognized over the remaining vesting term with the original grant date fair value remaining of $0.1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Valuation</w:t>
      </w:r>
    </w:p>
    <w:p>
      <w:pPr>
        <w:spacing w:after="0" w:line="117" w:lineRule="exact"/>
        <w:rPr>
          <w:sz w:val="20"/>
          <w:szCs w:val="20"/>
          <w:color w:val="auto"/>
        </w:rPr>
      </w:pPr>
    </w:p>
    <w:p>
      <w:pPr>
        <w:ind w:right="240" w:firstLine="424"/>
        <w:spacing w:after="0" w:line="277" w:lineRule="auto"/>
        <w:rPr>
          <w:sz w:val="20"/>
          <w:szCs w:val="20"/>
          <w:color w:val="auto"/>
        </w:rPr>
      </w:pPr>
      <w:r>
        <w:rPr>
          <w:rFonts w:ascii="Arial" w:cs="Arial" w:eastAsia="Arial" w:hAnsi="Arial"/>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82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30,</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0.88%</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40" w:type="dxa"/>
            <w:vAlign w:val="bottom"/>
          </w:tcPr>
          <w:p>
            <w:pPr>
              <w:jc w:val="right"/>
              <w:ind w:right="476"/>
              <w:spacing w:after="0"/>
              <w:rPr>
                <w:sz w:val="20"/>
                <w:szCs w:val="20"/>
                <w:color w:val="auto"/>
              </w:rPr>
            </w:pPr>
            <w:r>
              <w:rPr>
                <w:rFonts w:ascii="Arial" w:cs="Arial" w:eastAsia="Arial" w:hAnsi="Arial"/>
                <w:sz w:val="18"/>
                <w:szCs w:val="18"/>
                <w:color w:val="auto"/>
              </w:rPr>
              <w:t>6.19</w:t>
            </w:r>
          </w:p>
        </w:tc>
        <w:tc>
          <w:tcPr>
            <w:tcW w:w="280" w:type="dxa"/>
            <w:vAlign w:val="bottom"/>
          </w:tcPr>
          <w:p>
            <w:pPr>
              <w:spacing w:after="0"/>
              <w:rPr>
                <w:sz w:val="19"/>
                <w:szCs w:val="19"/>
                <w:color w:val="auto"/>
              </w:rPr>
            </w:pPr>
          </w:p>
        </w:tc>
        <w:tc>
          <w:tcPr>
            <w:tcW w:w="1560" w:type="dxa"/>
            <w:vAlign w:val="bottom"/>
          </w:tcPr>
          <w:p>
            <w:pPr>
              <w:jc w:val="right"/>
              <w:ind w:right="496"/>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91%</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91%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2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20"/>
                <w:szCs w:val="20"/>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24"/>
        <w:spacing w:after="0" w:line="277" w:lineRule="auto"/>
        <w:rPr>
          <w:sz w:val="20"/>
          <w:szCs w:val="20"/>
          <w:color w:val="auto"/>
        </w:rPr>
      </w:pPr>
      <w:r>
        <w:rPr>
          <w:rFonts w:ascii="Arial" w:cs="Arial" w:eastAsia="Arial" w:hAnsi="Arial"/>
          <w:sz w:val="18"/>
          <w:szCs w:val="18"/>
          <w:color w:val="auto"/>
        </w:rPr>
        <w:t>The following table summarizes the Company’s stock option activity for the six months ended June 30, 2021 (amounts in millions, except for share and per share data):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0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Exercise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Value (a)</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2,008,902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603,050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Forfeited/Expired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(64,990)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Outstanding as of June 30,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8.1</w:t>
            </w:r>
          </w:p>
        </w:tc>
        <w:tc>
          <w:tcPr>
            <w:tcW w:w="380" w:type="dxa"/>
            <w:vAlign w:val="bottom"/>
            <w:tcBorders>
              <w:top w:val="single" w:sz="8" w:color="CFF0FC"/>
              <w:bottom w:val="single" w:sz="8" w:color="CFF0FC"/>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vMerge w:val="restart"/>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2,546,962</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CFF0FC"/>
            </w:tcBorders>
            <w:gridSpan w:val="2"/>
            <w:vMerge w:val="continue"/>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Exercisable as of June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597,801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39.35</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Vested and expected to vest as of June 30, 2021</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2,546,962</w:t>
            </w:r>
          </w:p>
        </w:tc>
        <w:tc>
          <w:tcPr>
            <w:tcW w:w="1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40" w:right="480" w:hanging="311"/>
        <w:spacing w:after="0" w:line="277"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June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Option Grants</w:t>
      </w:r>
    </w:p>
    <w:p>
      <w:pPr>
        <w:spacing w:after="0" w:line="117" w:lineRule="exact"/>
        <w:rPr>
          <w:sz w:val="20"/>
          <w:szCs w:val="20"/>
          <w:color w:val="auto"/>
        </w:rPr>
      </w:pPr>
    </w:p>
    <w:p>
      <w:pPr>
        <w:ind w:firstLine="424"/>
        <w:spacing w:after="0" w:line="279" w:lineRule="auto"/>
        <w:rPr>
          <w:sz w:val="20"/>
          <w:szCs w:val="20"/>
          <w:color w:val="auto"/>
        </w:rPr>
      </w:pPr>
      <w:r>
        <w:rPr>
          <w:rFonts w:ascii="Arial" w:cs="Arial" w:eastAsia="Arial" w:hAnsi="Arial"/>
          <w:sz w:val="17"/>
          <w:szCs w:val="17"/>
          <w:color w:val="auto"/>
        </w:rPr>
        <w:t>During the six months ended June 30, 2021, the Company granted options to purchase 603,050 shares of common stock to employees and directors of the Company under the 2020 Plan. The options have an exercise price equal to the closing stock price as of the grant date. Of the 603,050 options granted in 2021, 553,250 vest over four years, with 25% vesting on the first anniversary of the grant and the remainder vesting in equal monthly installments thereafter, the remaining 49,800 options were annual grants to directors and vest one year from the grant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gridSpan w:val="3"/>
          </w:tcPr>
          <w:p>
            <w:pPr>
              <w:jc w:val="right"/>
              <w:ind w:right="43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0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199</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5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1,350</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752</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24"/>
        <w:spacing w:after="0" w:line="277" w:lineRule="auto"/>
        <w:rPr>
          <w:sz w:val="20"/>
          <w:szCs w:val="20"/>
          <w:color w:val="auto"/>
        </w:rPr>
      </w:pPr>
      <w:r>
        <w:rPr>
          <w:rFonts w:ascii="Arial" w:cs="Arial" w:eastAsia="Arial" w:hAnsi="Arial"/>
          <w:sz w:val="18"/>
          <w:szCs w:val="18"/>
          <w:color w:val="auto"/>
        </w:rPr>
        <w:t>As of June 30, 2021, total unrecognized compensation expense related to unvested stock options and restricted stock units was $17.7 million, which is expected to be recognized over a weighted average period of 3.12 years.</w:t>
      </w:r>
    </w:p>
    <w:p>
      <w:pPr>
        <w:spacing w:after="0" w:line="166"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right="200" w:firstLine="424"/>
        <w:spacing w:after="0" w:line="259" w:lineRule="auto"/>
        <w:rPr>
          <w:sz w:val="20"/>
          <w:szCs w:val="20"/>
          <w:color w:val="auto"/>
        </w:rPr>
      </w:pPr>
      <w:r>
        <w:rPr>
          <w:rFonts w:ascii="Arial" w:cs="Arial" w:eastAsia="Arial" w:hAnsi="Arial"/>
          <w:sz w:val="18"/>
          <w:szCs w:val="18"/>
          <w:color w:val="auto"/>
        </w:rPr>
        <w:t>The Company is party to an exclusive License Agreement (the “WFUHS License”), dated November 30, 2016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79" w:lineRule="exact"/>
        <w:rPr>
          <w:sz w:val="20"/>
          <w:szCs w:val="20"/>
          <w:color w:val="auto"/>
        </w:rPr>
      </w:pPr>
    </w:p>
    <w:p>
      <w:pPr>
        <w:ind w:right="40" w:firstLine="424"/>
        <w:spacing w:after="0" w:line="270" w:lineRule="auto"/>
        <w:rPr>
          <w:sz w:val="20"/>
          <w:szCs w:val="20"/>
          <w:color w:val="auto"/>
        </w:rPr>
      </w:pPr>
      <w:r>
        <w:rPr>
          <w:rFonts w:ascii="Arial" w:cs="Arial" w:eastAsia="Arial" w:hAnsi="Arial"/>
          <w:sz w:val="17"/>
          <w:szCs w:val="17"/>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commencing on the enrollment of the first patient in a Phase 1 clinical trial.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73" w:lineRule="exact"/>
        <w:rPr>
          <w:sz w:val="20"/>
          <w:szCs w:val="20"/>
          <w:color w:val="auto"/>
        </w:rPr>
      </w:pPr>
    </w:p>
    <w:p>
      <w:pPr>
        <w:ind w:right="40" w:firstLine="424"/>
        <w:spacing w:after="0" w:line="263" w:lineRule="auto"/>
        <w:rPr>
          <w:sz w:val="20"/>
          <w:szCs w:val="20"/>
          <w:color w:val="auto"/>
        </w:rPr>
      </w:pPr>
      <w:r>
        <w:rPr>
          <w:rFonts w:ascii="Arial" w:cs="Arial" w:eastAsia="Arial" w:hAnsi="Arial"/>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76" w:lineRule="exact"/>
        <w:rPr>
          <w:sz w:val="20"/>
          <w:szCs w:val="20"/>
          <w:color w:val="auto"/>
        </w:rPr>
      </w:pPr>
    </w:p>
    <w:p>
      <w:pPr>
        <w:ind w:right="120" w:firstLine="424"/>
        <w:spacing w:after="0" w:line="277" w:lineRule="auto"/>
        <w:rPr>
          <w:sz w:val="20"/>
          <w:szCs w:val="20"/>
          <w:color w:val="auto"/>
        </w:rPr>
      </w:pPr>
      <w:r>
        <w:rPr>
          <w:rFonts w:ascii="Arial" w:cs="Arial" w:eastAsia="Arial" w:hAnsi="Arial"/>
          <w:sz w:val="18"/>
          <w:szCs w:val="18"/>
          <w:color w:val="auto"/>
        </w:rPr>
        <w:t>During the three and six months ended June 30, 2021, no milestones were achieved and no expense was recognized. Both agreements continue from their effective date through the last to expire of the licensed patents unless earlier terminated by either party.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424"/>
        <w:spacing w:after="0" w:line="30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In the quarter ended March 31, 2020, the Company recorded an operating lease right-of-use asset and operating lease liability of $0.4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firstLine="424"/>
        <w:spacing w:after="0" w:line="305" w:lineRule="auto"/>
        <w:rPr>
          <w:sz w:val="20"/>
          <w:szCs w:val="20"/>
          <w:color w:val="auto"/>
        </w:rPr>
      </w:pPr>
      <w:r>
        <w:rPr>
          <w:rFonts w:ascii="Arial" w:cs="Arial" w:eastAsia="Arial" w:hAnsi="Arial"/>
          <w:sz w:val="16"/>
          <w:szCs w:val="16"/>
          <w:color w:val="auto"/>
        </w:rPr>
        <w:t>On May 28, 2020, as part of the Merger with Zafgen,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rent expense over the remaining lease term.</w:t>
      </w:r>
    </w:p>
    <w:p>
      <w:pPr>
        <w:spacing w:after="0" w:line="154" w:lineRule="exact"/>
        <w:rPr>
          <w:sz w:val="20"/>
          <w:szCs w:val="20"/>
          <w:color w:val="auto"/>
        </w:rPr>
      </w:pPr>
    </w:p>
    <w:p>
      <w:pPr>
        <w:ind w:right="240" w:firstLine="424"/>
        <w:spacing w:after="0" w:line="259" w:lineRule="auto"/>
        <w:rPr>
          <w:sz w:val="20"/>
          <w:szCs w:val="20"/>
          <w:color w:val="auto"/>
        </w:rPr>
      </w:pPr>
      <w:r>
        <w:rPr>
          <w:rFonts w:ascii="Arial" w:cs="Arial" w:eastAsia="Arial" w:hAnsi="Arial"/>
          <w:sz w:val="18"/>
          <w:szCs w:val="18"/>
          <w:color w:val="auto"/>
        </w:rPr>
        <w:t>On October 27, 2020, the Company entered into a sublease agreement (the “Sublease”) with Massachusetts Municipal Association, Inc. (the “Subtenant”), whereby the Company subleased the entire Premises to the Subtenant. The initial term of the Sublease commenced on December 4, 2020 and continues until October 30, 2029. In connection with the Sublease, the Company evaluated the need for impairment under ASC 360 and determined there was no impairment.</w:t>
      </w:r>
    </w:p>
    <w:p>
      <w:pPr>
        <w:spacing w:after="0" w:line="295" w:lineRule="exact"/>
        <w:rPr>
          <w:sz w:val="20"/>
          <w:szCs w:val="20"/>
          <w:color w:val="auto"/>
        </w:rPr>
      </w:pPr>
    </w:p>
    <w:p>
      <w:pPr>
        <w:ind w:firstLine="424"/>
        <w:spacing w:after="0" w:line="255" w:lineRule="auto"/>
        <w:rPr>
          <w:sz w:val="20"/>
          <w:szCs w:val="20"/>
          <w:color w:val="auto"/>
        </w:rPr>
      </w:pPr>
      <w:r>
        <w:rPr>
          <w:rFonts w:ascii="Arial" w:cs="Arial" w:eastAsia="Arial" w:hAnsi="Arial"/>
          <w:sz w:val="18"/>
          <w:szCs w:val="18"/>
          <w:color w:val="auto"/>
        </w:rPr>
        <w:t>The Sublease provides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w:t>
      </w:r>
    </w:p>
    <w:p>
      <w:pPr>
        <w:spacing w:after="0" w:line="84" w:lineRule="exact"/>
        <w:rPr>
          <w:sz w:val="20"/>
          <w:szCs w:val="20"/>
          <w:color w:val="auto"/>
        </w:rPr>
      </w:pPr>
    </w:p>
    <w:p>
      <w:pPr>
        <w:ind w:firstLine="424"/>
        <w:spacing w:after="0" w:line="25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We have determined this lease extension qualifies as a short-term lease, as the remaining renewal option is not considered reasonably certain, for which we have applied the accounting policy election to not record the related right-of-use asset and lease liabilities.</w:t>
      </w:r>
    </w:p>
    <w:p>
      <w:pPr>
        <w:spacing w:after="0" w:line="107" w:lineRule="exact"/>
        <w:rPr>
          <w:sz w:val="20"/>
          <w:szCs w:val="20"/>
          <w:color w:val="auto"/>
        </w:rPr>
      </w:pPr>
    </w:p>
    <w:p>
      <w:pPr>
        <w:ind w:right="160" w:firstLine="424"/>
        <w:spacing w:after="0" w:line="310" w:lineRule="auto"/>
        <w:rPr>
          <w:sz w:val="20"/>
          <w:szCs w:val="20"/>
          <w:color w:val="auto"/>
        </w:rPr>
      </w:pPr>
      <w:r>
        <w:rPr>
          <w:rFonts w:ascii="Arial" w:cs="Arial" w:eastAsia="Arial" w:hAnsi="Arial"/>
          <w:sz w:val="15"/>
          <w:szCs w:val="15"/>
          <w:color w:val="auto"/>
        </w:rPr>
        <w:t>Expense arising from operating leases was $0.1 million during the three and six months ended June 30, 2021, and $0.1 million during the three and six months ended June 30, 2020. For operating leases, the weighted-average remaining lease term for leases at June 30, 2021 and December 31, 2020 was</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8.1 and 8.6 years, respectively. For operating leases, the weighted average discount rate for leases at June 30, 2021 and December 31, 2020 was 11.0%. The Company has not entered into any financing leases.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lease liabilities due under these lease agreements as of June 30, 2021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Six months ending December 31, 2021</w:t>
            </w:r>
          </w:p>
        </w:tc>
        <w:tc>
          <w:tcPr>
            <w:tcW w:w="54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2023</w:t>
            </w:r>
          </w:p>
        </w:tc>
        <w:tc>
          <w:tcPr>
            <w:tcW w:w="5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2025</w:t>
            </w:r>
          </w:p>
        </w:tc>
        <w:tc>
          <w:tcPr>
            <w:tcW w:w="5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0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5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50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040" w:type="dxa"/>
            <w:vAlign w:val="bottom"/>
            <w:vMerge w:val="restart"/>
          </w:tcPr>
          <w:p>
            <w:pPr>
              <w:jc w:val="right"/>
              <w:ind w:right="3410"/>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424"/>
        <w:spacing w:after="0" w:line="269" w:lineRule="auto"/>
        <w:rPr>
          <w:sz w:val="20"/>
          <w:szCs w:val="20"/>
          <w:color w:val="auto"/>
        </w:rPr>
      </w:pPr>
      <w:r>
        <w:rPr>
          <w:rFonts w:ascii="Arial" w:cs="Arial" w:eastAsia="Arial" w:hAnsi="Arial"/>
          <w:sz w:val="17"/>
          <w:szCs w:val="17"/>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Dr. Payne 123,853 restricted Common Units in Holdings. On November 30, 2016, 30% immediately vested and was associated with Chondrial Therapeutics IP, LLC (“IP LLC”) becoming a subsidiary of Holdings, which subsequently contributed to the Company on December 31, 2018. The remaining 70% vested ratably over 48 months beginning on December 1, 2016 and were fully vested as of December 31, 2020. The consulting agreement has a four-year term, subject to earlier termination. On November 30, 2020, The Company entered into a 1-month extension of the Consulting Engagement, expiring on December 31, 2020 and on January 1, 2021, the Company entered into a new consulting agreement with Mark Payne, M.D. which extended the term of the Consulting Engagement for a four-year term beginning on January 1, 2021. During the three and six months ended June 30, 2021 and 2020 the Company recognized less than $0.1 million and $0.1 million, respectively, related to this consulting agreement, recorded as research and development expense in the Statement of Operations.</w:t>
      </w:r>
    </w:p>
    <w:p>
      <w:pPr>
        <w:spacing w:after="0" w:line="74" w:lineRule="exact"/>
        <w:rPr>
          <w:sz w:val="20"/>
          <w:szCs w:val="20"/>
          <w:color w:val="auto"/>
        </w:rPr>
      </w:pPr>
    </w:p>
    <w:p>
      <w:pPr>
        <w:ind w:right="60" w:firstLine="424"/>
        <w:spacing w:after="0" w:line="259" w:lineRule="auto"/>
        <w:rPr>
          <w:sz w:val="20"/>
          <w:szCs w:val="20"/>
          <w:color w:val="auto"/>
        </w:rPr>
      </w:pPr>
      <w:r>
        <w:rPr>
          <w:rFonts w:ascii="Arial" w:cs="Arial" w:eastAsia="Arial" w:hAnsi="Arial"/>
          <w:sz w:val="18"/>
          <w:szCs w:val="18"/>
          <w:color w:val="auto"/>
        </w:rPr>
        <w:t>The funding to the Company originated from Holdings’ sale of Series A Preferred Units and Series B convertible preferred units (the “Units”) with Deerfield Private Design Fund IV, L.P., Deerfield Private Design Fund III, L.P. and Deerfield Health Innovations Fund, L.P. (together, the “Deerfield Funds”), and certain other purchasers, from inception through May 28, 2020 and the contribution of the proceeds received by Holdings on such sales to the Company in order to fund the Company’s operations</w:t>
      </w:r>
    </w:p>
    <w:p>
      <w:pPr>
        <w:spacing w:after="0" w:line="79" w:lineRule="exact"/>
        <w:rPr>
          <w:sz w:val="20"/>
          <w:szCs w:val="20"/>
          <w:color w:val="auto"/>
        </w:rPr>
      </w:pPr>
    </w:p>
    <w:p>
      <w:pPr>
        <w:ind w:right="40" w:firstLine="556"/>
        <w:spacing w:after="0" w:line="263"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Series A Preferred Units for gross proceeds of $35.6 million. The gross proceeds of $35.6 million were contributed to the Company.</w:t>
      </w:r>
    </w:p>
    <w:p>
      <w:pPr>
        <w:spacing w:after="0" w:line="76" w:lineRule="exact"/>
        <w:rPr>
          <w:sz w:val="20"/>
          <w:szCs w:val="20"/>
          <w:color w:val="auto"/>
        </w:rPr>
      </w:pPr>
    </w:p>
    <w:p>
      <w:pPr>
        <w:jc w:val="both"/>
        <w:ind w:right="120" w:firstLine="556"/>
        <w:spacing w:after="0" w:line="311" w:lineRule="auto"/>
        <w:rPr>
          <w:sz w:val="20"/>
          <w:szCs w:val="20"/>
          <w:color w:val="auto"/>
        </w:rPr>
      </w:pPr>
      <w:r>
        <w:rPr>
          <w:rFonts w:ascii="Arial" w:cs="Arial" w:eastAsia="Arial" w:hAnsi="Arial"/>
          <w:sz w:val="16"/>
          <w:szCs w:val="16"/>
          <w:color w:val="auto"/>
        </w:rPr>
        <w:t>On November 21, 2019 (as amended on December 20, 2019), Holdings entered into a Second Amended and Restated LLC Agreement and entered into a Series B Bridge Unit Purchase Agreement with the Deerfield Funds and certain other purchasers to sell Series B convertible preferred units (“Series B Bridge Units”) for gross proceeds of up to $10.0 million. The gross proceeds of $10.0 million were contributed to the Company.</w:t>
      </w:r>
    </w:p>
    <w:p>
      <w:pPr>
        <w:spacing w:after="0" w:line="41" w:lineRule="exact"/>
        <w:rPr>
          <w:sz w:val="20"/>
          <w:szCs w:val="20"/>
          <w:color w:val="auto"/>
        </w:rPr>
      </w:pPr>
    </w:p>
    <w:p>
      <w:pPr>
        <w:ind w:right="280" w:firstLine="556"/>
        <w:spacing w:after="0" w:line="286"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Second Series B convertible preferred units (“Second Series B Bridge Units”) for gross proceeds of up to $15.0 million. The gross proceeds of $11.4 million were contributed to the Company.</w:t>
      </w:r>
    </w:p>
    <w:p>
      <w:pPr>
        <w:spacing w:after="0" w:line="57" w:lineRule="exact"/>
        <w:rPr>
          <w:sz w:val="20"/>
          <w:szCs w:val="20"/>
          <w:color w:val="auto"/>
        </w:rPr>
      </w:pPr>
    </w:p>
    <w:p>
      <w:pPr>
        <w:ind w:right="100" w:firstLine="424"/>
        <w:spacing w:after="0" w:line="259" w:lineRule="auto"/>
        <w:rPr>
          <w:sz w:val="20"/>
          <w:szCs w:val="20"/>
          <w:color w:val="auto"/>
        </w:rPr>
      </w:pPr>
      <w:r>
        <w:rPr>
          <w:rFonts w:ascii="Arial" w:cs="Arial" w:eastAsia="Arial" w:hAnsi="Arial"/>
          <w:sz w:val="18"/>
          <w:szCs w:val="18"/>
          <w:color w:val="auto"/>
        </w:rPr>
        <w:t>During the six months ended June 30, 2020, Holdings provided the Company non-interest bearing, permanent funding from the above Series A and Series B preferred unit transactions, totaling $18.0 million, which were recorded as capital contributions with the balance of combined equity and additional paid in capital on the condensed consolidated balance sheets and condensed consolidated statements of changes in stockholders’ equity for each respective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24"/>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2020 included in our Annual Report on Form 10-K filed with the Securities and Exchange Commission (“SEC”), on March 4, 2021.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Annual Report on Form 10-K filed with the SEC on March 4, 2021, and the "Risk Factors" and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24"/>
        <w:spacing w:after="0" w:line="257" w:lineRule="auto"/>
        <w:rPr>
          <w:sz w:val="20"/>
          <w:szCs w:val="20"/>
          <w:color w:val="auto"/>
        </w:rPr>
      </w:pPr>
      <w:r>
        <w:rPr>
          <w:rFonts w:ascii="Arial" w:cs="Arial" w:eastAsia="Arial" w:hAnsi="Arial"/>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(FA). Friedreich’s ataxia is a rare, progressive, and fatal disease in which patients are unable to produce enough FXN due to a genetic abnormality. There is currently no effective therapy for Friedreich’s ataxia.</w:t>
      </w:r>
    </w:p>
    <w:p>
      <w:pPr>
        <w:spacing w:after="0" w:line="80" w:lineRule="exact"/>
        <w:rPr>
          <w:sz w:val="20"/>
          <w:szCs w:val="20"/>
          <w:color w:val="auto"/>
        </w:rPr>
      </w:pPr>
    </w:p>
    <w:p>
      <w:pPr>
        <w:ind w:right="20" w:firstLine="424"/>
        <w:spacing w:after="0" w:line="219" w:lineRule="exact"/>
        <w:rPr>
          <w:sz w:val="20"/>
          <w:szCs w:val="20"/>
          <w:color w:val="auto"/>
        </w:rPr>
      </w:pPr>
      <w:r>
        <w:rPr>
          <w:rFonts w:ascii="Arial" w:cs="Arial" w:eastAsia="Arial" w:hAnsi="Arial"/>
          <w:sz w:val="18"/>
          <w:szCs w:val="18"/>
          <w:color w:val="auto"/>
        </w:rPr>
        <w:t>We have received orphan drug designation, fast track designation and rare pediatric disease designation, from the U.S. Food and Drug Administration (the FDA), for CTI</w:t>
      </w:r>
      <w:r>
        <w:rPr>
          <w:rFonts w:ascii="MS PGothic" w:cs="MS PGothic" w:eastAsia="MS PGothic" w:hAnsi="MS PGothic"/>
          <w:sz w:val="18"/>
          <w:szCs w:val="18"/>
          <w:color w:val="auto"/>
        </w:rPr>
        <w:t>‑</w:t>
      </w:r>
      <w:r>
        <w:rPr>
          <w:rFonts w:ascii="Arial" w:cs="Arial" w:eastAsia="Arial" w:hAnsi="Arial"/>
          <w:sz w:val="18"/>
          <w:szCs w:val="18"/>
          <w:color w:val="auto"/>
        </w:rPr>
        <w:t>1601. In addition, we received orphan drug designation for CTI-1601 from the European Commission and Priority Medicines (PRIME) designation from the European Medicines Agency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97" w:lineRule="exact"/>
        <w:rPr>
          <w:sz w:val="20"/>
          <w:szCs w:val="20"/>
          <w:color w:val="auto"/>
        </w:rPr>
      </w:pPr>
    </w:p>
    <w:p>
      <w:pPr>
        <w:ind w:right="360" w:firstLine="424"/>
        <w:spacing w:after="0" w:line="263"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CTI-1601 Program Update</w:t>
      </w:r>
    </w:p>
    <w:p>
      <w:pPr>
        <w:spacing w:after="0" w:line="27" w:lineRule="exact"/>
        <w:rPr>
          <w:sz w:val="20"/>
          <w:szCs w:val="20"/>
          <w:color w:val="auto"/>
        </w:rPr>
      </w:pPr>
    </w:p>
    <w:p>
      <w:pPr>
        <w:ind w:right="60" w:firstLine="424"/>
        <w:spacing w:after="0" w:line="250" w:lineRule="auto"/>
        <w:rPr>
          <w:sz w:val="20"/>
          <w:szCs w:val="20"/>
          <w:color w:val="auto"/>
        </w:rPr>
      </w:pPr>
      <w:r>
        <w:rPr>
          <w:rFonts w:ascii="Arial" w:cs="Arial" w:eastAsia="Arial" w:hAnsi="Arial"/>
          <w:sz w:val="18"/>
          <w:szCs w:val="18"/>
          <w:color w:val="auto"/>
        </w:rPr>
        <w:t>On May 20, 2021 we announced that we had received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spacing w:after="0" w:line="2" w:lineRule="exact"/>
        <w:rPr>
          <w:sz w:val="20"/>
          <w:szCs w:val="20"/>
          <w:color w:val="auto"/>
        </w:rPr>
      </w:pPr>
    </w:p>
    <w:p>
      <w:pPr>
        <w:ind w:firstLine="424"/>
        <w:spacing w:after="0" w:line="270" w:lineRule="auto"/>
        <w:rPr>
          <w:sz w:val="20"/>
          <w:szCs w:val="20"/>
          <w:color w:val="auto"/>
        </w:rPr>
      </w:pPr>
      <w:r>
        <w:rPr>
          <w:rFonts w:ascii="Arial" w:cs="Arial" w:eastAsia="Arial" w:hAnsi="Arial"/>
          <w:sz w:val="17"/>
          <w:szCs w:val="17"/>
          <w:color w:val="auto"/>
        </w:rPr>
        <w:t>In May 2021, we reported positive topline data from our Phase 1 Friedreich’s ataxia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frataxin levels from baseline compared to placebo in all evaluated tissues (buccal cells, skin, and platelets). Frataxin levels achieved in peripheral tissues (buccal cells) following daily 50 mg and 100 mg subcutaneous injections of CTI-1601 were at or in excess of frataxin levels that would be expected in phenotypically normal heterozygous carriers. There were no serious adverse events (SAEs), associated with either the MAD or SAD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right="80" w:firstLine="424"/>
        <w:spacing w:after="0" w:line="268" w:lineRule="auto"/>
        <w:rPr>
          <w:sz w:val="20"/>
          <w:szCs w:val="20"/>
          <w:color w:val="auto"/>
        </w:rPr>
      </w:pPr>
      <w:r>
        <w:rPr>
          <w:rFonts w:ascii="Arial" w:cs="Arial" w:eastAsia="Arial" w:hAnsi="Arial"/>
          <w:sz w:val="17"/>
          <w:szCs w:val="17"/>
          <w:color w:val="auto"/>
        </w:rPr>
        <w:t>On May 25, 2021 the FDA placed a clinical hold on the CTI-1601 clinical program following our notification to the FDA of mortalities which occurred at the highest dose levels the then ongoing 180-day non-human primate (NHP) toxicology study, which is designed to support extended dosing of patients with CTI-1601. In the clinical hold letter, the FDA stated that it needs a full study report from the ongoing NHP study and that we may not initiate additional clinical trials until we have submitted the report and received notification from the FDA that additional clinical trials may commence. At the time of this notice, we had no interventional clinical trials with patients enrolled or enrolling.</w:t>
      </w:r>
    </w:p>
    <w:p>
      <w:pPr>
        <w:spacing w:after="0" w:line="3" w:lineRule="exact"/>
        <w:rPr>
          <w:sz w:val="20"/>
          <w:szCs w:val="20"/>
          <w:color w:val="auto"/>
        </w:rPr>
      </w:pPr>
    </w:p>
    <w:p>
      <w:pPr>
        <w:ind w:right="420" w:firstLine="424"/>
        <w:spacing w:after="0" w:line="302" w:lineRule="auto"/>
        <w:rPr>
          <w:sz w:val="20"/>
          <w:szCs w:val="20"/>
          <w:color w:val="auto"/>
        </w:rPr>
      </w:pPr>
      <w:r>
        <w:rPr>
          <w:rFonts w:ascii="Arial" w:cs="Arial" w:eastAsia="Arial" w:hAnsi="Arial"/>
          <w:sz w:val="16"/>
          <w:szCs w:val="16"/>
          <w:color w:val="auto"/>
        </w:rPr>
        <w:t>In July 2021, we completed dosing in the NHP toxicology study discussed above. We are currently collecting and analyzing data from the study. While there is no way to predict the FDA’s response or whether they will require additional data or testing, we expect to initiate our Jive open-label extension and pediatric MAD trials in the first half of next year, subject to the FDA lifting the clinical hold on CTI-1601, in full or in part.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 and Liquidity</w:t>
      </w:r>
    </w:p>
    <w:p>
      <w:pPr>
        <w:spacing w:after="0" w:line="121" w:lineRule="exact"/>
        <w:rPr>
          <w:sz w:val="20"/>
          <w:szCs w:val="20"/>
          <w:color w:val="auto"/>
        </w:rPr>
      </w:pPr>
    </w:p>
    <w:p>
      <w:pPr>
        <w:ind w:right="80" w:firstLine="424"/>
        <w:spacing w:after="0" w:line="342" w:lineRule="auto"/>
        <w:rPr>
          <w:sz w:val="20"/>
          <w:szCs w:val="20"/>
          <w:color w:val="auto"/>
        </w:rPr>
      </w:pPr>
      <w:r>
        <w:rPr>
          <w:rFonts w:ascii="Arial" w:cs="Arial" w:eastAsia="Arial" w:hAnsi="Arial"/>
          <w:sz w:val="16"/>
          <w:szCs w:val="16"/>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6" w:lineRule="exact"/>
        <w:rPr>
          <w:sz w:val="20"/>
          <w:szCs w:val="20"/>
          <w:color w:val="auto"/>
        </w:rPr>
      </w:pPr>
    </w:p>
    <w:p>
      <w:pPr>
        <w:ind w:right="20" w:firstLine="424"/>
        <w:spacing w:after="0" w:line="259" w:lineRule="auto"/>
        <w:rPr>
          <w:sz w:val="20"/>
          <w:szCs w:val="20"/>
          <w:color w:val="auto"/>
        </w:rPr>
      </w:pPr>
      <w:r>
        <w:rPr>
          <w:rFonts w:ascii="Arial" w:cs="Arial" w:eastAsia="Arial" w:hAnsi="Arial"/>
          <w:sz w:val="18"/>
          <w:szCs w:val="18"/>
          <w:color w:val="auto"/>
        </w:rPr>
        <w:t>We have never generated any revenue and have, to date, incurred net losses. We incurred net losses of approximately $24.7 million and $18.0 million for six months ended June 30, 2021, and 2020, respectively. As of June 30, 2021, we had an accumulated deficit of $90.3 million. Our losses have resulted principally from costs incurred in connection with research and development activities, and general and administrative costs associated with our operations. We expect to incur significant expenses and operating losses for the foreseeable future.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17" w:lineRule="exact"/>
        <w:rPr>
          <w:sz w:val="20"/>
          <w:szCs w:val="20"/>
          <w:color w:val="auto"/>
        </w:rPr>
      </w:pPr>
    </w:p>
    <w:p>
      <w:pPr>
        <w:ind w:left="840" w:hanging="41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17" w:lineRule="exact"/>
        <w:rPr>
          <w:rFonts w:ascii="Arial" w:cs="Arial" w:eastAsia="Arial" w:hAnsi="Arial"/>
          <w:sz w:val="18"/>
          <w:szCs w:val="18"/>
          <w:color w:val="auto"/>
        </w:rPr>
      </w:pPr>
    </w:p>
    <w:p>
      <w:pPr>
        <w:ind w:left="840" w:right="60" w:hanging="414"/>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identify additional indications for our product candidates;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17" w:lineRule="exact"/>
        <w:rPr>
          <w:rFonts w:ascii="Arial" w:cs="Arial" w:eastAsia="Arial" w:hAnsi="Arial"/>
          <w:sz w:val="18"/>
          <w:szCs w:val="18"/>
          <w:color w:val="auto"/>
        </w:rPr>
      </w:pPr>
    </w:p>
    <w:p>
      <w:pPr>
        <w:ind w:left="840" w:right="160" w:hanging="414"/>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firstLine="424"/>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approvals for our product candidates, or achieve commercial viability for any approved product candidates. Adequate additional financing may not be available to us on acceptable terms, or at all. Our failure to raise capital as and when needed would have a negative impact on its financial condition and ability to pursue our business strategy. We will need to generate significant revenue to achieve profitability and may never do so.</w:t>
      </w:r>
    </w:p>
    <w:p>
      <w:pPr>
        <w:spacing w:after="0" w:line="84" w:lineRule="exact"/>
        <w:rPr>
          <w:sz w:val="20"/>
          <w:szCs w:val="20"/>
          <w:color w:val="auto"/>
        </w:rPr>
      </w:pPr>
    </w:p>
    <w:p>
      <w:pPr>
        <w:ind w:firstLine="424"/>
        <w:spacing w:after="0" w:line="279" w:lineRule="auto"/>
        <w:rPr>
          <w:sz w:val="20"/>
          <w:szCs w:val="20"/>
          <w:color w:val="auto"/>
        </w:rPr>
      </w:pPr>
      <w:r>
        <w:rPr>
          <w:rFonts w:ascii="Arial" w:cs="Arial" w:eastAsia="Arial" w:hAnsi="Arial"/>
          <w:sz w:val="17"/>
          <w:szCs w:val="17"/>
          <w:color w:val="auto"/>
        </w:rPr>
        <w:t>At June 30, 2021, we had cash, cash equivalents and marketable debt securities balance totaling $70.6 million. In July 2021, we sold 2,342,720 shares of common stock for net proceeds of $19.9 million (See “Liquidity and Capital Resources”). We believe that, based on our current operating plan, our cash, cash equivalents and marketable debt securities as of the filing date of this Quarterly Report on Form 10-Q will enable us to fund operations for at least twelve months from the issuance of our interim financial statements for the quarterly period ended June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40" w:firstLine="424"/>
        <w:spacing w:after="0" w:line="284"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The pandemic resulted in the temporary stoppage of our CTI-1601 Phase 1 clinical trials in patients with Friedreich’s ataxia in March 2020. In July 2020, we resumed these clinical trials, and have since completed dosing of both our SAD and MAD clinical trials. 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in some states, particularly in some areas of the country. The incidence of variants of COVID-19, has been increasing particularly among unvaccinated individuals and the variants are proving to be more easily spread than earlier</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variants. The low vaccination rate, the spread of the variants, the evolution of furthermore deadly mutations against which the current vaccines may prove ineffective could again result in major disruptions to businesses and markets worldwide. The Company’s business, results of operations, financial condition and cash flows could be materially and adversely affected. Specifically, we could experience additional delays in future clinical trial timelines as a result of additional travel and hospital restrictions related to the COVID-19 pandemic which may be imposed, experience supply shortages or manufacturer shutdowns impacting the manufacture of drug substance or drug product. The financial statements do not reflect any adjustments as a result of the pandemic.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Zafgen</w:t>
      </w:r>
    </w:p>
    <w:p>
      <w:pPr>
        <w:spacing w:after="0" w:line="121" w:lineRule="exact"/>
        <w:rPr>
          <w:sz w:val="20"/>
          <w:szCs w:val="20"/>
          <w:color w:val="auto"/>
        </w:rPr>
      </w:pPr>
    </w:p>
    <w:p>
      <w:pPr>
        <w:ind w:right="120" w:firstLine="424"/>
        <w:spacing w:after="0" w:line="259" w:lineRule="auto"/>
        <w:rPr>
          <w:sz w:val="20"/>
          <w:szCs w:val="20"/>
          <w:color w:val="auto"/>
        </w:rPr>
      </w:pPr>
      <w:r>
        <w:rPr>
          <w:rFonts w:ascii="Arial" w:cs="Arial" w:eastAsia="Arial" w:hAnsi="Arial"/>
          <w:sz w:val="18"/>
          <w:szCs w:val="18"/>
          <w:color w:val="auto"/>
        </w:rPr>
        <w:t>On December 17, 2019, we entered into an Agreement and Plan of Merger, (the “Merger Agreement”) with Zordich Merger Sub, Inc. (“Merger Sub”), our wholly owned subsidiary, Chondrial Therapeutics Inc. (“Chondrial”), and Chondrial Holding, LLC (“Holdings”) pursuant to which the Merger Sub would merge with and into Chondrial, with Chondrial surviving the merger as our wholly owned subsidiary (the “Merger”). The Merger was completed on May 28, 2020 pursuant to the terms of the Merger Agreement.</w:t>
      </w:r>
    </w:p>
    <w:p>
      <w:pPr>
        <w:spacing w:after="0" w:line="79" w:lineRule="exact"/>
        <w:rPr>
          <w:sz w:val="20"/>
          <w:szCs w:val="20"/>
          <w:color w:val="auto"/>
        </w:rPr>
      </w:pPr>
    </w:p>
    <w:p>
      <w:pPr>
        <w:ind w:right="40" w:firstLine="424"/>
        <w:spacing w:after="0" w:line="259" w:lineRule="auto"/>
        <w:rPr>
          <w:sz w:val="20"/>
          <w:szCs w:val="20"/>
          <w:color w:val="auto"/>
        </w:rPr>
      </w:pPr>
      <w:r>
        <w:rPr>
          <w:rFonts w:ascii="Arial" w:cs="Arial" w:eastAsia="Arial" w:hAnsi="Arial"/>
          <w:sz w:val="18"/>
          <w:szCs w:val="18"/>
          <w:color w:val="auto"/>
        </w:rPr>
        <w:t>Pursuant to the terms of the Merger Agreement, upon closing of the Merger, all of Chondrial’s outstanding common stock was exchanged for our common stock and all outstanding options exercisable for units of Holdings were exchanged for options to purchase our common stock. In addition, immediately prior to the closing of the Merger, we effected a 1 for 12 reverse stock split and changed our name from Zafgen, Inc. to Larimar Therapeutics, Inc. Following the Merger, the business conducted by Chondrial became our primary business.</w:t>
      </w:r>
    </w:p>
    <w:p>
      <w:pPr>
        <w:spacing w:after="0" w:line="79" w:lineRule="exact"/>
        <w:rPr>
          <w:sz w:val="20"/>
          <w:szCs w:val="20"/>
          <w:color w:val="auto"/>
        </w:rPr>
      </w:pPr>
    </w:p>
    <w:p>
      <w:pPr>
        <w:ind w:right="40" w:firstLine="424"/>
        <w:spacing w:after="0" w:line="273" w:lineRule="auto"/>
        <w:rPr>
          <w:sz w:val="20"/>
          <w:szCs w:val="20"/>
          <w:color w:val="auto"/>
        </w:rPr>
      </w:pPr>
      <w:r>
        <w:rPr>
          <w:rFonts w:ascii="Arial" w:cs="Arial" w:eastAsia="Arial" w:hAnsi="Arial"/>
          <w:sz w:val="17"/>
          <w:szCs w:val="17"/>
          <w:color w:val="auto"/>
        </w:rPr>
        <w:t>The business combination was accounted for as a reverse acquisition in accordance with U.S. generally accepted accounting principles (“GAAP”). Under this method of accounting, Chondrial was deemed to be the accounting acquirer for financial reporting purposes. This determination was primarily based on the facts that, immediately following the merger: (i) former Chondrial stockholders owned a substantial majority of the voting rights in the combined company, (ii) the majority of the board of directors of the combined company was composed of directors designated by Chondrial under the terms of the Merger Agreement and (iii) existing members of Chondrial management became the management of the combined company. Accordingly, for accounting purposes, the business combination was treated as the equivalent of Chondrial issuing stock to acquire Zafgen’s net assets. As a result, as of the closing date of the Merger, Zafgen’s net assets were recorded at their acquisition-date fair values, which were then adjusted for the difference between the purchase price and the fair value of the assets acquired, in the financial statements of Chondrial and the reported operating results prior to the business combination are those of Chondrial. As the Merger has been accounted for as an asset acquisition, goodwill has not been recorded within the condensed combined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21" w:lineRule="exact"/>
        <w:rPr>
          <w:sz w:val="20"/>
          <w:szCs w:val="20"/>
          <w:color w:val="auto"/>
        </w:rPr>
      </w:pPr>
    </w:p>
    <w:p>
      <w:pPr>
        <w:ind w:right="400" w:firstLine="424"/>
        <w:spacing w:after="0" w:line="259" w:lineRule="auto"/>
        <w:rPr>
          <w:sz w:val="20"/>
          <w:szCs w:val="20"/>
          <w:color w:val="auto"/>
        </w:rPr>
      </w:pPr>
      <w:r>
        <w:rPr>
          <w:rFonts w:ascii="Arial" w:cs="Arial" w:eastAsia="Arial" w:hAnsi="Arial"/>
          <w:sz w:val="18"/>
          <w:szCs w:val="18"/>
          <w:color w:val="auto"/>
        </w:rPr>
        <w:t>On May 28, 2020, we entered into a Securities Purchase Agreement with certain accredited investors for the sale by us in a private placement of 6,105,359 shares of our common stock (the “Private Placement Shares”), and pre-funded warrants to purchase an aggregate of 628,403 shares of our common stock (the “Pre-funded Warrants”). The Pre-Funded Warrants are immediately exercisable at an exercise price for $0.01 and are exercisable indefinitely. We refer to this sale herein as the Private Placement.</w:t>
      </w:r>
    </w:p>
    <w:p>
      <w:pPr>
        <w:spacing w:after="0" w:line="79" w:lineRule="exact"/>
        <w:rPr>
          <w:sz w:val="20"/>
          <w:szCs w:val="20"/>
          <w:color w:val="auto"/>
        </w:rPr>
      </w:pPr>
    </w:p>
    <w:p>
      <w:pPr>
        <w:ind w:right="40" w:firstLine="424"/>
        <w:spacing w:after="0" w:line="259" w:lineRule="auto"/>
        <w:rPr>
          <w:sz w:val="20"/>
          <w:szCs w:val="20"/>
          <w:color w:val="auto"/>
        </w:rPr>
      </w:pPr>
      <w:r>
        <w:rPr>
          <w:rFonts w:ascii="Arial" w:cs="Arial" w:eastAsia="Arial" w:hAnsi="Arial"/>
          <w:sz w:val="18"/>
          <w:szCs w:val="18"/>
          <w:color w:val="auto"/>
        </w:rPr>
        <w:t>The Private Placement closed on June 1, 2020. The aggregate gross proceeds for the issuance and sale of the Private Placement Shares and Pre-Funded common stock Warrants were $80.0 million and, after deducting certain of our expenses, the net proceeds we received in the Private Placement were $75.4 million. We intend to use the net proceeds from the Private Placement for research and development of our product candidates, working capital and general corporate purposes.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40" w:firstLine="424"/>
        <w:spacing w:after="0" w:line="263"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880" w:firstLine="424"/>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424"/>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2" w:lineRule="exact"/>
        <w:rPr>
          <w:sz w:val="20"/>
          <w:szCs w:val="20"/>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17" w:lineRule="exact"/>
        <w:rPr>
          <w:rFonts w:ascii="Arial" w:cs="Arial" w:eastAsia="Arial" w:hAnsi="Arial"/>
          <w:sz w:val="18"/>
          <w:szCs w:val="18"/>
          <w:color w:val="auto"/>
        </w:rPr>
      </w:pPr>
    </w:p>
    <w:p>
      <w:pPr>
        <w:ind w:left="840" w:right="160" w:hanging="414"/>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expenses for employees engaged in scientific research and development functions;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external costs of outside consultants and vendors;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17" w:lineRule="exact"/>
        <w:rPr>
          <w:sz w:val="20"/>
          <w:szCs w:val="20"/>
          <w:color w:val="auto"/>
        </w:rPr>
      </w:pPr>
    </w:p>
    <w:p>
      <w:pPr>
        <w:ind w:right="60" w:firstLine="424"/>
        <w:spacing w:after="0" w:line="257" w:lineRule="auto"/>
        <w:rPr>
          <w:sz w:val="20"/>
          <w:szCs w:val="20"/>
          <w:color w:val="auto"/>
        </w:rPr>
      </w:pPr>
      <w:r>
        <w:rPr>
          <w:rFonts w:ascii="Arial" w:cs="Arial" w:eastAsia="Arial" w:hAnsi="Arial"/>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spacing w:after="0" w:line="80" w:lineRule="exact"/>
        <w:rPr>
          <w:sz w:val="20"/>
          <w:szCs w:val="20"/>
          <w:color w:val="auto"/>
        </w:rPr>
      </w:pPr>
    </w:p>
    <w:p>
      <w:pPr>
        <w:ind w:right="440" w:firstLine="424"/>
        <w:spacing w:after="0" w:line="259"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9" w:lineRule="exact"/>
        <w:rPr>
          <w:sz w:val="20"/>
          <w:szCs w:val="20"/>
          <w:color w:val="auto"/>
        </w:rPr>
      </w:pPr>
    </w:p>
    <w:p>
      <w:pPr>
        <w:ind w:left="840" w:right="760" w:hanging="414"/>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 including the ongoing impact of COVID-19 on these activities;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influence of the FDA’s or other regulatory authority’s on our clinical trial design and timing;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7" w:name="page28"/>
    <w:bookmarkEnd w:id="27"/>
    <w:p>
      <w:pPr>
        <w:ind w:left="840" w:right="60" w:hanging="414"/>
        <w:spacing w:after="0" w:line="263"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75"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the on-going COVID-19 pandemic including the mutations of the original virus that may prove more contagious and deadly;</w:t>
      </w:r>
    </w:p>
    <w:p>
      <w:pPr>
        <w:spacing w:after="0" w:line="128" w:lineRule="exact"/>
        <w:rPr>
          <w:rFonts w:ascii="Arial" w:cs="Arial" w:eastAsia="Arial" w:hAnsi="Arial"/>
          <w:sz w:val="17"/>
          <w:szCs w:val="17"/>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and maintain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key research and development personnel.</w:t>
      </w:r>
    </w:p>
    <w:p>
      <w:pPr>
        <w:spacing w:after="0" w:line="117" w:lineRule="exact"/>
        <w:rPr>
          <w:sz w:val="20"/>
          <w:szCs w:val="20"/>
          <w:color w:val="auto"/>
        </w:rPr>
      </w:pPr>
    </w:p>
    <w:p>
      <w:pPr>
        <w:ind w:firstLine="424"/>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24"/>
        <w:spacing w:after="0" w:line="275" w:lineRule="auto"/>
        <w:rPr>
          <w:sz w:val="20"/>
          <w:szCs w:val="20"/>
          <w:color w:val="auto"/>
        </w:rPr>
      </w:pPr>
      <w:r>
        <w:rPr>
          <w:rFonts w:ascii="Arial" w:cs="Arial" w:eastAsia="Arial" w:hAnsi="Arial"/>
          <w:sz w:val="17"/>
          <w:szCs w:val="17"/>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of our intellectual property. We expect that our general and administrative expenses will increase in the foreseeable future as we hire additional employees to implement, improve and scale our operational, financial and management systems.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24"/>
        <w:spacing w:after="0" w:line="296"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24"/>
        <w:spacing w:after="0" w:line="291" w:lineRule="auto"/>
        <w:rPr>
          <w:sz w:val="20"/>
          <w:szCs w:val="20"/>
          <w:color w:val="auto"/>
        </w:rPr>
      </w:pPr>
      <w:r>
        <w:rPr>
          <w:rFonts w:ascii="Arial" w:cs="Arial" w:eastAsia="Arial" w:hAnsi="Arial"/>
          <w:sz w:val="16"/>
          <w:szCs w:val="16"/>
          <w:color w:val="auto"/>
        </w:rPr>
        <w:t>As part of the process of preparing our condensed consolidated financial statements, we are required to estimate our accrued research and development expenses and evaluate payments made to vendors in advance of actual work activities being performed.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spacing w:after="0" w:line="58" w:lineRule="exact"/>
        <w:rPr>
          <w:sz w:val="20"/>
          <w:szCs w:val="20"/>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manufacturing organizations in connection with the production of non-clinical and clinical trial materials;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8" w:name="page29"/>
    <w:bookmarkEnd w:id="28"/>
    <w:p>
      <w:pPr>
        <w:ind w:right="20" w:firstLine="4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In accruing CMO costs, we estimate the time period that manufacturing will be completed, the achievement of milestones and the percentage of completion of each specific CMO agreement.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424"/>
        <w:spacing w:after="0" w:line="259" w:lineRule="auto"/>
        <w:rPr>
          <w:sz w:val="20"/>
          <w:szCs w:val="20"/>
          <w:color w:val="auto"/>
        </w:rPr>
      </w:pPr>
      <w:r>
        <w:rPr>
          <w:rFonts w:ascii="Arial" w:cs="Arial" w:eastAsia="Arial" w:hAnsi="Arial"/>
          <w:sz w:val="18"/>
          <w:szCs w:val="18"/>
          <w:color w:val="auto"/>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79" w:lineRule="exact"/>
        <w:rPr>
          <w:sz w:val="20"/>
          <w:szCs w:val="20"/>
          <w:color w:val="auto"/>
        </w:rPr>
      </w:pPr>
    </w:p>
    <w:p>
      <w:pPr>
        <w:ind w:right="180" w:firstLine="424"/>
        <w:spacing w:after="0" w:line="308" w:lineRule="auto"/>
        <w:rPr>
          <w:sz w:val="20"/>
          <w:szCs w:val="20"/>
          <w:color w:val="auto"/>
        </w:rPr>
      </w:pPr>
      <w:r>
        <w:rPr>
          <w:rFonts w:ascii="Arial" w:cs="Arial" w:eastAsia="Arial" w:hAnsi="Arial"/>
          <w:sz w:val="17"/>
          <w:szCs w:val="17"/>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38" w:lineRule="exact"/>
        <w:rPr>
          <w:sz w:val="20"/>
          <w:szCs w:val="20"/>
          <w:color w:val="auto"/>
        </w:rPr>
      </w:pPr>
    </w:p>
    <w:p>
      <w:pPr>
        <w:ind w:right="20" w:firstLine="424"/>
        <w:spacing w:after="0" w:line="254" w:lineRule="auto"/>
        <w:rPr>
          <w:sz w:val="20"/>
          <w:szCs w:val="20"/>
          <w:color w:val="auto"/>
        </w:rPr>
      </w:pPr>
      <w:r>
        <w:rPr>
          <w:rFonts w:ascii="Arial" w:cs="Arial" w:eastAsia="Arial" w:hAnsi="Arial"/>
          <w:sz w:val="18"/>
          <w:szCs w:val="18"/>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2021 and 2020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555"/>
              <w:spacing w:after="0"/>
              <w:rPr>
                <w:sz w:val="20"/>
                <w:szCs w:val="20"/>
                <w:color w:val="auto"/>
              </w:rPr>
            </w:pPr>
            <w:r>
              <w:rPr>
                <w:rFonts w:ascii="Arial" w:cs="Arial" w:eastAsia="Arial" w:hAnsi="Arial"/>
                <w:sz w:val="14"/>
                <w:szCs w:val="14"/>
                <w:b w:val="1"/>
                <w:bCs w:val="1"/>
                <w:color w:val="auto"/>
                <w:w w:val="93"/>
              </w:rPr>
              <w:t>Three Months Ended June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(Decrease)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1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9,102</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20" w:type="dxa"/>
            <w:vAlign w:val="bottom"/>
            <w:vMerge w:val="restart"/>
          </w:tcPr>
          <w:p>
            <w:pPr>
              <w:jc w:val="right"/>
              <w:ind w:right="63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424"/>
        <w:spacing w:after="0" w:line="273" w:lineRule="auto"/>
        <w:rPr>
          <w:sz w:val="20"/>
          <w:szCs w:val="20"/>
          <w:color w:val="auto"/>
        </w:rPr>
      </w:pPr>
      <w:r>
        <w:rPr>
          <w:rFonts w:ascii="Arial" w:cs="Arial" w:eastAsia="Arial" w:hAnsi="Arial"/>
          <w:sz w:val="17"/>
          <w:szCs w:val="17"/>
          <w:color w:val="auto"/>
        </w:rPr>
        <w:t>Research and development expenses for the three months ended June 30, 2021 increased $0.2 million compared to the three months ended June 30, 2020. The increase in research and development expenses compared to the prior year period was primarily driven by higher non-clinical costs of $1.5 million associated with ongoing assay and toxicology studies, an increase of $0.9 million in clinical trial costs related to the start of the Jive study preparation work, an increase of $0.7 million in personnel related costs due to headcount additions in our research and development functions, an increase of $0.3 million in stock-based compensation expense associated with stock option grants made in the second half of 2020 and thus far in 2021, partially offset by a decrease of $3.1 million in clinical supply manufacturing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60" w:firstLine="424"/>
        <w:spacing w:after="0" w:line="257" w:lineRule="auto"/>
        <w:rPr>
          <w:sz w:val="20"/>
          <w:szCs w:val="20"/>
          <w:color w:val="auto"/>
        </w:rPr>
      </w:pPr>
      <w:r>
        <w:rPr>
          <w:rFonts w:ascii="Arial" w:cs="Arial" w:eastAsia="Arial" w:hAnsi="Arial"/>
          <w:sz w:val="18"/>
          <w:szCs w:val="18"/>
          <w:color w:val="auto"/>
        </w:rPr>
        <w:t>General and administrative expenses for the three months ended June 30, 2021 increased $0.9 million compared to the three months ended June 30, 2020. The increase in general and administrative expenses as compared to the prior year period was primarily driven by an increase of $0.3 million in personnel related costs due to increased headcount, an increase of $0.3 million in stock-based compensation expense associated with stock option grants made in the second half of 2020 and thus far in 2021, and an increase of $0.5 million in professional fees primarily associated with insurance costs, legal and consulting fees as a result of operating as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2021 and 2020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center"/>
              <w:ind w:left="655"/>
              <w:spacing w:after="0"/>
              <w:rPr>
                <w:sz w:val="20"/>
                <w:szCs w:val="20"/>
                <w:color w:val="auto"/>
              </w:rPr>
            </w:pPr>
            <w:r>
              <w:rPr>
                <w:rFonts w:ascii="Arial" w:cs="Arial" w:eastAsia="Arial" w:hAnsi="Arial"/>
                <w:sz w:val="14"/>
                <w:szCs w:val="14"/>
                <w:b w:val="1"/>
                <w:bCs w:val="1"/>
                <w:color w:val="auto"/>
                <w:w w:val="92"/>
              </w:rPr>
              <w:t>Six Months Ended 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55"/>
              <w:spacing w:after="0" w:line="147"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r>
      <w:tr>
        <w:trPr>
          <w:trHeight w:val="171"/>
        </w:trPr>
        <w:tc>
          <w:tcPr>
            <w:tcW w:w="4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(Decrease)</w:t>
            </w:r>
          </w:p>
        </w:tc>
      </w:tr>
      <w:tr>
        <w:trPr>
          <w:trHeight w:val="155"/>
        </w:trPr>
        <w:tc>
          <w:tcPr>
            <w:tcW w:w="4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w:t>
            </w:r>
          </w:p>
        </w:tc>
        <w:tc>
          <w:tcPr>
            <w:tcW w:w="120" w:type="dxa"/>
            <w:vAlign w:val="bottom"/>
            <w:shd w:val="clear" w:color="auto" w:fill="CFF0FC"/>
          </w:tcPr>
          <w:p>
            <w:pPr>
              <w:spacing w:after="0"/>
              <w:rPr>
                <w:sz w:val="19"/>
                <w:szCs w:val="19"/>
                <w:color w:val="auto"/>
              </w:rPr>
            </w:pPr>
          </w:p>
        </w:tc>
      </w:tr>
      <w:tr>
        <w:trPr>
          <w:trHeight w:val="230"/>
        </w:trPr>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FF0FC"/>
            </w:tcBorders>
          </w:tcPr>
          <w:p>
            <w:pPr>
              <w:spacing w:after="0"/>
              <w:rPr>
                <w:sz w:val="19"/>
                <w:szCs w:val="19"/>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6,576</w:t>
            </w:r>
          </w:p>
        </w:tc>
        <w:tc>
          <w:tcPr>
            <w:tcW w:w="120" w:type="dxa"/>
            <w:vAlign w:val="bottom"/>
            <w:shd w:val="clear" w:color="auto" w:fill="CFF0FC"/>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19"/>
                <w:szCs w:val="19"/>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1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24"/>
        <w:spacing w:after="0" w:line="293" w:lineRule="auto"/>
        <w:rPr>
          <w:sz w:val="20"/>
          <w:szCs w:val="20"/>
          <w:color w:val="auto"/>
        </w:rPr>
      </w:pPr>
      <w:r>
        <w:rPr>
          <w:rFonts w:ascii="Arial" w:cs="Arial" w:eastAsia="Arial" w:hAnsi="Arial"/>
          <w:sz w:val="16"/>
          <w:szCs w:val="16"/>
          <w:color w:val="auto"/>
        </w:rPr>
        <w:t>Research and development expenses for the six months ended June 30, 2021 increased $4.2 million compared to the six months ended June 30, 2020. The increase in research and development expenses compared to the prior year period was primarily driven by an increase of $2.4 million in clinical trial costs related to the completion of the SAD and MAD studies in early 2021 and the start of the Jive study preparation work, higher non-clinical costs of $1.6 million associated with the ongoing assay and toxicology studies, an increase of $1.3 million in personnel related costs due to increased headcount in our research and development functions, an increase of $0.7 million in stock-based compensation expense associated with stock option grants made in the second half of 2020 and thus far in 2021, partially offset by a decrease of $1.9 million in clinical supply manufacturing costs.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424"/>
        <w:spacing w:after="0" w:line="273" w:lineRule="auto"/>
        <w:rPr>
          <w:sz w:val="20"/>
          <w:szCs w:val="20"/>
          <w:color w:val="auto"/>
        </w:rPr>
      </w:pPr>
      <w:r>
        <w:rPr>
          <w:rFonts w:ascii="Arial" w:cs="Arial" w:eastAsia="Arial" w:hAnsi="Arial"/>
          <w:sz w:val="17"/>
          <w:szCs w:val="17"/>
          <w:color w:val="auto"/>
        </w:rPr>
        <w:t>General and administrative expenses for the six months ended June 30, 2021 increased $2.4 million compared to the six months ended June 30, 2020. The increase in general and administrative expenses as compared to the prior year period was primarily driven by an increase of $0.6 million in personnel related costs due to increased headcount, an increase of $1.0 million in stock-based compensation expense associated with stock option grants made in the second half of 2020 and thus far in 2021, and an increase of $1.5 million in professional fees primarily associated with insurance costs, recruiting expenses, legal and consulting fees as a result of operating as a public company, partially offset by a decrease of $0.7 million in accounting and audit costs related to additional years under audit in the first quarter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424"/>
        <w:spacing w:after="0" w:line="259"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5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(21,988)</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(21,120)</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24,470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40,643</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93,480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113,003</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ind w:right="100" w:firstLine="424"/>
        <w:spacing w:after="0" w:line="279" w:lineRule="auto"/>
        <w:rPr>
          <w:sz w:val="20"/>
          <w:szCs w:val="20"/>
          <w:color w:val="auto"/>
        </w:rPr>
      </w:pPr>
      <w:r>
        <w:rPr>
          <w:rFonts w:ascii="Arial" w:cs="Arial" w:eastAsia="Arial" w:hAnsi="Arial"/>
          <w:sz w:val="17"/>
          <w:szCs w:val="17"/>
          <w:color w:val="auto"/>
        </w:rPr>
        <w:t>During the six months ended June 30, 2021, operating activities used $22.0 million of cash, resulting from our net loss of $24.7 million, adjusted for noncash expenses of $2.7 million. Our net loss was primarily attributable to research and development activities related to our CTI-1601 program and our general and administrative expenses as described above. Noncash expenses primarily include stock-based compensation expense. The change in operating assets and liabilities was primarily due to a decrease in prepaid expenses and accounts payable.</w:t>
      </w:r>
    </w:p>
    <w:p>
      <w:pPr>
        <w:spacing w:after="0" w:line="63" w:lineRule="exact"/>
        <w:rPr>
          <w:sz w:val="20"/>
          <w:szCs w:val="20"/>
          <w:color w:val="auto"/>
        </w:rPr>
      </w:pPr>
    </w:p>
    <w:p>
      <w:pPr>
        <w:ind w:right="100" w:firstLine="424"/>
        <w:spacing w:after="0" w:line="259" w:lineRule="auto"/>
        <w:rPr>
          <w:sz w:val="20"/>
          <w:szCs w:val="20"/>
          <w:color w:val="auto"/>
        </w:rPr>
      </w:pPr>
      <w:r>
        <w:rPr>
          <w:rFonts w:ascii="Arial" w:cs="Arial" w:eastAsia="Arial" w:hAnsi="Arial"/>
          <w:sz w:val="18"/>
          <w:szCs w:val="18"/>
          <w:color w:val="auto"/>
        </w:rPr>
        <w:t>During the six months ended June 30, 2020, operating activities used $21.1 million of cash, resulting from our net loss of $18.0 million, adjusted for noncash expenses of $0.8 million and changes in our operating assets and liabilities of $4.0 million. Noncash expenses primarily include stock-based compensation expense. The change in operating assets and liabilities was primarily due to an increase in accounts payable, accrued expenses and prepaid expenses due to the growth in our operating activities.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680" w:firstLine="424"/>
        <w:spacing w:after="0" w:line="308" w:lineRule="auto"/>
        <w:rPr>
          <w:sz w:val="20"/>
          <w:szCs w:val="20"/>
          <w:color w:val="auto"/>
        </w:rPr>
      </w:pPr>
      <w:r>
        <w:rPr>
          <w:rFonts w:ascii="Arial" w:cs="Arial" w:eastAsia="Arial" w:hAnsi="Arial"/>
          <w:sz w:val="17"/>
          <w:szCs w:val="17"/>
          <w:color w:val="auto"/>
        </w:rPr>
        <w:t>During the six months ended June 30, 2021, investing activities provided $24.5 million of cash, resulting from a $26.3 million increase from maturities of marketable debt securities, which was partially offset by $1.7 million in purchases of new marketable debt securities.</w:t>
      </w:r>
    </w:p>
    <w:p>
      <w:pPr>
        <w:spacing w:after="0" w:line="38" w:lineRule="exact"/>
        <w:rPr>
          <w:sz w:val="20"/>
          <w:szCs w:val="20"/>
          <w:color w:val="auto"/>
        </w:rPr>
      </w:pPr>
    </w:p>
    <w:p>
      <w:pPr>
        <w:ind w:right="80" w:firstLine="424"/>
        <w:spacing w:after="0" w:line="308" w:lineRule="auto"/>
        <w:rPr>
          <w:sz w:val="20"/>
          <w:szCs w:val="20"/>
          <w:color w:val="auto"/>
        </w:rPr>
      </w:pPr>
      <w:r>
        <w:rPr>
          <w:rFonts w:ascii="Arial" w:cs="Arial" w:eastAsia="Arial" w:hAnsi="Arial"/>
          <w:sz w:val="17"/>
          <w:szCs w:val="17"/>
          <w:color w:val="auto"/>
        </w:rPr>
        <w:t>During the six months ended June 30, 2020, investing activities used $40.6 million of cash, resulting from a $41.9 million increase from our Merger, which was offset by transaction costs associated with the Merger of $1.2 million and $0.1 million from the purchase of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six months ended June 30, 2021, there was no cash provided by financing activities.</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During the six months ended June 30, 2020, net cash provided by financing activities of $93.5 million was the result of contributions from Holdings.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0" w:firstLine="424"/>
        <w:spacing w:after="0" w:line="259" w:lineRule="auto"/>
        <w:rPr>
          <w:sz w:val="20"/>
          <w:szCs w:val="20"/>
          <w:color w:val="auto"/>
        </w:rPr>
      </w:pPr>
      <w:r>
        <w:rPr>
          <w:rFonts w:ascii="Arial" w:cs="Arial" w:eastAsia="Arial" w:hAnsi="Arial"/>
          <w:sz w:val="18"/>
          <w:szCs w:val="18"/>
          <w:color w:val="auto"/>
        </w:rPr>
        <w:t>CTI-1601 is currently in clinical development. We recently completed the dosing of two phase 1 clinical trials and expect to initiate additional interventional studies of CTI-1601 in Friedreich ataxia in the first half of 2022, as well as initiate a non-interventional healthy volunteer study beginning in the second half of this year; therefore, we expect to continue to incur significant expenses and operating losses for the foreseeable future. We anticipate that we will continue to incur expenses, if and as we seek to:</w:t>
      </w:r>
    </w:p>
    <w:p>
      <w:pPr>
        <w:spacing w:after="0" w:line="79" w:lineRule="exact"/>
        <w:rPr>
          <w:sz w:val="20"/>
          <w:szCs w:val="20"/>
          <w:color w:val="auto"/>
        </w:rPr>
      </w:pPr>
    </w:p>
    <w:p>
      <w:pPr>
        <w:ind w:left="840" w:right="180" w:hanging="414"/>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development of CTI-1601 through additional clinical trials, including the cost of clinical materials as well as manufacturing scale up costs;</w:t>
      </w:r>
    </w:p>
    <w:p>
      <w:pPr>
        <w:spacing w:after="0" w:line="62" w:lineRule="exact"/>
        <w:rPr>
          <w:rFonts w:ascii="Arial" w:cs="Arial" w:eastAsia="Arial" w:hAnsi="Arial"/>
          <w:sz w:val="18"/>
          <w:szCs w:val="18"/>
          <w:color w:val="auto"/>
        </w:rPr>
      </w:pPr>
    </w:p>
    <w:p>
      <w:pPr>
        <w:ind w:left="840" w:right="40" w:hanging="414"/>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and advance development of additional product candidates into clinical development and identify additional indications for our product candidates;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regulatory approvals for our product candidates;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 and</w:t>
      </w:r>
    </w:p>
    <w:p>
      <w:pPr>
        <w:spacing w:after="0" w:line="117" w:lineRule="exact"/>
        <w:rPr>
          <w:rFonts w:ascii="Arial" w:cs="Arial" w:eastAsia="Arial" w:hAnsi="Arial"/>
          <w:sz w:val="18"/>
          <w:szCs w:val="18"/>
          <w:color w:val="auto"/>
        </w:rPr>
      </w:pPr>
    </w:p>
    <w:p>
      <w:pPr>
        <w:ind w:left="840" w:right="180" w:hanging="414"/>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right="40" w:firstLine="424"/>
        <w:spacing w:after="0" w:line="254" w:lineRule="auto"/>
        <w:rPr>
          <w:sz w:val="20"/>
          <w:szCs w:val="20"/>
          <w:color w:val="auto"/>
        </w:rPr>
      </w:pPr>
      <w:r>
        <w:rPr>
          <w:rFonts w:ascii="Arial" w:cs="Arial" w:eastAsia="Arial" w:hAnsi="Arial"/>
          <w:sz w:val="18"/>
          <w:szCs w:val="18"/>
          <w:color w:val="auto"/>
        </w:rPr>
        <w:t>We expect to continue to generate operating losses for the foreseeable future. We completed the Merger on May 28, 2020 which, upon closing, provided cash, cash equivalents, restricted cash, and marketable debt securities of $42.9 million concurrent with the Private Placement which provided additional net proceeds of $75.4 million. In August 2020, we entered into an Equity Distribution Agreement, or the ATM Agreement, with an investment bank, in connection with the establishment of an “at-the-market” offering program under which we may sell up to an aggregate of $50,000,000 of shares of our common stock from time to time through this investment bank, as sales agent. As of June 30, 2021, 11,524 shares of common stock have been sold under the Agreement for net proceeds of $0.2 million at an average gross price per share of $21.89. During the first half of 2021, no sales of common stock were sold under the ATM Agreement. In July 2021, the Company sold an additional 2,342,720 shares under the ATM Agreement for net proceeds of $19.9 million.</w:t>
      </w:r>
    </w:p>
    <w:p>
      <w:pPr>
        <w:spacing w:after="0" w:line="84" w:lineRule="exact"/>
        <w:rPr>
          <w:sz w:val="20"/>
          <w:szCs w:val="20"/>
          <w:color w:val="auto"/>
        </w:rPr>
      </w:pPr>
    </w:p>
    <w:p>
      <w:pPr>
        <w:ind w:right="180" w:firstLine="424"/>
        <w:spacing w:after="0" w:line="342" w:lineRule="auto"/>
        <w:rPr>
          <w:sz w:val="20"/>
          <w:szCs w:val="20"/>
          <w:color w:val="auto"/>
        </w:rPr>
      </w:pPr>
      <w:r>
        <w:rPr>
          <w:rFonts w:ascii="Arial" w:cs="Arial" w:eastAsia="Arial" w:hAnsi="Arial"/>
          <w:sz w:val="16"/>
          <w:szCs w:val="16"/>
          <w:color w:val="auto"/>
        </w:rPr>
        <w:t>We believe that, based on our current operating plan, our cash, cash equivalents and marketable debt securities as of the filing date will enable us to fund operations for at least twelve months from the issuance of our interim financial statements for the quarterly period ended June 30, 2021.</w:t>
      </w:r>
    </w:p>
    <w:p>
      <w:pPr>
        <w:spacing w:after="0" w:line="16" w:lineRule="exact"/>
        <w:rPr>
          <w:sz w:val="20"/>
          <w:szCs w:val="20"/>
          <w:color w:val="auto"/>
        </w:rPr>
      </w:pPr>
    </w:p>
    <w:p>
      <w:pPr>
        <w:ind w:firstLine="424"/>
        <w:spacing w:after="0" w:line="273" w:lineRule="auto"/>
        <w:rPr>
          <w:sz w:val="20"/>
          <w:szCs w:val="20"/>
          <w:color w:val="auto"/>
        </w:rPr>
      </w:pPr>
      <w:r>
        <w:rPr>
          <w:rFonts w:ascii="Arial" w:cs="Arial" w:eastAsia="Arial" w:hAnsi="Arial"/>
          <w:sz w:val="17"/>
          <w:szCs w:val="17"/>
          <w:color w:val="auto"/>
        </w:rPr>
        <w:t>Until such time, if ever, as we can generate substantial revenue, we expect to seek additional funding through a combination of equity offerings, debt financings, other third-party funding, marketing and distribution arrangements, and other collaborations, strategic alliances, and licensing arrangements. We may not be able to obtain financing on acceptable terms, or at all, and we may not be able to enter into collaborations or other arrangements. The terms of any financing may adversely affect the holdings or our existing stockholders’ rights. If we are unable to obtain additional funding, we will be forced to delay, reduce, or eliminate some or all of our research and development programs, product portfolio expansion or commercialization efforts, which would adversely affect our business, or we may be unable to continue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0" w:firstLine="424"/>
        <w:spacing w:after="0" w:line="286" w:lineRule="auto"/>
        <w:rPr>
          <w:sz w:val="20"/>
          <w:szCs w:val="20"/>
          <w:color w:val="auto"/>
        </w:rPr>
      </w:pPr>
      <w:r>
        <w:rPr>
          <w:rFonts w:ascii="Arial" w:cs="Arial" w:eastAsia="Arial" w:hAnsi="Arial"/>
          <w:sz w:val="17"/>
          <w:szCs w:val="17"/>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540" w:firstLine="424"/>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of Item 1 of this Quarterly Report on Form 10-Q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520" w:firstLine="424"/>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(Exchange Act) and are not required to provide the information under this item.</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00" w:firstLine="948"/>
        <w:spacing w:after="0" w:line="301"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157" w:lineRule="exact"/>
        <w:rPr>
          <w:sz w:val="20"/>
          <w:szCs w:val="20"/>
          <w:color w:val="auto"/>
        </w:rPr>
      </w:pPr>
    </w:p>
    <w:p>
      <w:pPr>
        <w:ind w:right="100" w:firstLine="948"/>
        <w:spacing w:after="0" w:line="277" w:lineRule="auto"/>
        <w:rPr>
          <w:sz w:val="20"/>
          <w:szCs w:val="20"/>
          <w:color w:val="auto"/>
        </w:rPr>
      </w:pPr>
      <w:r>
        <w:rPr>
          <w:rFonts w:ascii="Arial" w:cs="Arial" w:eastAsia="Arial" w:hAnsi="Arial"/>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0" w:lineRule="exact"/>
        <w:rPr>
          <w:sz w:val="20"/>
          <w:szCs w:val="20"/>
          <w:color w:val="auto"/>
        </w:rPr>
      </w:pPr>
    </w:p>
    <w:p>
      <w:pPr>
        <w:ind w:right="380" w:firstLine="948"/>
        <w:spacing w:after="0" w:line="286" w:lineRule="auto"/>
        <w:rPr>
          <w:sz w:val="20"/>
          <w:szCs w:val="20"/>
          <w:color w:val="auto"/>
        </w:rPr>
      </w:pPr>
      <w:r>
        <w:rPr>
          <w:rFonts w:ascii="Arial" w:cs="Arial" w:eastAsia="Arial" w:hAnsi="Arial"/>
          <w:sz w:val="17"/>
          <w:szCs w:val="17"/>
          <w:color w:val="auto"/>
        </w:rPr>
        <w:t>With respect to the quarter ended June 30, 2021,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57" w:lineRule="exact"/>
        <w:rPr>
          <w:sz w:val="20"/>
          <w:szCs w:val="20"/>
          <w:color w:val="auto"/>
        </w:rPr>
      </w:pPr>
    </w:p>
    <w:p>
      <w:pPr>
        <w:ind w:right="60" w:firstLine="624"/>
        <w:spacing w:after="0" w:line="296"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June 30, 2021 which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40" w:firstLine="424"/>
        <w:spacing w:after="0" w:line="263"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To our knowledge, there are no threatened or pending legal actions that could reasonably be expected to have a material adverse effect on our business, financial condition, results of operations or cash flows.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You should carefully consider the risk factors described in our 2020 Annual Report and in our Quarterly Report for the period ended March 31, 2021 under the caption “Item 1A. Risk Factors” Except as set forth below, there have been no material changes in our risk factors disclosed in our 2020 Annual Report and our Quarterly Report for the period ended March 31, 2021.</w:t>
      </w:r>
    </w:p>
    <w:p>
      <w:pPr>
        <w:spacing w:after="0" w:line="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color w:val="auto"/>
        </w:rPr>
        <w:t>The FDA has placed a clinical hold on CTI-1601. Our business may be adversely affected if the clinical hold cannot be favorably resolved in a timely manner or if such regulatory concerns lead to more burdensome preclinical or clinical studies that cause significant delays or expense in developing CTI-1601.</w:t>
      </w:r>
    </w:p>
    <w:p>
      <w:pPr>
        <w:spacing w:after="0" w:line="190"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On May 25, 2021 the FDA placed a clinical hold on the CTI-1601 investigational new drug application (IND) clinical program following our notification to the FDA of mortalities which occurred at the highest dose levels in an ongoing 180-day non-human primate (NHP) toxicology study, which is designed to support extended dosing of patients with CTI-1601. In the clinical hold letter, the FDA stated it needs a full study report from the ongoing NHP study and we may not initiate additional clinical trials until we have submitted the report and received notification from the FDA that additional clinical trials may commence.</w:t>
      </w:r>
    </w:p>
    <w:p>
      <w:pPr>
        <w:spacing w:after="0" w:line="188"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We cannot be certain whether or when the FDA will lift the clinical hold and allow us to pursue further development of CTI-1601 in the United States. If the FDA does not lift the clinical hold in a timely manner, or at all, our development timelines and our business may be adversely affected and our stock price may decline. Further, even if the FDA lifts the clinical hold, or if the FDA or other regulatory agencies continue to express safety concerns after the hold is lifted, future preclinical or clinical studies involving CTI-1601 may be more burdensome or include additional preclinical or clinical endpoints that are difficult to meet. In such instances, our progress in the development of CTI-1601 may be significantly slowed and the associated costs may be significantly increased, adversely affecting our business, which could impair our ability to ultimately obtain FDA approval for CTI-1601.</w:t>
      </w:r>
    </w:p>
    <w:p>
      <w:pPr>
        <w:spacing w:after="0" w:line="16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38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3460" w:type="dxa"/>
            <w:vAlign w:val="bottom"/>
          </w:tcPr>
          <w:p>
            <w:pPr>
              <w:spacing w:after="0"/>
              <w:rPr>
                <w:sz w:val="24"/>
                <w:szCs w:val="24"/>
                <w:color w:val="auto"/>
              </w:rPr>
            </w:pPr>
          </w:p>
        </w:tc>
        <w:tc>
          <w:tcPr>
            <w:tcW w:w="6380" w:type="dxa"/>
            <w:vAlign w:val="bottom"/>
            <w:gridSpan w:val="5"/>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1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56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Principal Executive Officer pursuant to Rule 13a-14(a) or Rule 15d-14(a) of the Securities Exchange Act of 1934, as</w:t>
              </w:r>
            </w:hyperlink>
          </w:p>
        </w:tc>
        <w:tc>
          <w:tcPr>
            <w:tcW w:w="280" w:type="dxa"/>
            <w:vAlign w:val="bottom"/>
            <w:tcBorders>
              <w:top w:val="single" w:sz="8" w:color="auto"/>
            </w:tcBorders>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adopted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Certification of Principal Financial Officer pursuant to Rule 13a-14(a) or Rule 15d-14(a) of the Securities Exchange Act of 1934, as</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adopted pursuant to Section 302 of the Sarbanes-Oxley Act of 2002.</w:t>
              </w:r>
            </w:hyperlink>
          </w:p>
        </w:tc>
        <w:tc>
          <w:tcPr>
            <w:tcW w:w="340" w:type="dxa"/>
            <w:vAlign w:val="bottom"/>
            <w:gridSpan w:val="3"/>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Principal Executive Officer and Principal Financial Officer pursuant to 18 U.S.C. Section 1350, as adopted pursuant to</w:t>
              </w:r>
            </w:hyperlink>
          </w:p>
        </w:tc>
      </w:tr>
      <w:tr>
        <w:trPr>
          <w:trHeight w:val="196"/>
        </w:trPr>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Section 906 of the Sarbanes-Oxley Act of 2002.</w:t>
              </w:r>
            </w:hyperlink>
          </w:p>
        </w:tc>
        <w:tc>
          <w:tcPr>
            <w:tcW w:w="140" w:type="dxa"/>
            <w:vAlign w:val="bottom"/>
          </w:tcPr>
          <w:p>
            <w:pPr>
              <w:spacing w:after="0"/>
              <w:rPr>
                <w:sz w:val="17"/>
                <w:szCs w:val="17"/>
                <w:color w:val="auto"/>
              </w:rPr>
            </w:pPr>
          </w:p>
        </w:tc>
      </w:tr>
      <w:tr>
        <w:trPr>
          <w:trHeight w:val="20"/>
        </w:trPr>
        <w:tc>
          <w:tcPr>
            <w:tcW w:w="1400" w:type="dxa"/>
            <w:vAlign w:val="bottom"/>
            <w:gridSpan w:val="2"/>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r>
      <w:tr>
        <w:trPr>
          <w:trHeight w:val="344"/>
        </w:trPr>
        <w:tc>
          <w:tcPr>
            <w:tcW w:w="14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 re embedded</w:t>
            </w:r>
          </w:p>
        </w:tc>
      </w:tr>
      <w:tr>
        <w:trPr>
          <w:trHeight w:val="230"/>
        </w:trPr>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4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23"/>
        </w:trPr>
        <w:tc>
          <w:tcPr>
            <w:tcW w:w="14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 Document.</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07"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LARIMAR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August 12, 2021</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195"/>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Carole S. Ben-Maimon, M.D.</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August 12, 2021</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Celano</w:t>
            </w:r>
          </w:p>
        </w:tc>
      </w:tr>
      <w:tr>
        <w:trPr>
          <w:trHeight w:val="195"/>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Michael Celano</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53"/>
        </w:trPr>
        <w:tc>
          <w:tcPr>
            <w:tcW w:w="3560" w:type="dxa"/>
            <w:vAlign w:val="bottom"/>
          </w:tcPr>
          <w:p>
            <w:pPr>
              <w:spacing w:after="0"/>
              <w:rPr>
                <w:sz w:val="24"/>
                <w:szCs w:val="24"/>
                <w:color w:val="auto"/>
              </w:rPr>
            </w:pPr>
          </w:p>
        </w:tc>
        <w:tc>
          <w:tcPr>
            <w:tcW w:w="254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240" w:right="180" w:hanging="409"/>
        <w:spacing w:after="0" w:line="263" w:lineRule="auto"/>
        <w:tabs>
          <w:tab w:leader="none" w:pos="1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240" w:right="120" w:hanging="409"/>
        <w:spacing w:after="0" w:line="263" w:lineRule="auto"/>
        <w:tabs>
          <w:tab w:leader="none" w:pos="1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240" w:right="280" w:hanging="409"/>
        <w:spacing w:after="0" w:line="325" w:lineRule="auto"/>
        <w:tabs>
          <w:tab w:leader="none" w:pos="12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40" w:right="280" w:hanging="409"/>
        <w:spacing w:after="0" w:line="263" w:lineRule="auto"/>
        <w:tabs>
          <w:tab w:leader="none" w:pos="1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right="520" w:hanging="409"/>
        <w:spacing w:after="0" w:line="325" w:lineRule="auto"/>
        <w:tabs>
          <w:tab w:leader="none" w:pos="12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40" w:right="220" w:hanging="409"/>
        <w:spacing w:after="0" w:line="277" w:lineRule="auto"/>
        <w:tabs>
          <w:tab w:leader="none" w:pos="12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62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90" w:lineRule="exact"/>
        <w:rPr>
          <w:rFonts w:ascii="Arial" w:cs="Arial" w:eastAsia="Arial" w:hAnsi="Arial"/>
          <w:sz w:val="18"/>
          <w:szCs w:val="18"/>
          <w:color w:val="auto"/>
        </w:rPr>
      </w:pPr>
    </w:p>
    <w:p>
      <w:pPr>
        <w:ind w:right="260" w:firstLine="8"/>
        <w:spacing w:after="0" w:line="325"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306"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240" w:right="180" w:hanging="409"/>
        <w:spacing w:after="0" w:line="263" w:lineRule="auto"/>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240" w:right="120" w:hanging="409"/>
        <w:spacing w:after="0" w:line="263" w:lineRule="auto"/>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240" w:right="280" w:hanging="409"/>
        <w:spacing w:after="0" w:line="325" w:lineRule="auto"/>
        <w:tabs>
          <w:tab w:leader="none" w:pos="12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40" w:right="280" w:hanging="409"/>
        <w:spacing w:after="0" w:line="263" w:lineRule="auto"/>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right="480" w:firstLine="8"/>
        <w:spacing w:after="0" w:line="306"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40" w:right="520" w:hanging="409"/>
        <w:spacing w:after="0" w:line="325" w:lineRule="auto"/>
        <w:tabs>
          <w:tab w:leader="none" w:pos="12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40" w:right="220" w:hanging="409"/>
        <w:spacing w:after="0" w:line="277" w:lineRule="auto"/>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62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Celano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Accounting Officer)</w:t>
      </w:r>
    </w:p>
    <w:p>
      <w:pPr>
        <w:sectPr>
          <w:pgSz w:w="11900" w:h="16838" w:orient="portrait"/>
          <w:cols w:equalWidth="0" w:num="1">
            <w:col w:w="11240"/>
          </w:cols>
          <w:pgMar w:left="320" w:top="36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19" w:lineRule="exact"/>
        <w:rPr>
          <w:sz w:val="20"/>
          <w:szCs w:val="20"/>
          <w:color w:val="auto"/>
        </w:rPr>
      </w:pPr>
    </w:p>
    <w:p>
      <w:pPr>
        <w:ind w:left="1660" w:right="380" w:hanging="829"/>
        <w:spacing w:after="0" w:line="277" w:lineRule="auto"/>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2021 (the “Report”) of the Company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1660" w:right="180" w:hanging="829"/>
        <w:spacing w:after="0" w:line="277" w:lineRule="auto"/>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Date: August 12, 2021</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Carole S. Ben-Maimon, M.D.</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Arial" w:cs="Arial" w:eastAsia="Arial" w:hAnsi="Arial"/>
                <w:sz w:val="18"/>
                <w:szCs w:val="18"/>
                <w:color w:val="auto"/>
              </w:rPr>
              <w:t>Date: August 12, 2021</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Michael Celano</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2021-08-12T09:38:00Z</dcterms:created>
  <dcterms:modified xsi:type="dcterms:W3CDTF">2021-08-12T09:38:00Z</dcterms:modified>
</cp:coreProperties>
</file>