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819"/>
        <w:spacing w:after="0"/>
        <w:rPr>
          <w:sz w:val="20"/>
          <w:szCs w:val="20"/>
          <w:color w:val="auto"/>
        </w:rPr>
      </w:pPr>
      <w:r>
        <w:rPr>
          <w:rFonts w:ascii="Courier New" w:cs="Courier New" w:eastAsia="Courier New" w:hAnsi="Courier New"/>
          <w:sz w:val="18"/>
          <w:szCs w:val="18"/>
          <w:color w:val="auto"/>
        </w:rPr>
        <w:t>UNITED STATES</w:t>
      </w:r>
    </w:p>
    <w:p>
      <w:pPr>
        <w:spacing w:after="0" w:line="29" w:lineRule="exact"/>
        <w:rPr>
          <w:sz w:val="24"/>
          <w:szCs w:val="24"/>
          <w:color w:val="auto"/>
        </w:rPr>
      </w:pPr>
    </w:p>
    <w:p>
      <w:pPr>
        <w:jc w:val="center"/>
        <w:ind w:right="169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699"/>
        <w:spacing w:after="0"/>
        <w:rPr>
          <w:sz w:val="20"/>
          <w:szCs w:val="20"/>
          <w:color w:val="auto"/>
        </w:rPr>
      </w:pPr>
      <w:r>
        <w:rPr>
          <w:rFonts w:ascii="Courier New" w:cs="Courier New" w:eastAsia="Courier New" w:hAnsi="Courier New"/>
          <w:sz w:val="18"/>
          <w:szCs w:val="18"/>
          <w:color w:val="auto"/>
        </w:rPr>
        <w:t>Washington, D.C. 20549</w:t>
      </w:r>
    </w:p>
    <w:p>
      <w:pPr>
        <w:spacing w:after="0" w:line="372"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SCHEDULE 13G</w:t>
      </w:r>
    </w:p>
    <w:p>
      <w:pPr>
        <w:spacing w:after="0" w:line="29" w:lineRule="exact"/>
        <w:rPr>
          <w:sz w:val="24"/>
          <w:szCs w:val="24"/>
          <w:color w:val="auto"/>
        </w:rPr>
      </w:pPr>
    </w:p>
    <w:p>
      <w:pPr>
        <w:ind w:left="2120"/>
        <w:spacing w:after="0"/>
        <w:rPr>
          <w:sz w:val="20"/>
          <w:szCs w:val="20"/>
          <w:color w:val="auto"/>
        </w:rPr>
      </w:pPr>
      <w:r>
        <w:rPr>
          <w:rFonts w:ascii="Courier New" w:cs="Courier New" w:eastAsia="Courier New" w:hAnsi="Courier New"/>
          <w:sz w:val="18"/>
          <w:szCs w:val="18"/>
          <w:color w:val="auto"/>
        </w:rPr>
        <w:t>Under the Securities Exchange Act of 1934</w:t>
      </w:r>
    </w:p>
    <w:p>
      <w:pPr>
        <w:ind w:left="2540"/>
        <w:spacing w:after="0"/>
        <w:rPr>
          <w:sz w:val="20"/>
          <w:szCs w:val="20"/>
          <w:color w:val="auto"/>
        </w:rPr>
      </w:pPr>
      <w:r>
        <w:rPr>
          <w:rFonts w:ascii="Courier New" w:cs="Courier New" w:eastAsia="Courier New" w:hAnsi="Courier New"/>
          <w:sz w:val="18"/>
          <w:szCs w:val="18"/>
          <w:color w:val="auto"/>
        </w:rPr>
        <w:t>(Amendment No. )*</w:t>
      </w:r>
    </w:p>
    <w:p>
      <w:pPr>
        <w:spacing w:after="0" w:line="200" w:lineRule="exact"/>
        <w:rPr>
          <w:sz w:val="24"/>
          <w:szCs w:val="24"/>
          <w:color w:val="auto"/>
        </w:rPr>
      </w:pPr>
    </w:p>
    <w:p>
      <w:pPr>
        <w:spacing w:after="0" w:line="200" w:lineRule="exact"/>
        <w:rPr>
          <w:sz w:val="24"/>
          <w:szCs w:val="24"/>
          <w:color w:val="auto"/>
        </w:rPr>
      </w:pPr>
    </w:p>
    <w:p>
      <w:pPr>
        <w:spacing w:after="0" w:line="377"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LARIMAR THERAPEUTICS, INC.</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(Name of Issuer)</w:t>
      </w:r>
    </w:p>
    <w:p>
      <w:pPr>
        <w:spacing w:after="0" w:line="372" w:lineRule="exact"/>
        <w:rPr>
          <w:sz w:val="24"/>
          <w:szCs w:val="24"/>
          <w:color w:val="auto"/>
        </w:rPr>
      </w:pPr>
    </w:p>
    <w:p>
      <w:pPr>
        <w:jc w:val="center"/>
        <w:ind w:right="1699"/>
        <w:spacing w:after="0"/>
        <w:rPr>
          <w:sz w:val="20"/>
          <w:szCs w:val="20"/>
          <w:color w:val="auto"/>
        </w:rPr>
      </w:pPr>
      <w:r>
        <w:rPr>
          <w:rFonts w:ascii="Courier New" w:cs="Courier New" w:eastAsia="Courier New" w:hAnsi="Courier New"/>
          <w:sz w:val="18"/>
          <w:szCs w:val="18"/>
          <w:color w:val="auto"/>
        </w:rPr>
        <w:t>Common Stock, par value $0.001 per share</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4"/>
          <w:szCs w:val="24"/>
          <w:color w:val="auto"/>
        </w:rPr>
      </w:pPr>
    </w:p>
    <w:p>
      <w:pPr>
        <w:ind w:left="2540"/>
        <w:spacing w:after="0"/>
        <w:rPr>
          <w:sz w:val="20"/>
          <w:szCs w:val="20"/>
          <w:color w:val="auto"/>
        </w:rPr>
      </w:pPr>
      <w:r>
        <w:rPr>
          <w:rFonts w:ascii="Courier New" w:cs="Courier New" w:eastAsia="Courier New" w:hAnsi="Courier New"/>
          <w:sz w:val="18"/>
          <w:szCs w:val="18"/>
          <w:color w:val="auto"/>
        </w:rPr>
        <w:t>(Title of Class of Securities)</w:t>
      </w:r>
    </w:p>
    <w:p>
      <w:pPr>
        <w:spacing w:after="0" w:line="372" w:lineRule="exact"/>
        <w:rPr>
          <w:sz w:val="24"/>
          <w:szCs w:val="24"/>
          <w:color w:val="auto"/>
        </w:rPr>
      </w:pPr>
    </w:p>
    <w:p>
      <w:pPr>
        <w:jc w:val="center"/>
        <w:ind w:right="1599"/>
        <w:spacing w:after="0"/>
        <w:rPr>
          <w:sz w:val="20"/>
          <w:szCs w:val="20"/>
          <w:color w:val="auto"/>
        </w:rPr>
      </w:pPr>
      <w:r>
        <w:rPr>
          <w:rFonts w:ascii="Courier New" w:cs="Courier New" w:eastAsia="Courier New" w:hAnsi="Courier New"/>
          <w:sz w:val="18"/>
          <w:szCs w:val="18"/>
          <w:color w:val="auto"/>
        </w:rPr>
        <w:t>517125100</w:t>
      </w:r>
    </w:p>
    <w:p>
      <w:pPr>
        <w:spacing w:after="0" w:line="29" w:lineRule="exact"/>
        <w:rPr>
          <w:sz w:val="24"/>
          <w:szCs w:val="24"/>
          <w:color w:val="auto"/>
        </w:rPr>
      </w:pPr>
    </w:p>
    <w:p>
      <w:pPr>
        <w:ind w:left="1900"/>
        <w:spacing w:after="0"/>
        <w:rPr>
          <w:sz w:val="20"/>
          <w:szCs w:val="20"/>
          <w:color w:val="auto"/>
        </w:rPr>
      </w:pPr>
      <w:r>
        <w:rPr>
          <w:rFonts w:ascii="Courier New" w:cs="Courier New" w:eastAsia="Courier New" w:hAnsi="Courier New"/>
          <w:sz w:val="18"/>
          <w:szCs w:val="18"/>
          <w:color w:val="auto"/>
        </w:rPr>
        <w:t>--------------------------------------------</w:t>
      </w:r>
    </w:p>
    <w:p>
      <w:pPr>
        <w:ind w:left="3480"/>
        <w:spacing w:after="0"/>
        <w:rPr>
          <w:sz w:val="20"/>
          <w:szCs w:val="20"/>
          <w:color w:val="auto"/>
        </w:rPr>
      </w:pPr>
      <w:r>
        <w:rPr>
          <w:rFonts w:ascii="Courier New" w:cs="Courier New" w:eastAsia="Courier New" w:hAnsi="Courier New"/>
          <w:sz w:val="18"/>
          <w:szCs w:val="18"/>
          <w:color w:val="auto"/>
        </w:rPr>
        <w:t>(CUSIP Number)</w:t>
      </w:r>
    </w:p>
    <w:p>
      <w:pPr>
        <w:spacing w:after="0" w:line="372"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September 30, 2024</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4"/>
          <w:szCs w:val="24"/>
          <w:color w:val="auto"/>
        </w:rPr>
      </w:pPr>
    </w:p>
    <w:p>
      <w:pPr>
        <w:ind w:left="1380"/>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169" w:lineRule="exact"/>
        <w:rPr>
          <w:sz w:val="24"/>
          <w:szCs w:val="24"/>
          <w:color w:val="auto"/>
        </w:rPr>
      </w:pPr>
    </w:p>
    <w:p>
      <w:pPr>
        <w:ind w:right="1819"/>
        <w:spacing w:after="0" w:line="346"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 w:lineRule="exact"/>
        <w:rPr>
          <w:sz w:val="24"/>
          <w:szCs w:val="24"/>
          <w:color w:val="auto"/>
        </w:rPr>
      </w:pPr>
    </w:p>
    <w:p>
      <w:pPr>
        <w:ind w:right="8339" w:firstLine="8"/>
        <w:spacing w:after="0" w:line="536"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Rule 13d-1(c)</w:t>
      </w: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 Rule 13d-1(d)</w:t>
      </w:r>
    </w:p>
    <w:p>
      <w:pPr>
        <w:spacing w:after="0" w:line="200" w:lineRule="exact"/>
        <w:rPr>
          <w:sz w:val="24"/>
          <w:szCs w:val="24"/>
          <w:color w:val="auto"/>
        </w:rPr>
      </w:pPr>
    </w:p>
    <w:p>
      <w:pPr>
        <w:spacing w:after="0" w:line="204" w:lineRule="exact"/>
        <w:rPr>
          <w:sz w:val="24"/>
          <w:szCs w:val="24"/>
          <w:color w:val="auto"/>
        </w:rPr>
      </w:pPr>
    </w:p>
    <w:p>
      <w:pPr>
        <w:ind w:right="1819"/>
        <w:spacing w:after="0" w:line="274"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84" w:lineRule="exact"/>
        <w:rPr>
          <w:sz w:val="24"/>
          <w:szCs w:val="24"/>
          <w:color w:val="auto"/>
        </w:rPr>
      </w:pPr>
    </w:p>
    <w:p>
      <w:pPr>
        <w:jc w:val="both"/>
        <w:ind w:right="1819"/>
        <w:spacing w:after="0" w:line="265"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89"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Page 1 of 11</w:t>
      </w:r>
    </w:p>
    <w:p>
      <w:pPr>
        <w:spacing w:after="0" w:line="200" w:lineRule="exact"/>
        <w:rPr>
          <w:sz w:val="24"/>
          <w:szCs w:val="24"/>
          <w:color w:val="auto"/>
        </w:rPr>
      </w:pPr>
    </w:p>
    <w:p>
      <w:pPr>
        <w:spacing w:after="0" w:line="200" w:lineRule="exact"/>
        <w:rPr>
          <w:sz w:val="24"/>
          <w:szCs w:val="24"/>
          <w:color w:val="auto"/>
        </w:rPr>
      </w:pPr>
    </w:p>
    <w:p>
      <w:pPr>
        <w:spacing w:after="0" w:line="380"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3280" w:type="dxa"/>
            <w:vAlign w:val="bottom"/>
          </w:tcPr>
          <w:p>
            <w:pPr>
              <w:jc w:val="center"/>
              <w:ind w:right="772"/>
              <w:spacing w:after="0"/>
              <w:rPr>
                <w:sz w:val="20"/>
                <w:szCs w:val="20"/>
                <w:color w:val="auto"/>
              </w:rPr>
            </w:pPr>
            <w:r>
              <w:rPr>
                <w:rFonts w:ascii="Courier New" w:cs="Courier New" w:eastAsia="Courier New" w:hAnsi="Courier New"/>
                <w:sz w:val="18"/>
                <w:szCs w:val="18"/>
                <w:color w:val="auto"/>
                <w:w w:val="97"/>
              </w:rPr>
              <w:t>-----------------------</w:t>
            </w:r>
          </w:p>
        </w:tc>
        <w:tc>
          <w:tcPr>
            <w:tcW w:w="1160" w:type="dxa"/>
            <w:vAlign w:val="bottom"/>
            <w:vMerge w:val="restart"/>
          </w:tcPr>
          <w:p>
            <w:pPr>
              <w:ind w:left="840"/>
              <w:spacing w:after="0"/>
              <w:rPr>
                <w:sz w:val="20"/>
                <w:szCs w:val="20"/>
                <w:color w:val="auto"/>
              </w:rPr>
            </w:pPr>
            <w:r>
              <w:rPr>
                <w:rFonts w:ascii="Courier New" w:cs="Courier New" w:eastAsia="Courier New" w:hAnsi="Courier New"/>
                <w:sz w:val="18"/>
                <w:szCs w:val="18"/>
                <w:color w:val="auto"/>
                <w:w w:val="92"/>
              </w:rPr>
              <w:t>13G</w:t>
            </w:r>
          </w:p>
        </w:tc>
        <w:tc>
          <w:tcPr>
            <w:tcW w:w="0" w:type="dxa"/>
            <w:vAlign w:val="bottom"/>
          </w:tcPr>
          <w:p>
            <w:pPr>
              <w:spacing w:after="0"/>
              <w:rPr>
                <w:sz w:val="1"/>
                <w:szCs w:val="1"/>
                <w:color w:val="auto"/>
              </w:rPr>
            </w:pPr>
          </w:p>
        </w:tc>
      </w:tr>
      <w:tr>
        <w:trPr>
          <w:trHeight w:val="203"/>
        </w:trPr>
        <w:tc>
          <w:tcPr>
            <w:tcW w:w="3280" w:type="dxa"/>
            <w:vAlign w:val="bottom"/>
          </w:tcPr>
          <w:p>
            <w:pPr>
              <w:jc w:val="center"/>
              <w:ind w:right="752"/>
              <w:spacing w:after="0" w:line="203" w:lineRule="exact"/>
              <w:rPr>
                <w:sz w:val="20"/>
                <w:szCs w:val="20"/>
                <w:color w:val="auto"/>
              </w:rPr>
            </w:pPr>
            <w:r>
              <w:rPr>
                <w:rFonts w:ascii="Courier New" w:cs="Courier New" w:eastAsia="Courier New" w:hAnsi="Courier New"/>
                <w:sz w:val="18"/>
                <w:szCs w:val="18"/>
                <w:color w:val="auto"/>
                <w:w w:val="97"/>
              </w:rPr>
              <w:t>CUSIP No. 517125100</w:t>
            </w:r>
          </w:p>
        </w:tc>
        <w:tc>
          <w:tcPr>
            <w:tcW w:w="1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3280" w:type="dxa"/>
            <w:vAlign w:val="bottom"/>
          </w:tcPr>
          <w:p>
            <w:pPr>
              <w:jc w:val="center"/>
              <w:ind w:right="772"/>
              <w:spacing w:after="0"/>
              <w:rPr>
                <w:sz w:val="20"/>
                <w:szCs w:val="20"/>
                <w:color w:val="auto"/>
              </w:rPr>
            </w:pPr>
            <w:r>
              <w:rPr>
                <w:rFonts w:ascii="Courier New" w:cs="Courier New" w:eastAsia="Courier New" w:hAnsi="Courier New"/>
                <w:sz w:val="18"/>
                <w:szCs w:val="18"/>
                <w:color w:val="auto"/>
                <w:w w:val="97"/>
              </w:rPr>
              <w:t>-----------------------</w:t>
            </w: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0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52" w:lineRule="exact"/>
        <w:rPr>
          <w:sz w:val="24"/>
          <w:szCs w:val="24"/>
          <w:color w:val="auto"/>
        </w:rPr>
      </w:pPr>
    </w:p>
    <w:p>
      <w:pPr>
        <w:ind w:left="640" w:hanging="527"/>
        <w:spacing w:after="0"/>
        <w:tabs>
          <w:tab w:leader="none" w:pos="6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6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 of above Person</w:t>
      </w:r>
    </w:p>
    <w:p>
      <w:pPr>
        <w:spacing w:after="0" w:line="169" w:lineRule="exact"/>
        <w:rPr>
          <w:sz w:val="24"/>
          <w:szCs w:val="24"/>
          <w:color w:val="auto"/>
        </w:rPr>
      </w:pPr>
    </w:p>
    <w:p>
      <w:pPr>
        <w:ind w:left="1060"/>
        <w:spacing w:after="0"/>
        <w:rPr>
          <w:sz w:val="20"/>
          <w:szCs w:val="20"/>
          <w:color w:val="auto"/>
        </w:rPr>
      </w:pPr>
      <w:r>
        <w:rPr>
          <w:rFonts w:ascii="Courier New" w:cs="Courier New" w:eastAsia="Courier New" w:hAnsi="Courier New"/>
          <w:sz w:val="18"/>
          <w:szCs w:val="18"/>
          <w:color w:val="auto"/>
        </w:rPr>
        <w:t>THE GOLDMAN SACHS GROUP, INC.</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53" w:lineRule="exact"/>
        <w:rPr>
          <w:sz w:val="24"/>
          <w:szCs w:val="24"/>
          <w:color w:val="auto"/>
        </w:rPr>
      </w:pPr>
    </w:p>
    <w:p>
      <w:pPr>
        <w:ind w:left="120"/>
        <w:spacing w:after="0"/>
        <w:tabs>
          <w:tab w:leader="none" w:pos="620" w:val="left"/>
        </w:tabs>
        <w:rPr>
          <w:sz w:val="20"/>
          <w:szCs w:val="20"/>
          <w:color w:val="auto"/>
        </w:rPr>
      </w:pPr>
      <w:r>
        <w:rPr>
          <w:rFonts w:ascii="Courier New" w:cs="Courier New" w:eastAsia="Courier New" w:hAnsi="Courier New"/>
          <w:sz w:val="18"/>
          <w:szCs w:val="18"/>
          <w:color w:val="auto"/>
        </w:rPr>
        <w:t>2.</w:t>
      </w:r>
      <w:r>
        <w:rPr>
          <w:sz w:val="20"/>
          <w:szCs w:val="20"/>
          <w:color w:val="auto"/>
        </w:rPr>
        <w:tab/>
      </w:r>
      <w:r>
        <w:rPr>
          <w:rFonts w:ascii="Courier New" w:cs="Courier New" w:eastAsia="Courier New" w:hAnsi="Courier New"/>
          <w:sz w:val="18"/>
          <w:szCs w:val="18"/>
          <w:color w:val="auto"/>
        </w:rPr>
        <w:t>Check the Appropriate Box if a Member of a Group</w:t>
      </w:r>
    </w:p>
    <w:p>
      <w:pPr>
        <w:spacing w:after="0" w:line="169" w:lineRule="exact"/>
        <w:rPr>
          <w:sz w:val="24"/>
          <w:szCs w:val="24"/>
          <w:color w:val="auto"/>
        </w:rPr>
      </w:pPr>
    </w:p>
    <w:p>
      <w:pPr>
        <w:ind w:left="6740"/>
        <w:spacing w:after="0"/>
        <w:rPr>
          <w:sz w:val="20"/>
          <w:szCs w:val="20"/>
          <w:color w:val="auto"/>
        </w:rPr>
      </w:pPr>
      <w:r>
        <w:rPr>
          <w:rFonts w:ascii="Courier New" w:cs="Courier New" w:eastAsia="Courier New" w:hAnsi="Courier New"/>
          <w:sz w:val="18"/>
          <w:szCs w:val="18"/>
          <w:color w:val="auto"/>
        </w:rPr>
        <w:t>(a) [_]</w:t>
      </w:r>
    </w:p>
    <w:p>
      <w:pPr>
        <w:spacing w:after="0" w:line="29" w:lineRule="exact"/>
        <w:rPr>
          <w:sz w:val="24"/>
          <w:szCs w:val="24"/>
          <w:color w:val="auto"/>
        </w:rPr>
      </w:pPr>
    </w:p>
    <w:p>
      <w:pPr>
        <w:ind w:left="6740"/>
        <w:spacing w:after="0"/>
        <w:rPr>
          <w:sz w:val="20"/>
          <w:szCs w:val="20"/>
          <w:color w:val="auto"/>
        </w:rPr>
      </w:pPr>
      <w:r>
        <w:rPr>
          <w:rFonts w:ascii="Courier New" w:cs="Courier New" w:eastAsia="Courier New" w:hAnsi="Courier New"/>
          <w:sz w:val="18"/>
          <w:szCs w:val="18"/>
          <w:color w:val="auto"/>
        </w:rPr>
        <w:t>(b) [_]</w:t>
      </w: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4"/>
          <w:szCs w:val="24"/>
          <w:color w:val="auto"/>
        </w:rPr>
      </w:pPr>
    </w:p>
    <w:p>
      <w:pPr>
        <w:ind w:left="120"/>
        <w:spacing w:after="0"/>
        <w:tabs>
          <w:tab w:leader="none" w:pos="620" w:val="left"/>
        </w:tabs>
        <w:rPr>
          <w:sz w:val="20"/>
          <w:szCs w:val="20"/>
          <w:color w:val="auto"/>
        </w:rPr>
      </w:pPr>
      <w:r>
        <w:rPr>
          <w:rFonts w:ascii="Courier New" w:cs="Courier New" w:eastAsia="Courier New" w:hAnsi="Courier New"/>
          <w:sz w:val="18"/>
          <w:szCs w:val="18"/>
          <w:color w:val="auto"/>
        </w:rPr>
        <w:t>3.</w:t>
      </w:r>
      <w:r>
        <w:rPr>
          <w:sz w:val="20"/>
          <w:szCs w:val="20"/>
          <w:color w:val="auto"/>
        </w:rPr>
        <w:tab/>
      </w:r>
      <w:r>
        <w:rPr>
          <w:rFonts w:ascii="Courier New" w:cs="Courier New" w:eastAsia="Courier New" w:hAnsi="Courier New"/>
          <w:sz w:val="18"/>
          <w:szCs w:val="18"/>
          <w:color w:val="auto"/>
        </w:rPr>
        <w:t>SEC Use Only</w:t>
      </w:r>
    </w:p>
    <w:p>
      <w:pPr>
        <w:sectPr>
          <w:pgSz w:w="11900" w:h="16838" w:orient="portrait"/>
          <w:cols w:equalWidth="0" w:num="1">
            <w:col w:w="10139"/>
          </w:cols>
          <w:pgMar w:left="320" w:top="825" w:right="1440" w:bottom="254" w:gutter="0" w:footer="0" w:header="0"/>
        </w:sectPr>
      </w:pPr>
    </w:p>
    <w:bookmarkStart w:id="1" w:name="page2"/>
    <w:bookmarkEnd w:id="1"/>
    <w:p>
      <w:pPr>
        <w:spacing w:after="0"/>
        <w:rPr>
          <w:sz w:val="20"/>
          <w:szCs w:val="20"/>
          <w:color w:val="auto"/>
        </w:rPr>
      </w:pPr>
      <w:r>
        <w:rPr>
          <w:rFonts w:ascii="Courier New" w:cs="Courier New" w:eastAsia="Courier New" w:hAnsi="Courier New"/>
          <w:sz w:val="16"/>
          <w:szCs w:val="16"/>
          <w:color w:val="auto"/>
        </w:rPr>
        <w:t>------------------------------------------------------------------------------</w:t>
      </w:r>
    </w:p>
    <w:p>
      <w:pPr>
        <w:spacing w:after="0" w:line="53" w:lineRule="exact"/>
        <w:rPr>
          <w:sz w:val="20"/>
          <w:szCs w:val="20"/>
          <w:color w:val="auto"/>
        </w:rPr>
      </w:pPr>
    </w:p>
    <w:p>
      <w:pPr>
        <w:ind w:left="640" w:hanging="527"/>
        <w:spacing w:after="0"/>
        <w:tabs>
          <w:tab w:leader="none" w:pos="6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169"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Delaware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53" w:lineRule="exact"/>
        <w:rPr>
          <w:sz w:val="20"/>
          <w:szCs w:val="20"/>
          <w:color w:val="auto"/>
        </w:rPr>
      </w:pPr>
    </w:p>
    <w:tbl>
      <w:tblPr>
        <w:tblLayout w:type="fixed"/>
        <w:tblInd w:w="320" w:type="dxa"/>
        <w:tblCellMar>
          <w:top w:w="0" w:type="dxa"/>
          <w:left w:w="0" w:type="dxa"/>
          <w:bottom w:w="0" w:type="dxa"/>
          <w:right w:w="0" w:type="dxa"/>
        </w:tblCellMar>
      </w:tblPr>
      <w:tr>
        <w:trPr>
          <w:trHeight w:val="296"/>
        </w:trPr>
        <w:tc>
          <w:tcPr>
            <w:tcW w:w="1540" w:type="dxa"/>
            <w:vAlign w:val="bottom"/>
          </w:tcPr>
          <w:p>
            <w:pPr>
              <w:spacing w:after="0"/>
              <w:rPr>
                <w:sz w:val="24"/>
                <w:szCs w:val="24"/>
                <w:color w:val="auto"/>
              </w:rPr>
            </w:pPr>
          </w:p>
        </w:tc>
        <w:tc>
          <w:tcPr>
            <w:tcW w:w="880" w:type="dxa"/>
            <w:vAlign w:val="bottom"/>
          </w:tcPr>
          <w:p>
            <w:pPr>
              <w:jc w:val="right"/>
              <w:ind w:right="263"/>
              <w:spacing w:after="0"/>
              <w:rPr>
                <w:sz w:val="20"/>
                <w:szCs w:val="20"/>
                <w:color w:val="auto"/>
              </w:rPr>
            </w:pPr>
            <w:r>
              <w:rPr>
                <w:rFonts w:ascii="Courier New" w:cs="Courier New" w:eastAsia="Courier New" w:hAnsi="Courier New"/>
                <w:sz w:val="18"/>
                <w:szCs w:val="18"/>
                <w:color w:val="auto"/>
              </w:rPr>
              <w:t>5.</w:t>
            </w:r>
          </w:p>
        </w:tc>
        <w:tc>
          <w:tcPr>
            <w:tcW w:w="548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c>
          <w:tcPr>
            <w:tcW w:w="0" w:type="dxa"/>
            <w:vAlign w:val="bottom"/>
          </w:tcPr>
          <w:p>
            <w:pPr>
              <w:spacing w:after="0"/>
              <w:rPr>
                <w:sz w:val="1"/>
                <w:szCs w:val="1"/>
                <w:color w:val="auto"/>
              </w:rPr>
            </w:pPr>
          </w:p>
        </w:tc>
      </w:tr>
      <w:tr>
        <w:trPr>
          <w:trHeight w:val="373"/>
        </w:trPr>
        <w:tc>
          <w:tcPr>
            <w:tcW w:w="1540" w:type="dxa"/>
            <w:vAlign w:val="bottom"/>
          </w:tcPr>
          <w:p>
            <w:pPr>
              <w:jc w:val="center"/>
              <w:ind w:right="72"/>
              <w:spacing w:after="0"/>
              <w:rPr>
                <w:sz w:val="20"/>
                <w:szCs w:val="20"/>
                <w:color w:val="auto"/>
              </w:rPr>
            </w:pPr>
            <w:r>
              <w:rPr>
                <w:rFonts w:ascii="Courier New" w:cs="Courier New" w:eastAsia="Courier New" w:hAnsi="Courier New"/>
                <w:sz w:val="18"/>
                <w:szCs w:val="18"/>
                <w:color w:val="auto"/>
                <w:w w:val="96"/>
              </w:rPr>
              <w:t>Number of</w:t>
            </w:r>
          </w:p>
        </w:tc>
        <w:tc>
          <w:tcPr>
            <w:tcW w:w="880" w:type="dxa"/>
            <w:vAlign w:val="bottom"/>
          </w:tcPr>
          <w:p>
            <w:pPr>
              <w:spacing w:after="0"/>
              <w:rPr>
                <w:sz w:val="24"/>
                <w:szCs w:val="24"/>
                <w:color w:val="auto"/>
              </w:rPr>
            </w:pPr>
          </w:p>
        </w:tc>
        <w:tc>
          <w:tcPr>
            <w:tcW w:w="5480" w:type="dxa"/>
            <w:vAlign w:val="bottom"/>
          </w:tcPr>
          <w:p>
            <w:pPr>
              <w:ind w:left="540"/>
              <w:spacing w:after="0"/>
              <w:rPr>
                <w:sz w:val="20"/>
                <w:szCs w:val="20"/>
                <w:color w:val="auto"/>
              </w:rPr>
            </w:pPr>
            <w:r>
              <w:rPr>
                <w:rFonts w:ascii="Courier New" w:cs="Courier New" w:eastAsia="Courier New" w:hAnsi="Courier New"/>
                <w:sz w:val="18"/>
                <w:szCs w:val="18"/>
                <w:color w:val="auto"/>
              </w:rPr>
              <w:t>0</w:t>
            </w:r>
          </w:p>
        </w:tc>
        <w:tc>
          <w:tcPr>
            <w:tcW w:w="0" w:type="dxa"/>
            <w:vAlign w:val="bottom"/>
          </w:tcPr>
          <w:p>
            <w:pPr>
              <w:spacing w:after="0"/>
              <w:rPr>
                <w:sz w:val="1"/>
                <w:szCs w:val="1"/>
                <w:color w:val="auto"/>
              </w:rPr>
            </w:pPr>
          </w:p>
        </w:tc>
      </w:tr>
      <w:tr>
        <w:trPr>
          <w:trHeight w:val="405"/>
        </w:trPr>
        <w:tc>
          <w:tcPr>
            <w:tcW w:w="1540" w:type="dxa"/>
            <w:vAlign w:val="bottom"/>
          </w:tcPr>
          <w:p>
            <w:pPr>
              <w:jc w:val="center"/>
              <w:ind w:right="172"/>
              <w:spacing w:after="0"/>
              <w:rPr>
                <w:sz w:val="20"/>
                <w:szCs w:val="20"/>
                <w:color w:val="auto"/>
              </w:rPr>
            </w:pPr>
            <w:r>
              <w:rPr>
                <w:rFonts w:ascii="Courier New" w:cs="Courier New" w:eastAsia="Courier New" w:hAnsi="Courier New"/>
                <w:sz w:val="18"/>
                <w:szCs w:val="18"/>
                <w:color w:val="auto"/>
                <w:w w:val="98"/>
              </w:rPr>
              <w:t>Shares</w:t>
            </w:r>
          </w:p>
        </w:tc>
        <w:tc>
          <w:tcPr>
            <w:tcW w:w="880" w:type="dxa"/>
            <w:vAlign w:val="bottom"/>
            <w:vMerge w:val="restart"/>
          </w:tcPr>
          <w:p>
            <w:pPr>
              <w:ind w:left="260"/>
              <w:spacing w:after="0"/>
              <w:rPr>
                <w:sz w:val="20"/>
                <w:szCs w:val="20"/>
                <w:color w:val="auto"/>
              </w:rPr>
            </w:pPr>
            <w:r>
              <w:rPr>
                <w:rFonts w:ascii="Courier New" w:cs="Courier New" w:eastAsia="Courier New" w:hAnsi="Courier New"/>
                <w:sz w:val="2"/>
                <w:szCs w:val="2"/>
                <w:color w:val="auto"/>
                <w:w w:val="82"/>
              </w:rPr>
              <w:t>----------------------------------------------------------</w:t>
            </w:r>
            <w:r>
              <w:rPr>
                <w:rFonts w:ascii="Courier New" w:cs="Courier New" w:eastAsia="Courier New" w:hAnsi="Courier New"/>
                <w:sz w:val="4"/>
                <w:szCs w:val="4"/>
                <w:color w:val="auto"/>
                <w:w w:val="82"/>
                <w:vertAlign w:val="subscript"/>
              </w:rPr>
              <w:t>6.</w:t>
            </w:r>
          </w:p>
        </w:tc>
        <w:tc>
          <w:tcPr>
            <w:tcW w:w="5480" w:type="dxa"/>
            <w:vAlign w:val="bottom"/>
            <w:vMerge w:val="restart"/>
          </w:tcPr>
          <w:p>
            <w:pPr>
              <w:spacing w:after="0"/>
              <w:rPr>
                <w:sz w:val="20"/>
                <w:szCs w:val="20"/>
                <w:color w:val="auto"/>
              </w:rPr>
            </w:pPr>
            <w:r>
              <w:rPr>
                <w:rFonts w:ascii="Courier New" w:cs="Courier New" w:eastAsia="Courier New" w:hAnsi="Courier New"/>
                <w:sz w:val="18"/>
                <w:szCs w:val="18"/>
                <w:color w:val="auto"/>
              </w:rPr>
              <w:t>Shared Voting Power</w:t>
            </w:r>
          </w:p>
        </w:tc>
        <w:tc>
          <w:tcPr>
            <w:tcW w:w="0" w:type="dxa"/>
            <w:vAlign w:val="bottom"/>
          </w:tcPr>
          <w:p>
            <w:pPr>
              <w:spacing w:after="0"/>
              <w:rPr>
                <w:sz w:val="1"/>
                <w:szCs w:val="1"/>
                <w:color w:val="auto"/>
              </w:rPr>
            </w:pPr>
          </w:p>
        </w:tc>
      </w:tr>
      <w:tr>
        <w:trPr>
          <w:trHeight w:val="203"/>
        </w:trPr>
        <w:tc>
          <w:tcPr>
            <w:tcW w:w="1540" w:type="dxa"/>
            <w:vAlign w:val="bottom"/>
            <w:vMerge w:val="restart"/>
          </w:tcPr>
          <w:p>
            <w:pPr>
              <w:jc w:val="center"/>
              <w:ind w:right="192"/>
              <w:spacing w:after="0"/>
              <w:rPr>
                <w:sz w:val="20"/>
                <w:szCs w:val="20"/>
                <w:color w:val="auto"/>
              </w:rPr>
            </w:pPr>
            <w:r>
              <w:rPr>
                <w:rFonts w:ascii="Courier New" w:cs="Courier New" w:eastAsia="Courier New" w:hAnsi="Courier New"/>
                <w:sz w:val="18"/>
                <w:szCs w:val="18"/>
                <w:color w:val="auto"/>
                <w:w w:val="97"/>
              </w:rPr>
              <w:t>Beneficially</w:t>
            </w:r>
          </w:p>
        </w:tc>
        <w:tc>
          <w:tcPr>
            <w:tcW w:w="880" w:type="dxa"/>
            <w:vAlign w:val="bottom"/>
            <w:vMerge w:val="continue"/>
          </w:tcPr>
          <w:p>
            <w:pPr>
              <w:spacing w:after="0"/>
              <w:rPr>
                <w:sz w:val="17"/>
                <w:szCs w:val="17"/>
                <w:color w:val="auto"/>
              </w:rPr>
            </w:pPr>
          </w:p>
        </w:tc>
        <w:tc>
          <w:tcPr>
            <w:tcW w:w="54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40" w:type="dxa"/>
            <w:vAlign w:val="bottom"/>
            <w:vMerge w:val="continue"/>
          </w:tcPr>
          <w:p>
            <w:pPr>
              <w:spacing w:after="0"/>
              <w:rPr>
                <w:sz w:val="17"/>
                <w:szCs w:val="17"/>
                <w:color w:val="auto"/>
              </w:rPr>
            </w:pPr>
          </w:p>
        </w:tc>
        <w:tc>
          <w:tcPr>
            <w:tcW w:w="880" w:type="dxa"/>
            <w:vAlign w:val="bottom"/>
          </w:tcPr>
          <w:p>
            <w:pPr>
              <w:spacing w:after="0"/>
              <w:rPr>
                <w:sz w:val="17"/>
                <w:szCs w:val="17"/>
                <w:color w:val="auto"/>
              </w:rPr>
            </w:pPr>
          </w:p>
        </w:tc>
        <w:tc>
          <w:tcPr>
            <w:tcW w:w="5480" w:type="dxa"/>
            <w:vAlign w:val="bottom"/>
            <w:vMerge w:val="restart"/>
          </w:tcPr>
          <w:p>
            <w:pPr>
              <w:ind w:left="540"/>
              <w:spacing w:after="0"/>
              <w:rPr>
                <w:sz w:val="20"/>
                <w:szCs w:val="20"/>
                <w:color w:val="auto"/>
              </w:rPr>
            </w:pPr>
            <w:r>
              <w:rPr>
                <w:rFonts w:ascii="Courier New" w:cs="Courier New" w:eastAsia="Courier New" w:hAnsi="Courier New"/>
                <w:sz w:val="18"/>
                <w:szCs w:val="18"/>
                <w:color w:val="auto"/>
              </w:rPr>
              <w:t>4,492,017</w:t>
            </w:r>
          </w:p>
        </w:tc>
        <w:tc>
          <w:tcPr>
            <w:tcW w:w="0" w:type="dxa"/>
            <w:vAlign w:val="bottom"/>
          </w:tcPr>
          <w:p>
            <w:pPr>
              <w:spacing w:after="0"/>
              <w:rPr>
                <w:sz w:val="1"/>
                <w:szCs w:val="1"/>
                <w:color w:val="auto"/>
              </w:rPr>
            </w:pPr>
          </w:p>
        </w:tc>
      </w:tr>
      <w:tr>
        <w:trPr>
          <w:trHeight w:val="203"/>
        </w:trPr>
        <w:tc>
          <w:tcPr>
            <w:tcW w:w="1540" w:type="dxa"/>
            <w:vAlign w:val="bottom"/>
            <w:vMerge w:val="restart"/>
          </w:tcPr>
          <w:p>
            <w:pPr>
              <w:jc w:val="center"/>
              <w:ind w:right="172"/>
              <w:spacing w:after="0"/>
              <w:rPr>
                <w:sz w:val="20"/>
                <w:szCs w:val="20"/>
                <w:color w:val="auto"/>
              </w:rPr>
            </w:pPr>
            <w:r>
              <w:rPr>
                <w:rFonts w:ascii="Courier New" w:cs="Courier New" w:eastAsia="Courier New" w:hAnsi="Courier New"/>
                <w:sz w:val="18"/>
                <w:szCs w:val="18"/>
                <w:color w:val="auto"/>
                <w:w w:val="97"/>
              </w:rPr>
              <w:t>Owned by</w:t>
            </w:r>
          </w:p>
        </w:tc>
        <w:tc>
          <w:tcPr>
            <w:tcW w:w="880" w:type="dxa"/>
            <w:vAlign w:val="bottom"/>
          </w:tcPr>
          <w:p>
            <w:pPr>
              <w:spacing w:after="0"/>
              <w:rPr>
                <w:sz w:val="17"/>
                <w:szCs w:val="17"/>
                <w:color w:val="auto"/>
              </w:rPr>
            </w:pPr>
          </w:p>
        </w:tc>
        <w:tc>
          <w:tcPr>
            <w:tcW w:w="54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40" w:type="dxa"/>
            <w:vAlign w:val="bottom"/>
            <w:vMerge w:val="continue"/>
          </w:tcPr>
          <w:p>
            <w:pPr>
              <w:spacing w:after="0"/>
              <w:rPr>
                <w:sz w:val="17"/>
                <w:szCs w:val="17"/>
                <w:color w:val="auto"/>
              </w:rPr>
            </w:pPr>
          </w:p>
        </w:tc>
        <w:tc>
          <w:tcPr>
            <w:tcW w:w="6360" w:type="dxa"/>
            <w:vAlign w:val="bottom"/>
            <w:gridSpan w:val="2"/>
            <w:vMerge w:val="restart"/>
          </w:tcPr>
          <w:p>
            <w:pPr>
              <w:ind w:left="260"/>
              <w:spacing w:after="0"/>
              <w:rPr>
                <w:sz w:val="20"/>
                <w:szCs w:val="20"/>
                <w:color w:val="auto"/>
              </w:rPr>
            </w:pPr>
            <w:r>
              <w:rPr>
                <w:rFonts w:ascii="Courier New" w:cs="Courier New" w:eastAsia="Courier New" w:hAnsi="Courier New"/>
                <w:sz w:val="18"/>
                <w:szCs w:val="18"/>
                <w:color w:val="auto"/>
                <w:w w:val="97"/>
              </w:rPr>
              <w:t>----------------------------------------------------------</w:t>
            </w:r>
          </w:p>
        </w:tc>
        <w:tc>
          <w:tcPr>
            <w:tcW w:w="0" w:type="dxa"/>
            <w:vAlign w:val="bottom"/>
          </w:tcPr>
          <w:p>
            <w:pPr>
              <w:spacing w:after="0"/>
              <w:rPr>
                <w:sz w:val="1"/>
                <w:szCs w:val="1"/>
                <w:color w:val="auto"/>
              </w:rPr>
            </w:pPr>
          </w:p>
        </w:tc>
      </w:tr>
      <w:tr>
        <w:trPr>
          <w:trHeight w:val="109"/>
        </w:trPr>
        <w:tc>
          <w:tcPr>
            <w:tcW w:w="1540" w:type="dxa"/>
            <w:vAlign w:val="bottom"/>
            <w:vMerge w:val="restart"/>
          </w:tcPr>
          <w:p>
            <w:pPr>
              <w:jc w:val="center"/>
              <w:ind w:right="192"/>
              <w:spacing w:after="0"/>
              <w:rPr>
                <w:sz w:val="20"/>
                <w:szCs w:val="20"/>
                <w:color w:val="auto"/>
              </w:rPr>
            </w:pPr>
            <w:r>
              <w:rPr>
                <w:rFonts w:ascii="Courier New" w:cs="Courier New" w:eastAsia="Courier New" w:hAnsi="Courier New"/>
                <w:sz w:val="18"/>
                <w:szCs w:val="18"/>
                <w:color w:val="auto"/>
                <w:w w:val="97"/>
              </w:rPr>
              <w:t>Each</w:t>
            </w:r>
          </w:p>
        </w:tc>
        <w:tc>
          <w:tcPr>
            <w:tcW w:w="636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96"/>
        </w:trPr>
        <w:tc>
          <w:tcPr>
            <w:tcW w:w="1540" w:type="dxa"/>
            <w:vAlign w:val="bottom"/>
            <w:vMerge w:val="continue"/>
          </w:tcPr>
          <w:p>
            <w:pPr>
              <w:spacing w:after="0"/>
              <w:rPr>
                <w:sz w:val="24"/>
                <w:szCs w:val="24"/>
                <w:color w:val="auto"/>
              </w:rPr>
            </w:pPr>
          </w:p>
        </w:tc>
        <w:tc>
          <w:tcPr>
            <w:tcW w:w="880" w:type="dxa"/>
            <w:vAlign w:val="bottom"/>
          </w:tcPr>
          <w:p>
            <w:pPr>
              <w:jc w:val="right"/>
              <w:ind w:right="263"/>
              <w:spacing w:after="0"/>
              <w:rPr>
                <w:sz w:val="20"/>
                <w:szCs w:val="20"/>
                <w:color w:val="auto"/>
              </w:rPr>
            </w:pPr>
            <w:r>
              <w:rPr>
                <w:rFonts w:ascii="Courier New" w:cs="Courier New" w:eastAsia="Courier New" w:hAnsi="Courier New"/>
                <w:sz w:val="18"/>
                <w:szCs w:val="18"/>
                <w:color w:val="auto"/>
              </w:rPr>
              <w:t>7.</w:t>
            </w:r>
          </w:p>
        </w:tc>
        <w:tc>
          <w:tcPr>
            <w:tcW w:w="5480" w:type="dxa"/>
            <w:vAlign w:val="bottom"/>
          </w:tcPr>
          <w:p>
            <w:pPr>
              <w:spacing w:after="0"/>
              <w:rPr>
                <w:sz w:val="20"/>
                <w:szCs w:val="20"/>
                <w:color w:val="auto"/>
              </w:rPr>
            </w:pPr>
            <w:r>
              <w:rPr>
                <w:rFonts w:ascii="Courier New" w:cs="Courier New" w:eastAsia="Courier New" w:hAnsi="Courier New"/>
                <w:sz w:val="18"/>
                <w:szCs w:val="18"/>
                <w:color w:val="auto"/>
              </w:rPr>
              <w:t>Sole Dispositive Power</w:t>
            </w:r>
          </w:p>
        </w:tc>
        <w:tc>
          <w:tcPr>
            <w:tcW w:w="0" w:type="dxa"/>
            <w:vAlign w:val="bottom"/>
          </w:tcPr>
          <w:p>
            <w:pPr>
              <w:spacing w:after="0"/>
              <w:rPr>
                <w:sz w:val="1"/>
                <w:szCs w:val="1"/>
                <w:color w:val="auto"/>
              </w:rPr>
            </w:pPr>
          </w:p>
        </w:tc>
      </w:tr>
      <w:tr>
        <w:trPr>
          <w:trHeight w:val="405"/>
        </w:trPr>
        <w:tc>
          <w:tcPr>
            <w:tcW w:w="1540" w:type="dxa"/>
            <w:vAlign w:val="bottom"/>
          </w:tcPr>
          <w:p>
            <w:pPr>
              <w:ind w:left="100"/>
              <w:spacing w:after="0"/>
              <w:rPr>
                <w:sz w:val="20"/>
                <w:szCs w:val="20"/>
                <w:color w:val="auto"/>
              </w:rPr>
            </w:pPr>
            <w:r>
              <w:rPr>
                <w:rFonts w:ascii="Courier New" w:cs="Courier New" w:eastAsia="Courier New" w:hAnsi="Courier New"/>
                <w:sz w:val="18"/>
                <w:szCs w:val="18"/>
                <w:color w:val="auto"/>
              </w:rPr>
              <w:t>Reporting</w:t>
            </w:r>
          </w:p>
        </w:tc>
        <w:tc>
          <w:tcPr>
            <w:tcW w:w="880" w:type="dxa"/>
            <w:vAlign w:val="bottom"/>
          </w:tcPr>
          <w:p>
            <w:pPr>
              <w:spacing w:after="0"/>
              <w:rPr>
                <w:sz w:val="24"/>
                <w:szCs w:val="24"/>
                <w:color w:val="auto"/>
              </w:rPr>
            </w:pPr>
          </w:p>
        </w:tc>
        <w:tc>
          <w:tcPr>
            <w:tcW w:w="5480" w:type="dxa"/>
            <w:vAlign w:val="bottom"/>
          </w:tcPr>
          <w:p>
            <w:pPr>
              <w:ind w:left="540"/>
              <w:spacing w:after="0"/>
              <w:rPr>
                <w:sz w:val="20"/>
                <w:szCs w:val="20"/>
                <w:color w:val="auto"/>
              </w:rPr>
            </w:pPr>
            <w:r>
              <w:rPr>
                <w:rFonts w:ascii="Courier New" w:cs="Courier New" w:eastAsia="Courier New" w:hAnsi="Courier New"/>
                <w:sz w:val="18"/>
                <w:szCs w:val="18"/>
                <w:color w:val="auto"/>
              </w:rPr>
              <w:t>0</w:t>
            </w:r>
          </w:p>
        </w:tc>
        <w:tc>
          <w:tcPr>
            <w:tcW w:w="0" w:type="dxa"/>
            <w:vAlign w:val="bottom"/>
          </w:tcPr>
          <w:p>
            <w:pPr>
              <w:spacing w:after="0"/>
              <w:rPr>
                <w:sz w:val="1"/>
                <w:szCs w:val="1"/>
                <w:color w:val="auto"/>
              </w:rPr>
            </w:pPr>
          </w:p>
        </w:tc>
      </w:tr>
      <w:tr>
        <w:trPr>
          <w:trHeight w:val="405"/>
        </w:trPr>
        <w:tc>
          <w:tcPr>
            <w:tcW w:w="1540" w:type="dxa"/>
            <w:vAlign w:val="bottom"/>
          </w:tcPr>
          <w:p>
            <w:pPr>
              <w:jc w:val="center"/>
              <w:ind w:right="172"/>
              <w:spacing w:after="0"/>
              <w:rPr>
                <w:sz w:val="20"/>
                <w:szCs w:val="20"/>
                <w:color w:val="auto"/>
              </w:rPr>
            </w:pPr>
            <w:r>
              <w:rPr>
                <w:rFonts w:ascii="Courier New" w:cs="Courier New" w:eastAsia="Courier New" w:hAnsi="Courier New"/>
                <w:sz w:val="18"/>
                <w:szCs w:val="18"/>
                <w:color w:val="auto"/>
                <w:w w:val="98"/>
              </w:rPr>
              <w:t>Person</w:t>
            </w:r>
          </w:p>
        </w:tc>
        <w:tc>
          <w:tcPr>
            <w:tcW w:w="880" w:type="dxa"/>
            <w:vAlign w:val="bottom"/>
            <w:vMerge w:val="restart"/>
          </w:tcPr>
          <w:p>
            <w:pPr>
              <w:ind w:left="260"/>
              <w:spacing w:after="0"/>
              <w:rPr>
                <w:sz w:val="20"/>
                <w:szCs w:val="20"/>
                <w:color w:val="auto"/>
              </w:rPr>
            </w:pPr>
            <w:r>
              <w:rPr>
                <w:rFonts w:ascii="Courier New" w:cs="Courier New" w:eastAsia="Courier New" w:hAnsi="Courier New"/>
                <w:sz w:val="2"/>
                <w:szCs w:val="2"/>
                <w:color w:val="auto"/>
                <w:w w:val="82"/>
              </w:rPr>
              <w:t>----------------------------------------------------------</w:t>
            </w:r>
            <w:r>
              <w:rPr>
                <w:rFonts w:ascii="Courier New" w:cs="Courier New" w:eastAsia="Courier New" w:hAnsi="Courier New"/>
                <w:sz w:val="4"/>
                <w:szCs w:val="4"/>
                <w:color w:val="auto"/>
                <w:w w:val="82"/>
                <w:vertAlign w:val="subscript"/>
              </w:rPr>
              <w:t>8.</w:t>
            </w:r>
          </w:p>
        </w:tc>
        <w:tc>
          <w:tcPr>
            <w:tcW w:w="5480" w:type="dxa"/>
            <w:vAlign w:val="bottom"/>
            <w:vMerge w:val="restart"/>
          </w:tcPr>
          <w:p>
            <w:pPr>
              <w:spacing w:after="0"/>
              <w:rPr>
                <w:sz w:val="20"/>
                <w:szCs w:val="20"/>
                <w:color w:val="auto"/>
              </w:rPr>
            </w:pPr>
            <w:r>
              <w:rPr>
                <w:rFonts w:ascii="Courier New" w:cs="Courier New" w:eastAsia="Courier New" w:hAnsi="Courier New"/>
                <w:sz w:val="18"/>
                <w:szCs w:val="18"/>
                <w:color w:val="auto"/>
              </w:rPr>
              <w:t>Shared Dispositive Power</w:t>
            </w:r>
          </w:p>
        </w:tc>
        <w:tc>
          <w:tcPr>
            <w:tcW w:w="0" w:type="dxa"/>
            <w:vAlign w:val="bottom"/>
          </w:tcPr>
          <w:p>
            <w:pPr>
              <w:spacing w:after="0"/>
              <w:rPr>
                <w:sz w:val="1"/>
                <w:szCs w:val="1"/>
                <w:color w:val="auto"/>
              </w:rPr>
            </w:pPr>
          </w:p>
        </w:tc>
      </w:tr>
      <w:tr>
        <w:trPr>
          <w:trHeight w:val="203"/>
        </w:trPr>
        <w:tc>
          <w:tcPr>
            <w:tcW w:w="1540" w:type="dxa"/>
            <w:vAlign w:val="bottom"/>
            <w:vMerge w:val="restart"/>
          </w:tcPr>
          <w:p>
            <w:pPr>
              <w:jc w:val="center"/>
              <w:ind w:right="72"/>
              <w:spacing w:after="0"/>
              <w:rPr>
                <w:sz w:val="20"/>
                <w:szCs w:val="20"/>
                <w:color w:val="auto"/>
              </w:rPr>
            </w:pPr>
            <w:r>
              <w:rPr>
                <w:rFonts w:ascii="Courier New" w:cs="Courier New" w:eastAsia="Courier New" w:hAnsi="Courier New"/>
                <w:sz w:val="18"/>
                <w:szCs w:val="18"/>
                <w:color w:val="auto"/>
                <w:w w:val="99"/>
              </w:rPr>
              <w:t>With:</w:t>
            </w:r>
          </w:p>
        </w:tc>
        <w:tc>
          <w:tcPr>
            <w:tcW w:w="880" w:type="dxa"/>
            <w:vAlign w:val="bottom"/>
            <w:vMerge w:val="continue"/>
          </w:tcPr>
          <w:p>
            <w:pPr>
              <w:spacing w:after="0"/>
              <w:rPr>
                <w:sz w:val="17"/>
                <w:szCs w:val="17"/>
                <w:color w:val="auto"/>
              </w:rPr>
            </w:pPr>
          </w:p>
        </w:tc>
        <w:tc>
          <w:tcPr>
            <w:tcW w:w="54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40" w:type="dxa"/>
            <w:vAlign w:val="bottom"/>
            <w:vMerge w:val="continue"/>
          </w:tcPr>
          <w:p>
            <w:pPr>
              <w:spacing w:after="0"/>
              <w:rPr>
                <w:sz w:val="17"/>
                <w:szCs w:val="17"/>
                <w:color w:val="auto"/>
              </w:rPr>
            </w:pPr>
          </w:p>
        </w:tc>
        <w:tc>
          <w:tcPr>
            <w:tcW w:w="880" w:type="dxa"/>
            <w:vAlign w:val="bottom"/>
          </w:tcPr>
          <w:p>
            <w:pPr>
              <w:spacing w:after="0"/>
              <w:rPr>
                <w:sz w:val="17"/>
                <w:szCs w:val="17"/>
                <w:color w:val="auto"/>
              </w:rPr>
            </w:pPr>
          </w:p>
        </w:tc>
        <w:tc>
          <w:tcPr>
            <w:tcW w:w="5480" w:type="dxa"/>
            <w:vAlign w:val="bottom"/>
            <w:vMerge w:val="restart"/>
          </w:tcPr>
          <w:p>
            <w:pPr>
              <w:ind w:left="540"/>
              <w:spacing w:after="0"/>
              <w:rPr>
                <w:sz w:val="20"/>
                <w:szCs w:val="20"/>
                <w:color w:val="auto"/>
              </w:rPr>
            </w:pPr>
            <w:r>
              <w:rPr>
                <w:rFonts w:ascii="Courier New" w:cs="Courier New" w:eastAsia="Courier New" w:hAnsi="Courier New"/>
                <w:sz w:val="18"/>
                <w:szCs w:val="18"/>
                <w:color w:val="auto"/>
              </w:rPr>
              <w:t>4,492,017</w:t>
            </w:r>
          </w:p>
        </w:tc>
        <w:tc>
          <w:tcPr>
            <w:tcW w:w="0" w:type="dxa"/>
            <w:vAlign w:val="bottom"/>
          </w:tcPr>
          <w:p>
            <w:pPr>
              <w:spacing w:after="0"/>
              <w:rPr>
                <w:sz w:val="1"/>
                <w:szCs w:val="1"/>
                <w:color w:val="auto"/>
              </w:rPr>
            </w:pPr>
          </w:p>
        </w:tc>
      </w:tr>
      <w:tr>
        <w:trPr>
          <w:trHeight w:val="203"/>
        </w:trPr>
        <w:tc>
          <w:tcPr>
            <w:tcW w:w="15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4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1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53" w:lineRule="exact"/>
        <w:rPr>
          <w:sz w:val="20"/>
          <w:szCs w:val="20"/>
          <w:color w:val="auto"/>
        </w:rPr>
      </w:pPr>
    </w:p>
    <w:p>
      <w:pPr>
        <w:ind w:left="1160" w:right="3179" w:hanging="1047"/>
        <w:spacing w:after="0" w:line="696" w:lineRule="auto"/>
        <w:tabs>
          <w:tab w:leader="none" w:pos="634"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4,492,017</w:t>
      </w:r>
    </w:p>
    <w:p>
      <w:pPr>
        <w:spacing w:after="0"/>
        <w:rPr>
          <w:sz w:val="20"/>
          <w:szCs w:val="20"/>
          <w:color w:val="auto"/>
        </w:rPr>
      </w:pPr>
      <w:r>
        <w:rPr>
          <w:rFonts w:ascii="Courier New" w:cs="Courier New" w:eastAsia="Courier New" w:hAnsi="Courier New"/>
          <w:sz w:val="16"/>
          <w:szCs w:val="16"/>
          <w:color w:val="auto"/>
        </w:rPr>
        <w:t>------------------------------------------------------------------------------</w:t>
      </w:r>
    </w:p>
    <w:p>
      <w:pPr>
        <w:spacing w:after="0" w:line="53" w:lineRule="exact"/>
        <w:rPr>
          <w:sz w:val="20"/>
          <w:szCs w:val="20"/>
          <w:color w:val="auto"/>
        </w:rPr>
      </w:pPr>
    </w:p>
    <w:p>
      <w:pPr>
        <w:ind w:left="7160" w:right="2659" w:hanging="7152"/>
        <w:spacing w:after="0" w:line="443" w:lineRule="auto"/>
        <w:tabs>
          <w:tab w:leader="none" w:pos="631"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if the Aggregate Amount in Row (9) Excludes Certain Shares [_]</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53" w:lineRule="exact"/>
        <w:rPr>
          <w:sz w:val="20"/>
          <w:szCs w:val="20"/>
          <w:color w:val="auto"/>
        </w:rPr>
      </w:pPr>
    </w:p>
    <w:p>
      <w:pPr>
        <w:ind w:left="1160" w:right="4339" w:hanging="1152"/>
        <w:spacing w:after="0" w:line="696" w:lineRule="auto"/>
        <w:tabs>
          <w:tab w:leader="none" w:pos="634"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7.0 %</w:t>
      </w:r>
    </w:p>
    <w:p>
      <w:pPr>
        <w:spacing w:after="0"/>
        <w:rPr>
          <w:sz w:val="20"/>
          <w:szCs w:val="20"/>
          <w:color w:val="auto"/>
        </w:rPr>
      </w:pPr>
      <w:r>
        <w:rPr>
          <w:rFonts w:ascii="Courier New" w:cs="Courier New" w:eastAsia="Courier New" w:hAnsi="Courier New"/>
          <w:sz w:val="16"/>
          <w:szCs w:val="16"/>
          <w:color w:val="auto"/>
        </w:rPr>
        <w:t>------------------------------------------------------------------------------</w:t>
      </w:r>
    </w:p>
    <w:p>
      <w:pPr>
        <w:spacing w:after="0" w:line="53" w:lineRule="exact"/>
        <w:rPr>
          <w:sz w:val="20"/>
          <w:szCs w:val="20"/>
          <w:color w:val="auto"/>
        </w:rPr>
      </w:pPr>
    </w:p>
    <w:p>
      <w:pPr>
        <w:ind w:left="1160" w:right="6979" w:hanging="1152"/>
        <w:spacing w:after="0" w:line="457" w:lineRule="auto"/>
        <w:tabs>
          <w:tab w:leader="none" w:pos="634"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HC-CO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Page 2 of 11</w:t>
      </w:r>
    </w:p>
    <w:p>
      <w:pPr>
        <w:sectPr>
          <w:pgSz w:w="11900" w:h="16838" w:orient="portrait"/>
          <w:cols w:equalWidth="0" w:num="1">
            <w:col w:w="10139"/>
          </w:cols>
          <w:pgMar w:left="320" w:top="110" w:right="1440"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4"/>
        </w:trPr>
        <w:tc>
          <w:tcPr>
            <w:tcW w:w="3280" w:type="dxa"/>
            <w:vAlign w:val="bottom"/>
          </w:tcPr>
          <w:p>
            <w:pPr>
              <w:jc w:val="center"/>
              <w:ind w:right="772"/>
              <w:spacing w:after="0"/>
              <w:rPr>
                <w:sz w:val="20"/>
                <w:szCs w:val="20"/>
                <w:color w:val="auto"/>
              </w:rPr>
            </w:pPr>
            <w:r>
              <w:rPr>
                <w:rFonts w:ascii="Courier New" w:cs="Courier New" w:eastAsia="Courier New" w:hAnsi="Courier New"/>
                <w:sz w:val="18"/>
                <w:szCs w:val="18"/>
                <w:color w:val="auto"/>
                <w:w w:val="97"/>
              </w:rPr>
              <w:t>-----------------------</w:t>
            </w:r>
          </w:p>
        </w:tc>
        <w:tc>
          <w:tcPr>
            <w:tcW w:w="1160" w:type="dxa"/>
            <w:vAlign w:val="bottom"/>
            <w:vMerge w:val="restart"/>
          </w:tcPr>
          <w:p>
            <w:pPr>
              <w:ind w:left="840"/>
              <w:spacing w:after="0"/>
              <w:rPr>
                <w:sz w:val="20"/>
                <w:szCs w:val="20"/>
                <w:color w:val="auto"/>
              </w:rPr>
            </w:pPr>
            <w:r>
              <w:rPr>
                <w:rFonts w:ascii="Courier New" w:cs="Courier New" w:eastAsia="Courier New" w:hAnsi="Courier New"/>
                <w:sz w:val="18"/>
                <w:szCs w:val="18"/>
                <w:color w:val="auto"/>
                <w:w w:val="92"/>
              </w:rPr>
              <w:t>13G</w:t>
            </w:r>
          </w:p>
        </w:tc>
        <w:tc>
          <w:tcPr>
            <w:tcW w:w="0" w:type="dxa"/>
            <w:vAlign w:val="bottom"/>
          </w:tcPr>
          <w:p>
            <w:pPr>
              <w:spacing w:after="0"/>
              <w:rPr>
                <w:sz w:val="1"/>
                <w:szCs w:val="1"/>
                <w:color w:val="auto"/>
              </w:rPr>
            </w:pPr>
          </w:p>
        </w:tc>
      </w:tr>
      <w:tr>
        <w:trPr>
          <w:trHeight w:val="203"/>
        </w:trPr>
        <w:tc>
          <w:tcPr>
            <w:tcW w:w="3280" w:type="dxa"/>
            <w:vAlign w:val="bottom"/>
          </w:tcPr>
          <w:p>
            <w:pPr>
              <w:jc w:val="center"/>
              <w:ind w:right="752"/>
              <w:spacing w:after="0" w:line="203" w:lineRule="exact"/>
              <w:rPr>
                <w:sz w:val="20"/>
                <w:szCs w:val="20"/>
                <w:color w:val="auto"/>
              </w:rPr>
            </w:pPr>
            <w:r>
              <w:rPr>
                <w:rFonts w:ascii="Courier New" w:cs="Courier New" w:eastAsia="Courier New" w:hAnsi="Courier New"/>
                <w:sz w:val="18"/>
                <w:szCs w:val="18"/>
                <w:color w:val="auto"/>
                <w:w w:val="97"/>
              </w:rPr>
              <w:t>CUSIP No. 517125100</w:t>
            </w:r>
          </w:p>
        </w:tc>
        <w:tc>
          <w:tcPr>
            <w:tcW w:w="1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3280" w:type="dxa"/>
            <w:vAlign w:val="bottom"/>
          </w:tcPr>
          <w:p>
            <w:pPr>
              <w:jc w:val="center"/>
              <w:ind w:right="772"/>
              <w:spacing w:after="0"/>
              <w:rPr>
                <w:sz w:val="20"/>
                <w:szCs w:val="20"/>
                <w:color w:val="auto"/>
              </w:rPr>
            </w:pPr>
            <w:r>
              <w:rPr>
                <w:rFonts w:ascii="Courier New" w:cs="Courier New" w:eastAsia="Courier New" w:hAnsi="Courier New"/>
                <w:sz w:val="18"/>
                <w:szCs w:val="18"/>
                <w:color w:val="auto"/>
                <w:w w:val="97"/>
              </w:rPr>
              <w:t>-----------------------</w:t>
            </w: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52" w:lineRule="exact"/>
        <w:rPr>
          <w:sz w:val="20"/>
          <w:szCs w:val="20"/>
          <w:color w:val="auto"/>
        </w:rPr>
      </w:pPr>
    </w:p>
    <w:p>
      <w:pPr>
        <w:ind w:left="640" w:hanging="527"/>
        <w:spacing w:after="0"/>
        <w:tabs>
          <w:tab w:leader="none" w:pos="6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6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 of above Person</w:t>
      </w:r>
    </w:p>
    <w:p>
      <w:pPr>
        <w:spacing w:after="0" w:line="169"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GOLDMAN SACHS &amp; CO. LLC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53" w:lineRule="exact"/>
        <w:rPr>
          <w:sz w:val="20"/>
          <w:szCs w:val="20"/>
          <w:color w:val="auto"/>
        </w:rPr>
      </w:pPr>
    </w:p>
    <w:p>
      <w:pPr>
        <w:ind w:left="120"/>
        <w:spacing w:after="0"/>
        <w:tabs>
          <w:tab w:leader="none" w:pos="620" w:val="left"/>
        </w:tabs>
        <w:rPr>
          <w:sz w:val="20"/>
          <w:szCs w:val="20"/>
          <w:color w:val="auto"/>
        </w:rPr>
      </w:pPr>
      <w:r>
        <w:rPr>
          <w:rFonts w:ascii="Courier New" w:cs="Courier New" w:eastAsia="Courier New" w:hAnsi="Courier New"/>
          <w:sz w:val="18"/>
          <w:szCs w:val="18"/>
          <w:color w:val="auto"/>
        </w:rPr>
        <w:t>2.</w:t>
      </w:r>
      <w:r>
        <w:rPr>
          <w:sz w:val="20"/>
          <w:szCs w:val="20"/>
          <w:color w:val="auto"/>
        </w:rPr>
        <w:tab/>
      </w:r>
      <w:r>
        <w:rPr>
          <w:rFonts w:ascii="Courier New" w:cs="Courier New" w:eastAsia="Courier New" w:hAnsi="Courier New"/>
          <w:sz w:val="18"/>
          <w:szCs w:val="18"/>
          <w:color w:val="auto"/>
        </w:rPr>
        <w:t>Check the Appropriate Box if a Member of a Group</w:t>
      </w:r>
    </w:p>
    <w:p>
      <w:pPr>
        <w:spacing w:after="0" w:line="169" w:lineRule="exact"/>
        <w:rPr>
          <w:sz w:val="20"/>
          <w:szCs w:val="20"/>
          <w:color w:val="auto"/>
        </w:rPr>
      </w:pPr>
    </w:p>
    <w:p>
      <w:pPr>
        <w:ind w:left="6740"/>
        <w:spacing w:after="0"/>
        <w:rPr>
          <w:sz w:val="20"/>
          <w:szCs w:val="20"/>
          <w:color w:val="auto"/>
        </w:rPr>
      </w:pPr>
      <w:r>
        <w:rPr>
          <w:rFonts w:ascii="Courier New" w:cs="Courier New" w:eastAsia="Courier New" w:hAnsi="Courier New"/>
          <w:sz w:val="18"/>
          <w:szCs w:val="18"/>
          <w:color w:val="auto"/>
        </w:rPr>
        <w:t>(a) [_]</w:t>
      </w:r>
    </w:p>
    <w:p>
      <w:pPr>
        <w:spacing w:after="0" w:line="29" w:lineRule="exact"/>
        <w:rPr>
          <w:sz w:val="20"/>
          <w:szCs w:val="20"/>
          <w:color w:val="auto"/>
        </w:rPr>
      </w:pPr>
    </w:p>
    <w:p>
      <w:pPr>
        <w:ind w:left="6740"/>
        <w:spacing w:after="0"/>
        <w:rPr>
          <w:sz w:val="20"/>
          <w:szCs w:val="20"/>
          <w:color w:val="auto"/>
        </w:rPr>
      </w:pPr>
      <w:r>
        <w:rPr>
          <w:rFonts w:ascii="Courier New" w:cs="Courier New" w:eastAsia="Courier New" w:hAnsi="Courier New"/>
          <w:sz w:val="18"/>
          <w:szCs w:val="18"/>
          <w:color w:val="auto"/>
        </w:rPr>
        <w:t>(b) [_]</w:t>
      </w: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120"/>
        <w:spacing w:after="0"/>
        <w:tabs>
          <w:tab w:leader="none" w:pos="620" w:val="left"/>
        </w:tabs>
        <w:rPr>
          <w:sz w:val="20"/>
          <w:szCs w:val="20"/>
          <w:color w:val="auto"/>
        </w:rPr>
      </w:pPr>
      <w:r>
        <w:rPr>
          <w:rFonts w:ascii="Courier New" w:cs="Courier New" w:eastAsia="Courier New" w:hAnsi="Courier New"/>
          <w:sz w:val="18"/>
          <w:szCs w:val="18"/>
          <w:color w:val="auto"/>
        </w:rPr>
        <w:t>3.</w:t>
      </w:r>
      <w:r>
        <w:rPr>
          <w:sz w:val="20"/>
          <w:szCs w:val="20"/>
          <w:color w:val="auto"/>
        </w:rPr>
        <w:tab/>
      </w:r>
      <w:r>
        <w:rPr>
          <w:rFonts w:ascii="Courier New" w:cs="Courier New" w:eastAsia="Courier New" w:hAnsi="Courier New"/>
          <w:sz w:val="18"/>
          <w:szCs w:val="18"/>
          <w:color w:val="auto"/>
        </w:rPr>
        <w:t>SEC Use Only</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53" w:lineRule="exact"/>
        <w:rPr>
          <w:sz w:val="20"/>
          <w:szCs w:val="20"/>
          <w:color w:val="auto"/>
        </w:rPr>
      </w:pPr>
    </w:p>
    <w:p>
      <w:pPr>
        <w:ind w:left="120"/>
        <w:spacing w:after="0"/>
        <w:tabs>
          <w:tab w:leader="none" w:pos="620" w:val="left"/>
        </w:tabs>
        <w:rPr>
          <w:sz w:val="20"/>
          <w:szCs w:val="20"/>
          <w:color w:val="auto"/>
        </w:rPr>
      </w:pPr>
      <w:r>
        <w:rPr>
          <w:rFonts w:ascii="Courier New" w:cs="Courier New" w:eastAsia="Courier New" w:hAnsi="Courier New"/>
          <w:sz w:val="18"/>
          <w:szCs w:val="18"/>
          <w:color w:val="auto"/>
        </w:rPr>
        <w:t>4.</w:t>
      </w:r>
      <w:r>
        <w:rPr>
          <w:sz w:val="20"/>
          <w:szCs w:val="20"/>
          <w:color w:val="auto"/>
        </w:rPr>
        <w:tab/>
      </w:r>
      <w:r>
        <w:rPr>
          <w:rFonts w:ascii="Courier New" w:cs="Courier New" w:eastAsia="Courier New" w:hAnsi="Courier New"/>
          <w:sz w:val="18"/>
          <w:szCs w:val="18"/>
          <w:color w:val="auto"/>
        </w:rPr>
        <w:t>Citizenship or Place of Organization</w:t>
      </w:r>
    </w:p>
    <w:p>
      <w:pPr>
        <w:spacing w:after="0" w:line="169"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New York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53" w:lineRule="exact"/>
        <w:rPr>
          <w:sz w:val="20"/>
          <w:szCs w:val="20"/>
          <w:color w:val="auto"/>
        </w:rPr>
      </w:pPr>
    </w:p>
    <w:tbl>
      <w:tblPr>
        <w:tblLayout w:type="fixed"/>
        <w:tblInd w:w="320" w:type="dxa"/>
        <w:tblCellMar>
          <w:top w:w="0" w:type="dxa"/>
          <w:left w:w="0" w:type="dxa"/>
          <w:bottom w:w="0" w:type="dxa"/>
          <w:right w:w="0" w:type="dxa"/>
        </w:tblCellMar>
      </w:tblPr>
      <w:tr>
        <w:trPr>
          <w:trHeight w:val="296"/>
        </w:trPr>
        <w:tc>
          <w:tcPr>
            <w:tcW w:w="1540" w:type="dxa"/>
            <w:vAlign w:val="bottom"/>
          </w:tcPr>
          <w:p>
            <w:pPr>
              <w:spacing w:after="0"/>
              <w:rPr>
                <w:sz w:val="24"/>
                <w:szCs w:val="24"/>
                <w:color w:val="auto"/>
              </w:rPr>
            </w:pPr>
          </w:p>
        </w:tc>
        <w:tc>
          <w:tcPr>
            <w:tcW w:w="880" w:type="dxa"/>
            <w:vAlign w:val="bottom"/>
          </w:tcPr>
          <w:p>
            <w:pPr>
              <w:jc w:val="right"/>
              <w:ind w:right="263"/>
              <w:spacing w:after="0"/>
              <w:rPr>
                <w:sz w:val="20"/>
                <w:szCs w:val="20"/>
                <w:color w:val="auto"/>
              </w:rPr>
            </w:pPr>
            <w:r>
              <w:rPr>
                <w:rFonts w:ascii="Courier New" w:cs="Courier New" w:eastAsia="Courier New" w:hAnsi="Courier New"/>
                <w:sz w:val="18"/>
                <w:szCs w:val="18"/>
                <w:color w:val="auto"/>
              </w:rPr>
              <w:t>5.</w:t>
            </w:r>
          </w:p>
        </w:tc>
        <w:tc>
          <w:tcPr>
            <w:tcW w:w="548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c>
          <w:tcPr>
            <w:tcW w:w="0" w:type="dxa"/>
            <w:vAlign w:val="bottom"/>
          </w:tcPr>
          <w:p>
            <w:pPr>
              <w:spacing w:after="0"/>
              <w:rPr>
                <w:sz w:val="1"/>
                <w:szCs w:val="1"/>
                <w:color w:val="auto"/>
              </w:rPr>
            </w:pPr>
          </w:p>
        </w:tc>
      </w:tr>
      <w:tr>
        <w:trPr>
          <w:trHeight w:val="373"/>
        </w:trPr>
        <w:tc>
          <w:tcPr>
            <w:tcW w:w="1540" w:type="dxa"/>
            <w:vAlign w:val="bottom"/>
          </w:tcPr>
          <w:p>
            <w:pPr>
              <w:jc w:val="center"/>
              <w:ind w:right="72"/>
              <w:spacing w:after="0"/>
              <w:rPr>
                <w:sz w:val="20"/>
                <w:szCs w:val="20"/>
                <w:color w:val="auto"/>
              </w:rPr>
            </w:pPr>
            <w:r>
              <w:rPr>
                <w:rFonts w:ascii="Courier New" w:cs="Courier New" w:eastAsia="Courier New" w:hAnsi="Courier New"/>
                <w:sz w:val="18"/>
                <w:szCs w:val="18"/>
                <w:color w:val="auto"/>
                <w:w w:val="96"/>
              </w:rPr>
              <w:t>Number of</w:t>
            </w:r>
          </w:p>
        </w:tc>
        <w:tc>
          <w:tcPr>
            <w:tcW w:w="880" w:type="dxa"/>
            <w:vAlign w:val="bottom"/>
          </w:tcPr>
          <w:p>
            <w:pPr>
              <w:spacing w:after="0"/>
              <w:rPr>
                <w:sz w:val="24"/>
                <w:szCs w:val="24"/>
                <w:color w:val="auto"/>
              </w:rPr>
            </w:pPr>
          </w:p>
        </w:tc>
        <w:tc>
          <w:tcPr>
            <w:tcW w:w="5480" w:type="dxa"/>
            <w:vAlign w:val="bottom"/>
          </w:tcPr>
          <w:p>
            <w:pPr>
              <w:ind w:left="540"/>
              <w:spacing w:after="0"/>
              <w:rPr>
                <w:sz w:val="20"/>
                <w:szCs w:val="20"/>
                <w:color w:val="auto"/>
              </w:rPr>
            </w:pPr>
            <w:r>
              <w:rPr>
                <w:rFonts w:ascii="Courier New" w:cs="Courier New" w:eastAsia="Courier New" w:hAnsi="Courier New"/>
                <w:sz w:val="18"/>
                <w:szCs w:val="18"/>
                <w:color w:val="auto"/>
              </w:rPr>
              <w:t>0</w:t>
            </w:r>
          </w:p>
        </w:tc>
        <w:tc>
          <w:tcPr>
            <w:tcW w:w="0" w:type="dxa"/>
            <w:vAlign w:val="bottom"/>
          </w:tcPr>
          <w:p>
            <w:pPr>
              <w:spacing w:after="0"/>
              <w:rPr>
                <w:sz w:val="1"/>
                <w:szCs w:val="1"/>
                <w:color w:val="auto"/>
              </w:rPr>
            </w:pPr>
          </w:p>
        </w:tc>
      </w:tr>
      <w:tr>
        <w:trPr>
          <w:trHeight w:val="405"/>
        </w:trPr>
        <w:tc>
          <w:tcPr>
            <w:tcW w:w="1540" w:type="dxa"/>
            <w:vAlign w:val="bottom"/>
          </w:tcPr>
          <w:p>
            <w:pPr>
              <w:jc w:val="center"/>
              <w:ind w:right="172"/>
              <w:spacing w:after="0"/>
              <w:rPr>
                <w:sz w:val="20"/>
                <w:szCs w:val="20"/>
                <w:color w:val="auto"/>
              </w:rPr>
            </w:pPr>
            <w:r>
              <w:rPr>
                <w:rFonts w:ascii="Courier New" w:cs="Courier New" w:eastAsia="Courier New" w:hAnsi="Courier New"/>
                <w:sz w:val="18"/>
                <w:szCs w:val="18"/>
                <w:color w:val="auto"/>
                <w:w w:val="98"/>
              </w:rPr>
              <w:t>Shares</w:t>
            </w:r>
          </w:p>
        </w:tc>
        <w:tc>
          <w:tcPr>
            <w:tcW w:w="880" w:type="dxa"/>
            <w:vAlign w:val="bottom"/>
            <w:vMerge w:val="restart"/>
          </w:tcPr>
          <w:p>
            <w:pPr>
              <w:ind w:left="260"/>
              <w:spacing w:after="0"/>
              <w:rPr>
                <w:sz w:val="20"/>
                <w:szCs w:val="20"/>
                <w:color w:val="auto"/>
              </w:rPr>
            </w:pPr>
            <w:r>
              <w:rPr>
                <w:rFonts w:ascii="Courier New" w:cs="Courier New" w:eastAsia="Courier New" w:hAnsi="Courier New"/>
                <w:sz w:val="2"/>
                <w:szCs w:val="2"/>
                <w:color w:val="auto"/>
                <w:w w:val="82"/>
              </w:rPr>
              <w:t>----------------------------------------------------------</w:t>
            </w:r>
            <w:r>
              <w:rPr>
                <w:rFonts w:ascii="Courier New" w:cs="Courier New" w:eastAsia="Courier New" w:hAnsi="Courier New"/>
                <w:sz w:val="4"/>
                <w:szCs w:val="4"/>
                <w:color w:val="auto"/>
                <w:w w:val="82"/>
                <w:vertAlign w:val="subscript"/>
              </w:rPr>
              <w:t>6.</w:t>
            </w:r>
          </w:p>
        </w:tc>
        <w:tc>
          <w:tcPr>
            <w:tcW w:w="5480" w:type="dxa"/>
            <w:vAlign w:val="bottom"/>
            <w:vMerge w:val="restart"/>
          </w:tcPr>
          <w:p>
            <w:pPr>
              <w:spacing w:after="0"/>
              <w:rPr>
                <w:sz w:val="20"/>
                <w:szCs w:val="20"/>
                <w:color w:val="auto"/>
              </w:rPr>
            </w:pPr>
            <w:r>
              <w:rPr>
                <w:rFonts w:ascii="Courier New" w:cs="Courier New" w:eastAsia="Courier New" w:hAnsi="Courier New"/>
                <w:sz w:val="18"/>
                <w:szCs w:val="18"/>
                <w:color w:val="auto"/>
              </w:rPr>
              <w:t>Shared Voting Power</w:t>
            </w:r>
          </w:p>
        </w:tc>
        <w:tc>
          <w:tcPr>
            <w:tcW w:w="0" w:type="dxa"/>
            <w:vAlign w:val="bottom"/>
          </w:tcPr>
          <w:p>
            <w:pPr>
              <w:spacing w:after="0"/>
              <w:rPr>
                <w:sz w:val="1"/>
                <w:szCs w:val="1"/>
                <w:color w:val="auto"/>
              </w:rPr>
            </w:pPr>
          </w:p>
        </w:tc>
      </w:tr>
      <w:tr>
        <w:trPr>
          <w:trHeight w:val="203"/>
        </w:trPr>
        <w:tc>
          <w:tcPr>
            <w:tcW w:w="1540" w:type="dxa"/>
            <w:vAlign w:val="bottom"/>
            <w:vMerge w:val="restart"/>
          </w:tcPr>
          <w:p>
            <w:pPr>
              <w:jc w:val="center"/>
              <w:ind w:right="192"/>
              <w:spacing w:after="0"/>
              <w:rPr>
                <w:sz w:val="20"/>
                <w:szCs w:val="20"/>
                <w:color w:val="auto"/>
              </w:rPr>
            </w:pPr>
            <w:r>
              <w:rPr>
                <w:rFonts w:ascii="Courier New" w:cs="Courier New" w:eastAsia="Courier New" w:hAnsi="Courier New"/>
                <w:sz w:val="18"/>
                <w:szCs w:val="18"/>
                <w:color w:val="auto"/>
                <w:w w:val="97"/>
              </w:rPr>
              <w:t>Beneficially</w:t>
            </w:r>
          </w:p>
        </w:tc>
        <w:tc>
          <w:tcPr>
            <w:tcW w:w="880" w:type="dxa"/>
            <w:vAlign w:val="bottom"/>
            <w:vMerge w:val="continue"/>
          </w:tcPr>
          <w:p>
            <w:pPr>
              <w:spacing w:after="0"/>
              <w:rPr>
                <w:sz w:val="17"/>
                <w:szCs w:val="17"/>
                <w:color w:val="auto"/>
              </w:rPr>
            </w:pPr>
          </w:p>
        </w:tc>
        <w:tc>
          <w:tcPr>
            <w:tcW w:w="54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40" w:type="dxa"/>
            <w:vAlign w:val="bottom"/>
            <w:vMerge w:val="continue"/>
          </w:tcPr>
          <w:p>
            <w:pPr>
              <w:spacing w:after="0"/>
              <w:rPr>
                <w:sz w:val="17"/>
                <w:szCs w:val="17"/>
                <w:color w:val="auto"/>
              </w:rPr>
            </w:pPr>
          </w:p>
        </w:tc>
        <w:tc>
          <w:tcPr>
            <w:tcW w:w="880" w:type="dxa"/>
            <w:vAlign w:val="bottom"/>
          </w:tcPr>
          <w:p>
            <w:pPr>
              <w:spacing w:after="0"/>
              <w:rPr>
                <w:sz w:val="17"/>
                <w:szCs w:val="17"/>
                <w:color w:val="auto"/>
              </w:rPr>
            </w:pPr>
          </w:p>
        </w:tc>
        <w:tc>
          <w:tcPr>
            <w:tcW w:w="5480" w:type="dxa"/>
            <w:vAlign w:val="bottom"/>
            <w:vMerge w:val="restart"/>
          </w:tcPr>
          <w:p>
            <w:pPr>
              <w:ind w:left="540"/>
              <w:spacing w:after="0"/>
              <w:rPr>
                <w:sz w:val="20"/>
                <w:szCs w:val="20"/>
                <w:color w:val="auto"/>
              </w:rPr>
            </w:pPr>
            <w:r>
              <w:rPr>
                <w:rFonts w:ascii="Courier New" w:cs="Courier New" w:eastAsia="Courier New" w:hAnsi="Courier New"/>
                <w:sz w:val="18"/>
                <w:szCs w:val="18"/>
                <w:color w:val="auto"/>
              </w:rPr>
              <w:t>4,492,017</w:t>
            </w:r>
          </w:p>
        </w:tc>
        <w:tc>
          <w:tcPr>
            <w:tcW w:w="0" w:type="dxa"/>
            <w:vAlign w:val="bottom"/>
          </w:tcPr>
          <w:p>
            <w:pPr>
              <w:spacing w:after="0"/>
              <w:rPr>
                <w:sz w:val="1"/>
                <w:szCs w:val="1"/>
                <w:color w:val="auto"/>
              </w:rPr>
            </w:pPr>
          </w:p>
        </w:tc>
      </w:tr>
      <w:tr>
        <w:trPr>
          <w:trHeight w:val="203"/>
        </w:trPr>
        <w:tc>
          <w:tcPr>
            <w:tcW w:w="1540" w:type="dxa"/>
            <w:vAlign w:val="bottom"/>
            <w:vMerge w:val="restart"/>
          </w:tcPr>
          <w:p>
            <w:pPr>
              <w:jc w:val="center"/>
              <w:ind w:right="172"/>
              <w:spacing w:after="0"/>
              <w:rPr>
                <w:sz w:val="20"/>
                <w:szCs w:val="20"/>
                <w:color w:val="auto"/>
              </w:rPr>
            </w:pPr>
            <w:r>
              <w:rPr>
                <w:rFonts w:ascii="Courier New" w:cs="Courier New" w:eastAsia="Courier New" w:hAnsi="Courier New"/>
                <w:sz w:val="18"/>
                <w:szCs w:val="18"/>
                <w:color w:val="auto"/>
                <w:w w:val="97"/>
              </w:rPr>
              <w:t>Owned by</w:t>
            </w:r>
          </w:p>
        </w:tc>
        <w:tc>
          <w:tcPr>
            <w:tcW w:w="880" w:type="dxa"/>
            <w:vAlign w:val="bottom"/>
          </w:tcPr>
          <w:p>
            <w:pPr>
              <w:spacing w:after="0"/>
              <w:rPr>
                <w:sz w:val="17"/>
                <w:szCs w:val="17"/>
                <w:color w:val="auto"/>
              </w:rPr>
            </w:pPr>
          </w:p>
        </w:tc>
        <w:tc>
          <w:tcPr>
            <w:tcW w:w="54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40" w:type="dxa"/>
            <w:vAlign w:val="bottom"/>
            <w:vMerge w:val="continue"/>
          </w:tcPr>
          <w:p>
            <w:pPr>
              <w:spacing w:after="0"/>
              <w:rPr>
                <w:sz w:val="17"/>
                <w:szCs w:val="17"/>
                <w:color w:val="auto"/>
              </w:rPr>
            </w:pPr>
          </w:p>
        </w:tc>
        <w:tc>
          <w:tcPr>
            <w:tcW w:w="6360" w:type="dxa"/>
            <w:vAlign w:val="bottom"/>
            <w:gridSpan w:val="2"/>
            <w:vMerge w:val="restart"/>
          </w:tcPr>
          <w:p>
            <w:pPr>
              <w:ind w:left="260"/>
              <w:spacing w:after="0"/>
              <w:rPr>
                <w:sz w:val="20"/>
                <w:szCs w:val="20"/>
                <w:color w:val="auto"/>
              </w:rPr>
            </w:pPr>
            <w:r>
              <w:rPr>
                <w:rFonts w:ascii="Courier New" w:cs="Courier New" w:eastAsia="Courier New" w:hAnsi="Courier New"/>
                <w:sz w:val="18"/>
                <w:szCs w:val="18"/>
                <w:color w:val="auto"/>
                <w:w w:val="97"/>
              </w:rPr>
              <w:t>----------------------------------------------------------</w:t>
            </w:r>
          </w:p>
        </w:tc>
        <w:tc>
          <w:tcPr>
            <w:tcW w:w="0" w:type="dxa"/>
            <w:vAlign w:val="bottom"/>
          </w:tcPr>
          <w:p>
            <w:pPr>
              <w:spacing w:after="0"/>
              <w:rPr>
                <w:sz w:val="1"/>
                <w:szCs w:val="1"/>
                <w:color w:val="auto"/>
              </w:rPr>
            </w:pPr>
          </w:p>
        </w:tc>
      </w:tr>
      <w:tr>
        <w:trPr>
          <w:trHeight w:val="109"/>
        </w:trPr>
        <w:tc>
          <w:tcPr>
            <w:tcW w:w="1540" w:type="dxa"/>
            <w:vAlign w:val="bottom"/>
            <w:vMerge w:val="restart"/>
          </w:tcPr>
          <w:p>
            <w:pPr>
              <w:jc w:val="center"/>
              <w:ind w:right="192"/>
              <w:spacing w:after="0"/>
              <w:rPr>
                <w:sz w:val="20"/>
                <w:szCs w:val="20"/>
                <w:color w:val="auto"/>
              </w:rPr>
            </w:pPr>
            <w:r>
              <w:rPr>
                <w:rFonts w:ascii="Courier New" w:cs="Courier New" w:eastAsia="Courier New" w:hAnsi="Courier New"/>
                <w:sz w:val="18"/>
                <w:szCs w:val="18"/>
                <w:color w:val="auto"/>
                <w:w w:val="97"/>
              </w:rPr>
              <w:t>Each</w:t>
            </w:r>
          </w:p>
        </w:tc>
        <w:tc>
          <w:tcPr>
            <w:tcW w:w="636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96"/>
        </w:trPr>
        <w:tc>
          <w:tcPr>
            <w:tcW w:w="1540" w:type="dxa"/>
            <w:vAlign w:val="bottom"/>
            <w:vMerge w:val="continue"/>
          </w:tcPr>
          <w:p>
            <w:pPr>
              <w:spacing w:after="0"/>
              <w:rPr>
                <w:sz w:val="24"/>
                <w:szCs w:val="24"/>
                <w:color w:val="auto"/>
              </w:rPr>
            </w:pPr>
          </w:p>
        </w:tc>
        <w:tc>
          <w:tcPr>
            <w:tcW w:w="880" w:type="dxa"/>
            <w:vAlign w:val="bottom"/>
          </w:tcPr>
          <w:p>
            <w:pPr>
              <w:jc w:val="right"/>
              <w:ind w:right="263"/>
              <w:spacing w:after="0"/>
              <w:rPr>
                <w:sz w:val="20"/>
                <w:szCs w:val="20"/>
                <w:color w:val="auto"/>
              </w:rPr>
            </w:pPr>
            <w:r>
              <w:rPr>
                <w:rFonts w:ascii="Courier New" w:cs="Courier New" w:eastAsia="Courier New" w:hAnsi="Courier New"/>
                <w:sz w:val="18"/>
                <w:szCs w:val="18"/>
                <w:color w:val="auto"/>
              </w:rPr>
              <w:t>7.</w:t>
            </w:r>
          </w:p>
        </w:tc>
        <w:tc>
          <w:tcPr>
            <w:tcW w:w="5480" w:type="dxa"/>
            <w:vAlign w:val="bottom"/>
          </w:tcPr>
          <w:p>
            <w:pPr>
              <w:spacing w:after="0"/>
              <w:rPr>
                <w:sz w:val="20"/>
                <w:szCs w:val="20"/>
                <w:color w:val="auto"/>
              </w:rPr>
            </w:pPr>
            <w:r>
              <w:rPr>
                <w:rFonts w:ascii="Courier New" w:cs="Courier New" w:eastAsia="Courier New" w:hAnsi="Courier New"/>
                <w:sz w:val="18"/>
                <w:szCs w:val="18"/>
                <w:color w:val="auto"/>
              </w:rPr>
              <w:t>Sole Dispositive Power</w:t>
            </w:r>
          </w:p>
        </w:tc>
        <w:tc>
          <w:tcPr>
            <w:tcW w:w="0" w:type="dxa"/>
            <w:vAlign w:val="bottom"/>
          </w:tcPr>
          <w:p>
            <w:pPr>
              <w:spacing w:after="0"/>
              <w:rPr>
                <w:sz w:val="1"/>
                <w:szCs w:val="1"/>
                <w:color w:val="auto"/>
              </w:rPr>
            </w:pPr>
          </w:p>
        </w:tc>
      </w:tr>
      <w:tr>
        <w:trPr>
          <w:trHeight w:val="405"/>
        </w:trPr>
        <w:tc>
          <w:tcPr>
            <w:tcW w:w="1540" w:type="dxa"/>
            <w:vAlign w:val="bottom"/>
          </w:tcPr>
          <w:p>
            <w:pPr>
              <w:ind w:left="100"/>
              <w:spacing w:after="0"/>
              <w:rPr>
                <w:sz w:val="20"/>
                <w:szCs w:val="20"/>
                <w:color w:val="auto"/>
              </w:rPr>
            </w:pPr>
            <w:r>
              <w:rPr>
                <w:rFonts w:ascii="Courier New" w:cs="Courier New" w:eastAsia="Courier New" w:hAnsi="Courier New"/>
                <w:sz w:val="18"/>
                <w:szCs w:val="18"/>
                <w:color w:val="auto"/>
              </w:rPr>
              <w:t>Reporting</w:t>
            </w:r>
          </w:p>
        </w:tc>
        <w:tc>
          <w:tcPr>
            <w:tcW w:w="880" w:type="dxa"/>
            <w:vAlign w:val="bottom"/>
          </w:tcPr>
          <w:p>
            <w:pPr>
              <w:spacing w:after="0"/>
              <w:rPr>
                <w:sz w:val="24"/>
                <w:szCs w:val="24"/>
                <w:color w:val="auto"/>
              </w:rPr>
            </w:pPr>
          </w:p>
        </w:tc>
        <w:tc>
          <w:tcPr>
            <w:tcW w:w="5480" w:type="dxa"/>
            <w:vAlign w:val="bottom"/>
          </w:tcPr>
          <w:p>
            <w:pPr>
              <w:ind w:left="540"/>
              <w:spacing w:after="0"/>
              <w:rPr>
                <w:sz w:val="20"/>
                <w:szCs w:val="20"/>
                <w:color w:val="auto"/>
              </w:rPr>
            </w:pPr>
            <w:r>
              <w:rPr>
                <w:rFonts w:ascii="Courier New" w:cs="Courier New" w:eastAsia="Courier New" w:hAnsi="Courier New"/>
                <w:sz w:val="18"/>
                <w:szCs w:val="18"/>
                <w:color w:val="auto"/>
              </w:rPr>
              <w:t>0</w:t>
            </w:r>
          </w:p>
        </w:tc>
        <w:tc>
          <w:tcPr>
            <w:tcW w:w="0" w:type="dxa"/>
            <w:vAlign w:val="bottom"/>
          </w:tcPr>
          <w:p>
            <w:pPr>
              <w:spacing w:after="0"/>
              <w:rPr>
                <w:sz w:val="1"/>
                <w:szCs w:val="1"/>
                <w:color w:val="auto"/>
              </w:rPr>
            </w:pPr>
          </w:p>
        </w:tc>
      </w:tr>
      <w:tr>
        <w:trPr>
          <w:trHeight w:val="405"/>
        </w:trPr>
        <w:tc>
          <w:tcPr>
            <w:tcW w:w="1540" w:type="dxa"/>
            <w:vAlign w:val="bottom"/>
          </w:tcPr>
          <w:p>
            <w:pPr>
              <w:jc w:val="center"/>
              <w:ind w:right="172"/>
              <w:spacing w:after="0"/>
              <w:rPr>
                <w:sz w:val="20"/>
                <w:szCs w:val="20"/>
                <w:color w:val="auto"/>
              </w:rPr>
            </w:pPr>
            <w:r>
              <w:rPr>
                <w:rFonts w:ascii="Courier New" w:cs="Courier New" w:eastAsia="Courier New" w:hAnsi="Courier New"/>
                <w:sz w:val="18"/>
                <w:szCs w:val="18"/>
                <w:color w:val="auto"/>
                <w:w w:val="98"/>
              </w:rPr>
              <w:t>Person</w:t>
            </w:r>
          </w:p>
        </w:tc>
        <w:tc>
          <w:tcPr>
            <w:tcW w:w="880" w:type="dxa"/>
            <w:vAlign w:val="bottom"/>
            <w:vMerge w:val="restart"/>
          </w:tcPr>
          <w:p>
            <w:pPr>
              <w:ind w:left="260"/>
              <w:spacing w:after="0"/>
              <w:rPr>
                <w:sz w:val="20"/>
                <w:szCs w:val="20"/>
                <w:color w:val="auto"/>
              </w:rPr>
            </w:pPr>
            <w:r>
              <w:rPr>
                <w:rFonts w:ascii="Courier New" w:cs="Courier New" w:eastAsia="Courier New" w:hAnsi="Courier New"/>
                <w:sz w:val="2"/>
                <w:szCs w:val="2"/>
                <w:color w:val="auto"/>
                <w:w w:val="82"/>
              </w:rPr>
              <w:t>----------------------------------------------------------</w:t>
            </w:r>
            <w:r>
              <w:rPr>
                <w:rFonts w:ascii="Courier New" w:cs="Courier New" w:eastAsia="Courier New" w:hAnsi="Courier New"/>
                <w:sz w:val="4"/>
                <w:szCs w:val="4"/>
                <w:color w:val="auto"/>
                <w:w w:val="82"/>
                <w:vertAlign w:val="subscript"/>
              </w:rPr>
              <w:t>8.</w:t>
            </w:r>
          </w:p>
        </w:tc>
        <w:tc>
          <w:tcPr>
            <w:tcW w:w="5480" w:type="dxa"/>
            <w:vAlign w:val="bottom"/>
            <w:vMerge w:val="restart"/>
          </w:tcPr>
          <w:p>
            <w:pPr>
              <w:spacing w:after="0"/>
              <w:rPr>
                <w:sz w:val="20"/>
                <w:szCs w:val="20"/>
                <w:color w:val="auto"/>
              </w:rPr>
            </w:pPr>
            <w:r>
              <w:rPr>
                <w:rFonts w:ascii="Courier New" w:cs="Courier New" w:eastAsia="Courier New" w:hAnsi="Courier New"/>
                <w:sz w:val="18"/>
                <w:szCs w:val="18"/>
                <w:color w:val="auto"/>
              </w:rPr>
              <w:t>Shared Dispositive Power</w:t>
            </w:r>
          </w:p>
        </w:tc>
        <w:tc>
          <w:tcPr>
            <w:tcW w:w="0" w:type="dxa"/>
            <w:vAlign w:val="bottom"/>
          </w:tcPr>
          <w:p>
            <w:pPr>
              <w:spacing w:after="0"/>
              <w:rPr>
                <w:sz w:val="1"/>
                <w:szCs w:val="1"/>
                <w:color w:val="auto"/>
              </w:rPr>
            </w:pPr>
          </w:p>
        </w:tc>
      </w:tr>
      <w:tr>
        <w:trPr>
          <w:trHeight w:val="203"/>
        </w:trPr>
        <w:tc>
          <w:tcPr>
            <w:tcW w:w="1540" w:type="dxa"/>
            <w:vAlign w:val="bottom"/>
            <w:vMerge w:val="restart"/>
          </w:tcPr>
          <w:p>
            <w:pPr>
              <w:jc w:val="center"/>
              <w:ind w:right="72"/>
              <w:spacing w:after="0"/>
              <w:rPr>
                <w:sz w:val="20"/>
                <w:szCs w:val="20"/>
                <w:color w:val="auto"/>
              </w:rPr>
            </w:pPr>
            <w:r>
              <w:rPr>
                <w:rFonts w:ascii="Courier New" w:cs="Courier New" w:eastAsia="Courier New" w:hAnsi="Courier New"/>
                <w:sz w:val="18"/>
                <w:szCs w:val="18"/>
                <w:color w:val="auto"/>
                <w:w w:val="99"/>
              </w:rPr>
              <w:t>With:</w:t>
            </w:r>
          </w:p>
        </w:tc>
        <w:tc>
          <w:tcPr>
            <w:tcW w:w="880" w:type="dxa"/>
            <w:vAlign w:val="bottom"/>
            <w:vMerge w:val="continue"/>
          </w:tcPr>
          <w:p>
            <w:pPr>
              <w:spacing w:after="0"/>
              <w:rPr>
                <w:sz w:val="17"/>
                <w:szCs w:val="17"/>
                <w:color w:val="auto"/>
              </w:rPr>
            </w:pPr>
          </w:p>
        </w:tc>
        <w:tc>
          <w:tcPr>
            <w:tcW w:w="54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40" w:type="dxa"/>
            <w:vAlign w:val="bottom"/>
            <w:vMerge w:val="continue"/>
          </w:tcPr>
          <w:p>
            <w:pPr>
              <w:spacing w:after="0"/>
              <w:rPr>
                <w:sz w:val="17"/>
                <w:szCs w:val="17"/>
                <w:color w:val="auto"/>
              </w:rPr>
            </w:pPr>
          </w:p>
        </w:tc>
        <w:tc>
          <w:tcPr>
            <w:tcW w:w="880" w:type="dxa"/>
            <w:vAlign w:val="bottom"/>
          </w:tcPr>
          <w:p>
            <w:pPr>
              <w:spacing w:after="0"/>
              <w:rPr>
                <w:sz w:val="17"/>
                <w:szCs w:val="17"/>
                <w:color w:val="auto"/>
              </w:rPr>
            </w:pPr>
          </w:p>
        </w:tc>
        <w:tc>
          <w:tcPr>
            <w:tcW w:w="5480" w:type="dxa"/>
            <w:vAlign w:val="bottom"/>
            <w:vMerge w:val="restart"/>
          </w:tcPr>
          <w:p>
            <w:pPr>
              <w:ind w:left="540"/>
              <w:spacing w:after="0"/>
              <w:rPr>
                <w:sz w:val="20"/>
                <w:szCs w:val="20"/>
                <w:color w:val="auto"/>
              </w:rPr>
            </w:pPr>
            <w:r>
              <w:rPr>
                <w:rFonts w:ascii="Courier New" w:cs="Courier New" w:eastAsia="Courier New" w:hAnsi="Courier New"/>
                <w:sz w:val="18"/>
                <w:szCs w:val="18"/>
                <w:color w:val="auto"/>
              </w:rPr>
              <w:t>4,492,017</w:t>
            </w:r>
          </w:p>
        </w:tc>
        <w:tc>
          <w:tcPr>
            <w:tcW w:w="0" w:type="dxa"/>
            <w:vAlign w:val="bottom"/>
          </w:tcPr>
          <w:p>
            <w:pPr>
              <w:spacing w:after="0"/>
              <w:rPr>
                <w:sz w:val="1"/>
                <w:szCs w:val="1"/>
                <w:color w:val="auto"/>
              </w:rPr>
            </w:pPr>
          </w:p>
        </w:tc>
      </w:tr>
      <w:tr>
        <w:trPr>
          <w:trHeight w:val="203"/>
        </w:trPr>
        <w:tc>
          <w:tcPr>
            <w:tcW w:w="15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4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1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53" w:lineRule="exact"/>
        <w:rPr>
          <w:sz w:val="20"/>
          <w:szCs w:val="20"/>
          <w:color w:val="auto"/>
        </w:rPr>
      </w:pPr>
    </w:p>
    <w:p>
      <w:pPr>
        <w:ind w:left="1160" w:right="3179" w:hanging="1047"/>
        <w:spacing w:after="0" w:line="696" w:lineRule="auto"/>
        <w:tabs>
          <w:tab w:leader="none" w:pos="634"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4,492,017</w:t>
      </w:r>
    </w:p>
    <w:p>
      <w:pPr>
        <w:spacing w:after="0"/>
        <w:rPr>
          <w:sz w:val="20"/>
          <w:szCs w:val="20"/>
          <w:color w:val="auto"/>
        </w:rPr>
      </w:pPr>
      <w:r>
        <w:rPr>
          <w:rFonts w:ascii="Courier New" w:cs="Courier New" w:eastAsia="Courier New" w:hAnsi="Courier New"/>
          <w:sz w:val="16"/>
          <w:szCs w:val="16"/>
          <w:color w:val="auto"/>
        </w:rPr>
        <w:t>------------------------------------------------------------------------------</w:t>
      </w:r>
    </w:p>
    <w:p>
      <w:pPr>
        <w:spacing w:after="0" w:line="53" w:lineRule="exact"/>
        <w:rPr>
          <w:sz w:val="20"/>
          <w:szCs w:val="20"/>
          <w:color w:val="auto"/>
        </w:rPr>
      </w:pPr>
    </w:p>
    <w:p>
      <w:pPr>
        <w:ind w:left="640" w:hanging="632"/>
        <w:spacing w:after="0"/>
        <w:tabs>
          <w:tab w:leader="none" w:pos="6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169" w:lineRule="exact"/>
        <w:rPr>
          <w:sz w:val="20"/>
          <w:szCs w:val="20"/>
          <w:color w:val="auto"/>
        </w:rPr>
      </w:pPr>
    </w:p>
    <w:p>
      <w:pPr>
        <w:ind w:left="7160"/>
        <w:spacing w:after="0"/>
        <w:rPr>
          <w:sz w:val="20"/>
          <w:szCs w:val="20"/>
          <w:color w:val="auto"/>
        </w:rPr>
      </w:pPr>
      <w:r>
        <w:rPr>
          <w:rFonts w:ascii="Courier New" w:cs="Courier New" w:eastAsia="Courier New" w:hAnsi="Courier New"/>
          <w:sz w:val="18"/>
          <w:szCs w:val="18"/>
          <w:color w:val="auto"/>
        </w:rPr>
        <w:t>[_]</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53" w:lineRule="exact"/>
        <w:rPr>
          <w:sz w:val="20"/>
          <w:szCs w:val="20"/>
          <w:color w:val="auto"/>
        </w:rPr>
      </w:pPr>
    </w:p>
    <w:p>
      <w:pPr>
        <w:ind w:left="1160" w:right="4339" w:hanging="1152"/>
        <w:spacing w:after="0" w:line="696" w:lineRule="auto"/>
        <w:tabs>
          <w:tab w:leader="none" w:pos="634"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7.0 %</w:t>
      </w:r>
    </w:p>
    <w:p>
      <w:pPr>
        <w:spacing w:after="0"/>
        <w:rPr>
          <w:sz w:val="20"/>
          <w:szCs w:val="20"/>
          <w:color w:val="auto"/>
        </w:rPr>
      </w:pPr>
      <w:r>
        <w:rPr>
          <w:rFonts w:ascii="Courier New" w:cs="Courier New" w:eastAsia="Courier New" w:hAnsi="Courier New"/>
          <w:sz w:val="16"/>
          <w:szCs w:val="16"/>
          <w:color w:val="auto"/>
        </w:rPr>
        <w:t>------------------------------------------------------------------------------</w:t>
      </w:r>
    </w:p>
    <w:p>
      <w:pPr>
        <w:spacing w:after="0" w:line="53" w:lineRule="exact"/>
        <w:rPr>
          <w:sz w:val="20"/>
          <w:szCs w:val="20"/>
          <w:color w:val="auto"/>
        </w:rPr>
      </w:pPr>
    </w:p>
    <w:p>
      <w:pPr>
        <w:ind w:left="1160" w:right="6979" w:hanging="1152"/>
        <w:spacing w:after="0" w:line="457" w:lineRule="auto"/>
        <w:tabs>
          <w:tab w:leader="none" w:pos="634"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BD-OO-IA</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139"/>
          </w:cols>
          <w:pgMar w:left="320" w:top="689" w:right="1440" w:bottom="41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3380"/>
        <w:spacing w:after="0"/>
        <w:rPr>
          <w:sz w:val="20"/>
          <w:szCs w:val="20"/>
          <w:color w:val="auto"/>
        </w:rPr>
      </w:pPr>
      <w:r>
        <w:rPr>
          <w:rFonts w:ascii="Courier New" w:cs="Courier New" w:eastAsia="Courier New" w:hAnsi="Courier New"/>
          <w:sz w:val="16"/>
          <w:szCs w:val="16"/>
          <w:color w:val="auto"/>
        </w:rPr>
        <w:t>Page 3 of 11</w:t>
      </w:r>
    </w:p>
    <w:p>
      <w:pPr>
        <w:sectPr>
          <w:pgSz w:w="11900" w:h="16838" w:orient="portrait"/>
          <w:cols w:equalWidth="0" w:num="1">
            <w:col w:w="10139"/>
          </w:cols>
          <w:pgMar w:left="320" w:top="689" w:right="1440" w:bottom="417" w:gutter="0" w:footer="0" w:header="0"/>
          <w:type w:val="continuous"/>
        </w:sectPr>
      </w:pPr>
    </w:p>
    <w:bookmarkStart w:id="3" w:name="page4"/>
    <w:bookmarkEnd w:id="3"/>
    <w:p>
      <w:pPr>
        <w:spacing w:after="0"/>
        <w:tabs>
          <w:tab w:leader="none" w:pos="19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line="31"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LARIMAR THERAPEUTICS, INC.</w:t>
      </w:r>
    </w:p>
    <w:p>
      <w:pPr>
        <w:spacing w:after="0" w:line="169" w:lineRule="exact"/>
        <w:rPr>
          <w:sz w:val="20"/>
          <w:szCs w:val="20"/>
          <w:color w:val="auto"/>
        </w:rPr>
      </w:pPr>
    </w:p>
    <w:p>
      <w:pPr>
        <w:spacing w:after="0"/>
        <w:tabs>
          <w:tab w:leader="none" w:pos="198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Address of Issuer's Principal Executive Offices:</w:t>
      </w:r>
    </w:p>
    <w:p>
      <w:pPr>
        <w:spacing w:after="0" w:line="29"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Three Bala Plaza East, Suite 506</w:t>
      </w:r>
    </w:p>
    <w:p>
      <w:pPr>
        <w:ind w:left="2000"/>
        <w:spacing w:after="0"/>
        <w:rPr>
          <w:sz w:val="20"/>
          <w:szCs w:val="20"/>
          <w:color w:val="auto"/>
        </w:rPr>
      </w:pPr>
      <w:r>
        <w:rPr>
          <w:rFonts w:ascii="Courier New" w:cs="Courier New" w:eastAsia="Courier New" w:hAnsi="Courier New"/>
          <w:sz w:val="18"/>
          <w:szCs w:val="18"/>
          <w:color w:val="auto"/>
        </w:rPr>
        <w:t>Bala Cynwyd, PA 19004</w:t>
      </w:r>
    </w:p>
    <w:p>
      <w:pPr>
        <w:spacing w:after="0" w:line="169" w:lineRule="exact"/>
        <w:rPr>
          <w:sz w:val="20"/>
          <w:szCs w:val="20"/>
          <w:color w:val="auto"/>
        </w:rPr>
      </w:pPr>
    </w:p>
    <w:p>
      <w:pPr>
        <w:spacing w:after="0"/>
        <w:tabs>
          <w:tab w:leader="none" w:pos="198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Persons Filing:</w:t>
      </w:r>
    </w:p>
    <w:p>
      <w:pPr>
        <w:spacing w:after="0" w:line="201"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THE GOLDMAN SACHS GROUP, INC.</w:t>
      </w:r>
    </w:p>
    <w:p>
      <w:pPr>
        <w:spacing w:after="0" w:line="31"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GOLDMAN SACHS &amp; CO. LLC</w:t>
      </w:r>
    </w:p>
    <w:p>
      <w:pPr>
        <w:spacing w:after="0" w:line="169" w:lineRule="exact"/>
        <w:rPr>
          <w:sz w:val="20"/>
          <w:szCs w:val="20"/>
          <w:color w:val="auto"/>
        </w:rPr>
      </w:pPr>
    </w:p>
    <w:p>
      <w:pPr>
        <w:spacing w:after="0"/>
        <w:tabs>
          <w:tab w:leader="none" w:pos="1980" w:val="left"/>
        </w:tabs>
        <w:rPr>
          <w:sz w:val="20"/>
          <w:szCs w:val="20"/>
          <w:color w:val="auto"/>
        </w:rPr>
      </w:pPr>
      <w:r>
        <w:rPr>
          <w:rFonts w:ascii="Courier New" w:cs="Courier New" w:eastAsia="Courier New" w:hAnsi="Courier New"/>
          <w:sz w:val="18"/>
          <w:szCs w:val="18"/>
          <w:color w:val="auto"/>
        </w:rPr>
        <w:t>Item 2(b).</w:t>
      </w:r>
      <w:r>
        <w:rPr>
          <w:sz w:val="20"/>
          <w:szCs w:val="20"/>
          <w:color w:val="auto"/>
        </w:rPr>
        <w:tab/>
      </w:r>
      <w:r>
        <w:rPr>
          <w:rFonts w:ascii="Courier New" w:cs="Courier New" w:eastAsia="Courier New" w:hAnsi="Courier New"/>
          <w:sz w:val="16"/>
          <w:szCs w:val="16"/>
          <w:color w:val="auto"/>
        </w:rPr>
        <w:t>Address of Principal Business Office or, if none, Residence:</w:t>
      </w:r>
    </w:p>
    <w:p>
      <w:pPr>
        <w:spacing w:after="0" w:line="201"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The Goldman Sachs Group, Inc.</w:t>
      </w:r>
    </w:p>
    <w:p>
      <w:pPr>
        <w:spacing w:after="0" w:line="29"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200 West Street</w:t>
      </w:r>
    </w:p>
    <w:p>
      <w:pPr>
        <w:ind w:left="2000"/>
        <w:spacing w:after="0"/>
        <w:rPr>
          <w:sz w:val="20"/>
          <w:szCs w:val="20"/>
          <w:color w:val="auto"/>
        </w:rPr>
      </w:pPr>
      <w:r>
        <w:rPr>
          <w:rFonts w:ascii="Courier New" w:cs="Courier New" w:eastAsia="Courier New" w:hAnsi="Courier New"/>
          <w:sz w:val="18"/>
          <w:szCs w:val="18"/>
          <w:color w:val="auto"/>
        </w:rPr>
        <w:t>New York, NY 10282</w:t>
      </w:r>
    </w:p>
    <w:p>
      <w:pPr>
        <w:spacing w:after="0" w:line="169"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Goldman Sachs &amp; Co. LLC</w:t>
      </w:r>
    </w:p>
    <w:p>
      <w:pPr>
        <w:spacing w:after="0" w:line="29"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200 West Street</w:t>
      </w:r>
    </w:p>
    <w:p>
      <w:pPr>
        <w:ind w:left="2000"/>
        <w:spacing w:after="0"/>
        <w:rPr>
          <w:sz w:val="20"/>
          <w:szCs w:val="20"/>
          <w:color w:val="auto"/>
        </w:rPr>
      </w:pPr>
      <w:r>
        <w:rPr>
          <w:rFonts w:ascii="Courier New" w:cs="Courier New" w:eastAsia="Courier New" w:hAnsi="Courier New"/>
          <w:sz w:val="18"/>
          <w:szCs w:val="18"/>
          <w:color w:val="auto"/>
        </w:rPr>
        <w:t>New York, NY 10282</w:t>
      </w:r>
    </w:p>
    <w:p>
      <w:pPr>
        <w:spacing w:after="0" w:line="169" w:lineRule="exact"/>
        <w:rPr>
          <w:sz w:val="20"/>
          <w:szCs w:val="20"/>
          <w:color w:val="auto"/>
        </w:rPr>
      </w:pPr>
    </w:p>
    <w:p>
      <w:pPr>
        <w:spacing w:after="0"/>
        <w:tabs>
          <w:tab w:leader="none" w:pos="198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6"/>
          <w:szCs w:val="16"/>
          <w:color w:val="auto"/>
        </w:rPr>
        <w:t>Citizenship:</w:t>
      </w:r>
    </w:p>
    <w:p>
      <w:pPr>
        <w:spacing w:after="0" w:line="29"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THE GOLDMAN SACHS GROUP, INC. - Delaware</w:t>
      </w:r>
    </w:p>
    <w:p>
      <w:pPr>
        <w:ind w:left="2000"/>
        <w:spacing w:after="0"/>
        <w:rPr>
          <w:sz w:val="20"/>
          <w:szCs w:val="20"/>
          <w:color w:val="auto"/>
        </w:rPr>
      </w:pPr>
      <w:r>
        <w:rPr>
          <w:rFonts w:ascii="Courier New" w:cs="Courier New" w:eastAsia="Courier New" w:hAnsi="Courier New"/>
          <w:sz w:val="18"/>
          <w:szCs w:val="18"/>
          <w:color w:val="auto"/>
        </w:rPr>
        <w:t>GOLDMAN SACHS &amp; CO. LLC - New York</w:t>
      </w:r>
    </w:p>
    <w:p>
      <w:pPr>
        <w:spacing w:after="0" w:line="169" w:lineRule="exact"/>
        <w:rPr>
          <w:sz w:val="20"/>
          <w:szCs w:val="20"/>
          <w:color w:val="auto"/>
        </w:rPr>
      </w:pPr>
    </w:p>
    <w:p>
      <w:pPr>
        <w:spacing w:after="0"/>
        <w:tabs>
          <w:tab w:leader="none" w:pos="198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spacing w:after="0" w:line="31"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Common Stock, par value $0.001 per share</w:t>
      </w:r>
    </w:p>
    <w:p>
      <w:pPr>
        <w:spacing w:after="0" w:line="169" w:lineRule="exact"/>
        <w:rPr>
          <w:sz w:val="20"/>
          <w:szCs w:val="20"/>
          <w:color w:val="auto"/>
        </w:rPr>
      </w:pPr>
    </w:p>
    <w:p>
      <w:pPr>
        <w:spacing w:after="0"/>
        <w:tabs>
          <w:tab w:leader="none" w:pos="19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spacing w:after="0" w:line="31"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517125100</w:t>
      </w:r>
    </w:p>
    <w:p>
      <w:pPr>
        <w:spacing w:after="0" w:line="169" w:lineRule="exact"/>
        <w:rPr>
          <w:sz w:val="20"/>
          <w:szCs w:val="20"/>
          <w:color w:val="auto"/>
        </w:rPr>
      </w:pPr>
    </w:p>
    <w:p>
      <w:pPr>
        <w:spacing w:after="0"/>
        <w:tabs>
          <w:tab w:leader="none" w:pos="198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If this statement is filed pursuant to Rules 13d-1(b) or</w:t>
      </w:r>
    </w:p>
    <w:p>
      <w:pPr>
        <w:spacing w:after="0" w:line="31"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13d-2(b) or (c), check whether the person filing is a:</w:t>
      </w:r>
    </w:p>
    <w:p>
      <w:pPr>
        <w:spacing w:after="0" w:line="169" w:lineRule="exact"/>
        <w:rPr>
          <w:sz w:val="20"/>
          <w:szCs w:val="20"/>
          <w:color w:val="auto"/>
        </w:rPr>
      </w:pPr>
    </w:p>
    <w:p>
      <w:pPr>
        <w:ind w:left="1060"/>
        <w:spacing w:after="0"/>
        <w:tabs>
          <w:tab w:leader="none" w:pos="1980" w:val="left"/>
        </w:tabs>
        <w:rPr>
          <w:sz w:val="20"/>
          <w:szCs w:val="20"/>
          <w:color w:val="auto"/>
        </w:rPr>
      </w:pPr>
      <w:r>
        <w:rPr>
          <w:rFonts w:ascii="Courier New" w:cs="Courier New" w:eastAsia="Courier New" w:hAnsi="Courier New"/>
          <w:sz w:val="18"/>
          <w:szCs w:val="18"/>
          <w:color w:val="auto"/>
        </w:rPr>
        <w:t>(a).[X]</w:t>
      </w:r>
      <w:r>
        <w:rPr>
          <w:sz w:val="20"/>
          <w:szCs w:val="20"/>
          <w:color w:val="auto"/>
        </w:rPr>
        <w:tab/>
      </w:r>
      <w:r>
        <w:rPr>
          <w:rFonts w:ascii="Courier New" w:cs="Courier New" w:eastAsia="Courier New" w:hAnsi="Courier New"/>
          <w:sz w:val="16"/>
          <w:szCs w:val="16"/>
          <w:color w:val="auto"/>
        </w:rPr>
        <w:t>Broker or dealer registered under Section 15 of the Act</w:t>
      </w:r>
    </w:p>
    <w:p>
      <w:pPr>
        <w:spacing w:after="0" w:line="29"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(15 U.S.C. 78o).</w:t>
      </w:r>
    </w:p>
    <w:p>
      <w:pPr>
        <w:ind w:left="3160"/>
        <w:spacing w:after="0"/>
        <w:rPr>
          <w:sz w:val="20"/>
          <w:szCs w:val="20"/>
          <w:color w:val="auto"/>
        </w:rPr>
      </w:pPr>
      <w:r>
        <w:rPr>
          <w:rFonts w:ascii="Courier New" w:cs="Courier New" w:eastAsia="Courier New" w:hAnsi="Courier New"/>
          <w:sz w:val="18"/>
          <w:szCs w:val="18"/>
          <w:color w:val="auto"/>
        </w:rPr>
        <w:t>Goldman Sachs &amp; Co. LLC</w:t>
      </w:r>
    </w:p>
    <w:p>
      <w:pPr>
        <w:spacing w:after="0" w:line="169" w:lineRule="exact"/>
        <w:rPr>
          <w:sz w:val="20"/>
          <w:szCs w:val="20"/>
          <w:color w:val="auto"/>
        </w:rPr>
      </w:pPr>
    </w:p>
    <w:p>
      <w:pPr>
        <w:ind w:left="1060"/>
        <w:spacing w:after="0"/>
        <w:tabs>
          <w:tab w:leader="none" w:pos="1980" w:val="left"/>
        </w:tabs>
        <w:rPr>
          <w:sz w:val="20"/>
          <w:szCs w:val="20"/>
          <w:color w:val="auto"/>
        </w:rPr>
      </w:pPr>
      <w:r>
        <w:rPr>
          <w:rFonts w:ascii="Courier New" w:cs="Courier New" w:eastAsia="Courier New" w:hAnsi="Courier New"/>
          <w:sz w:val="18"/>
          <w:szCs w:val="18"/>
          <w:color w:val="auto"/>
        </w:rPr>
        <w:t>(b).[_]</w:t>
      </w:r>
      <w:r>
        <w:rPr>
          <w:sz w:val="20"/>
          <w:szCs w:val="20"/>
          <w:color w:val="auto"/>
        </w:rPr>
        <w:tab/>
      </w:r>
      <w:r>
        <w:rPr>
          <w:rFonts w:ascii="Courier New" w:cs="Courier New" w:eastAsia="Courier New" w:hAnsi="Courier New"/>
          <w:sz w:val="16"/>
          <w:szCs w:val="16"/>
          <w:color w:val="auto"/>
        </w:rPr>
        <w:t>Bank as defined in Section 3(a)(6) of the Act</w:t>
      </w:r>
    </w:p>
    <w:p>
      <w:pPr>
        <w:spacing w:after="0" w:line="31"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(15 U.S.C. 78c).</w:t>
      </w:r>
    </w:p>
    <w:p>
      <w:pPr>
        <w:spacing w:after="0" w:line="169" w:lineRule="exact"/>
        <w:rPr>
          <w:sz w:val="20"/>
          <w:szCs w:val="20"/>
          <w:color w:val="auto"/>
        </w:rPr>
      </w:pPr>
    </w:p>
    <w:p>
      <w:pPr>
        <w:ind w:left="1060"/>
        <w:spacing w:after="0"/>
        <w:tabs>
          <w:tab w:leader="none" w:pos="1980" w:val="left"/>
        </w:tabs>
        <w:rPr>
          <w:sz w:val="20"/>
          <w:szCs w:val="20"/>
          <w:color w:val="auto"/>
        </w:rPr>
      </w:pPr>
      <w:r>
        <w:rPr>
          <w:rFonts w:ascii="Courier New" w:cs="Courier New" w:eastAsia="Courier New" w:hAnsi="Courier New"/>
          <w:sz w:val="18"/>
          <w:szCs w:val="18"/>
          <w:color w:val="auto"/>
        </w:rPr>
        <w:t>(c).[_]</w:t>
      </w:r>
      <w:r>
        <w:rPr>
          <w:sz w:val="20"/>
          <w:szCs w:val="20"/>
          <w:color w:val="auto"/>
        </w:rPr>
        <w:tab/>
      </w:r>
      <w:r>
        <w:rPr>
          <w:rFonts w:ascii="Courier New" w:cs="Courier New" w:eastAsia="Courier New" w:hAnsi="Courier New"/>
          <w:sz w:val="16"/>
          <w:szCs w:val="16"/>
          <w:color w:val="auto"/>
        </w:rPr>
        <w:t>Insurance company as defined in Section 3(a)(19) of the Act</w:t>
      </w:r>
    </w:p>
    <w:p>
      <w:pPr>
        <w:spacing w:after="0" w:line="31"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(15 U.S.C. 78c).</w:t>
      </w:r>
    </w:p>
    <w:p>
      <w:pPr>
        <w:spacing w:after="0" w:line="169" w:lineRule="exact"/>
        <w:rPr>
          <w:sz w:val="20"/>
          <w:szCs w:val="20"/>
          <w:color w:val="auto"/>
        </w:rPr>
      </w:pPr>
    </w:p>
    <w:p>
      <w:pPr>
        <w:ind w:left="1060"/>
        <w:spacing w:after="0"/>
        <w:tabs>
          <w:tab w:leader="none" w:pos="1980" w:val="left"/>
        </w:tabs>
        <w:rPr>
          <w:sz w:val="20"/>
          <w:szCs w:val="20"/>
          <w:color w:val="auto"/>
        </w:rPr>
      </w:pPr>
      <w:r>
        <w:rPr>
          <w:rFonts w:ascii="Courier New" w:cs="Courier New" w:eastAsia="Courier New" w:hAnsi="Courier New"/>
          <w:sz w:val="18"/>
          <w:szCs w:val="18"/>
          <w:color w:val="auto"/>
        </w:rPr>
        <w:t>(d).[_]</w:t>
      </w:r>
      <w:r>
        <w:rPr>
          <w:sz w:val="20"/>
          <w:szCs w:val="20"/>
          <w:color w:val="auto"/>
        </w:rPr>
        <w:tab/>
      </w:r>
      <w:r>
        <w:rPr>
          <w:rFonts w:ascii="Courier New" w:cs="Courier New" w:eastAsia="Courier New" w:hAnsi="Courier New"/>
          <w:sz w:val="16"/>
          <w:szCs w:val="16"/>
          <w:color w:val="auto"/>
        </w:rPr>
        <w:t>Investment company registered under Section 8 of the</w:t>
      </w:r>
    </w:p>
    <w:p>
      <w:pPr>
        <w:spacing w:after="0" w:line="31"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Investment Company Act of 1940 (15 U.S.C. 80a-8).</w:t>
      </w:r>
    </w:p>
    <w:p>
      <w:pPr>
        <w:spacing w:after="0" w:line="169" w:lineRule="exact"/>
        <w:rPr>
          <w:sz w:val="20"/>
          <w:szCs w:val="20"/>
          <w:color w:val="auto"/>
        </w:rPr>
      </w:pPr>
    </w:p>
    <w:p>
      <w:pPr>
        <w:ind w:left="1060"/>
        <w:spacing w:after="0"/>
        <w:tabs>
          <w:tab w:leader="none" w:pos="1980" w:val="left"/>
        </w:tabs>
        <w:rPr>
          <w:sz w:val="20"/>
          <w:szCs w:val="20"/>
          <w:color w:val="auto"/>
        </w:rPr>
      </w:pPr>
      <w:r>
        <w:rPr>
          <w:rFonts w:ascii="Courier New" w:cs="Courier New" w:eastAsia="Courier New" w:hAnsi="Courier New"/>
          <w:sz w:val="18"/>
          <w:szCs w:val="18"/>
          <w:color w:val="auto"/>
        </w:rPr>
        <w:t>(e).[X]</w:t>
      </w:r>
      <w:r>
        <w:rPr>
          <w:sz w:val="20"/>
          <w:szCs w:val="20"/>
          <w:color w:val="auto"/>
        </w:rPr>
        <w:tab/>
      </w:r>
      <w:r>
        <w:rPr>
          <w:rFonts w:ascii="Courier New" w:cs="Courier New" w:eastAsia="Courier New" w:hAnsi="Courier New"/>
          <w:sz w:val="16"/>
          <w:szCs w:val="16"/>
          <w:color w:val="auto"/>
        </w:rPr>
        <w:t>An investment adviser in accordance with</w:t>
      </w:r>
    </w:p>
    <w:p>
      <w:pPr>
        <w:spacing w:after="0" w:line="29"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Rule 13d-1(b)(1)(ii)(E);</w:t>
      </w:r>
    </w:p>
    <w:p>
      <w:pPr>
        <w:ind w:left="3160"/>
        <w:spacing w:after="0"/>
        <w:rPr>
          <w:sz w:val="20"/>
          <w:szCs w:val="20"/>
          <w:color w:val="auto"/>
        </w:rPr>
      </w:pPr>
      <w:r>
        <w:rPr>
          <w:rFonts w:ascii="Courier New" w:cs="Courier New" w:eastAsia="Courier New" w:hAnsi="Courier New"/>
          <w:sz w:val="18"/>
          <w:szCs w:val="18"/>
          <w:color w:val="auto"/>
        </w:rPr>
        <w:t>Goldman Sachs &amp; Co. LLC</w:t>
      </w:r>
    </w:p>
    <w:p>
      <w:pPr>
        <w:spacing w:after="0" w:line="169" w:lineRule="exact"/>
        <w:rPr>
          <w:sz w:val="20"/>
          <w:szCs w:val="20"/>
          <w:color w:val="auto"/>
        </w:rPr>
      </w:pPr>
    </w:p>
    <w:p>
      <w:pPr>
        <w:ind w:left="1060"/>
        <w:spacing w:after="0"/>
        <w:tabs>
          <w:tab w:leader="none" w:pos="1980" w:val="left"/>
        </w:tabs>
        <w:rPr>
          <w:sz w:val="20"/>
          <w:szCs w:val="20"/>
          <w:color w:val="auto"/>
        </w:rPr>
      </w:pPr>
      <w:r>
        <w:rPr>
          <w:rFonts w:ascii="Courier New" w:cs="Courier New" w:eastAsia="Courier New" w:hAnsi="Courier New"/>
          <w:sz w:val="18"/>
          <w:szCs w:val="18"/>
          <w:color w:val="auto"/>
        </w:rPr>
        <w:t>(f).[_]</w:t>
      </w:r>
      <w:r>
        <w:rPr>
          <w:sz w:val="20"/>
          <w:szCs w:val="20"/>
          <w:color w:val="auto"/>
        </w:rPr>
        <w:tab/>
      </w:r>
      <w:r>
        <w:rPr>
          <w:rFonts w:ascii="Courier New" w:cs="Courier New" w:eastAsia="Courier New" w:hAnsi="Courier New"/>
          <w:sz w:val="16"/>
          <w:szCs w:val="16"/>
          <w:color w:val="auto"/>
        </w:rPr>
        <w:t>An employee benefit plan or endowment fund in accordance</w:t>
      </w:r>
    </w:p>
    <w:p>
      <w:pPr>
        <w:spacing w:after="0" w:line="31"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with Rule 13d-1(b)(1)(ii)(F);</w:t>
      </w:r>
    </w:p>
    <w:p>
      <w:pPr>
        <w:spacing w:after="0" w:line="169" w:lineRule="exact"/>
        <w:rPr>
          <w:sz w:val="20"/>
          <w:szCs w:val="20"/>
          <w:color w:val="auto"/>
        </w:rPr>
      </w:pPr>
    </w:p>
    <w:p>
      <w:pPr>
        <w:ind w:left="1060"/>
        <w:spacing w:after="0"/>
        <w:tabs>
          <w:tab w:leader="none" w:pos="1980" w:val="left"/>
        </w:tabs>
        <w:rPr>
          <w:sz w:val="20"/>
          <w:szCs w:val="20"/>
          <w:color w:val="auto"/>
        </w:rPr>
      </w:pPr>
      <w:r>
        <w:rPr>
          <w:rFonts w:ascii="Courier New" w:cs="Courier New" w:eastAsia="Courier New" w:hAnsi="Courier New"/>
          <w:sz w:val="18"/>
          <w:szCs w:val="18"/>
          <w:color w:val="auto"/>
        </w:rPr>
        <w:t>(g).[X]</w:t>
      </w:r>
      <w:r>
        <w:rPr>
          <w:sz w:val="20"/>
          <w:szCs w:val="20"/>
          <w:color w:val="auto"/>
        </w:rPr>
        <w:tab/>
      </w:r>
      <w:r>
        <w:rPr>
          <w:rFonts w:ascii="Courier New" w:cs="Courier New" w:eastAsia="Courier New" w:hAnsi="Courier New"/>
          <w:sz w:val="16"/>
          <w:szCs w:val="16"/>
          <w:color w:val="auto"/>
        </w:rPr>
        <w:t>A parent holding company or control person in accordance</w:t>
      </w:r>
    </w:p>
    <w:p>
      <w:pPr>
        <w:spacing w:after="0" w:line="29"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with Rule 13d-1(b)(1)(ii)(G);</w:t>
      </w:r>
    </w:p>
    <w:p>
      <w:pPr>
        <w:ind w:left="3160"/>
        <w:spacing w:after="0"/>
        <w:rPr>
          <w:sz w:val="20"/>
          <w:szCs w:val="20"/>
          <w:color w:val="auto"/>
        </w:rPr>
      </w:pPr>
      <w:r>
        <w:rPr>
          <w:rFonts w:ascii="Courier New" w:cs="Courier New" w:eastAsia="Courier New" w:hAnsi="Courier New"/>
          <w:sz w:val="18"/>
          <w:szCs w:val="18"/>
          <w:color w:val="auto"/>
        </w:rPr>
        <w:t>The Goldman Sachs Group, Inc.</w:t>
      </w:r>
    </w:p>
    <w:p>
      <w:pPr>
        <w:spacing w:after="0" w:line="169" w:lineRule="exact"/>
        <w:rPr>
          <w:sz w:val="20"/>
          <w:szCs w:val="20"/>
          <w:color w:val="auto"/>
        </w:rPr>
      </w:pPr>
    </w:p>
    <w:p>
      <w:pPr>
        <w:ind w:left="1060"/>
        <w:spacing w:after="0"/>
        <w:tabs>
          <w:tab w:leader="none" w:pos="1980" w:val="left"/>
        </w:tabs>
        <w:rPr>
          <w:sz w:val="20"/>
          <w:szCs w:val="20"/>
          <w:color w:val="auto"/>
        </w:rPr>
      </w:pPr>
      <w:r>
        <w:rPr>
          <w:rFonts w:ascii="Courier New" w:cs="Courier New" w:eastAsia="Courier New" w:hAnsi="Courier New"/>
          <w:sz w:val="18"/>
          <w:szCs w:val="18"/>
          <w:color w:val="auto"/>
        </w:rPr>
        <w:t>(h).[_]</w:t>
      </w:r>
      <w:r>
        <w:rPr>
          <w:sz w:val="20"/>
          <w:szCs w:val="20"/>
          <w:color w:val="auto"/>
        </w:rPr>
        <w:tab/>
      </w:r>
      <w:r>
        <w:rPr>
          <w:rFonts w:ascii="Courier New" w:cs="Courier New" w:eastAsia="Courier New" w:hAnsi="Courier New"/>
          <w:sz w:val="16"/>
          <w:szCs w:val="16"/>
          <w:color w:val="auto"/>
        </w:rPr>
        <w:t>A savings association as defined in Section 3(b) of the</w:t>
      </w:r>
    </w:p>
    <w:p>
      <w:pPr>
        <w:spacing w:after="0" w:line="31"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Federal Deposit Insurance Act (12 U.S.C. 1813);</w:t>
      </w:r>
    </w:p>
    <w:p>
      <w:pPr>
        <w:spacing w:after="0" w:line="169" w:lineRule="exact"/>
        <w:rPr>
          <w:sz w:val="20"/>
          <w:szCs w:val="20"/>
          <w:color w:val="auto"/>
        </w:rPr>
      </w:pPr>
    </w:p>
    <w:p>
      <w:pPr>
        <w:ind w:left="1060"/>
        <w:spacing w:after="0"/>
        <w:tabs>
          <w:tab w:leader="none" w:pos="1980" w:val="left"/>
        </w:tabs>
        <w:rPr>
          <w:sz w:val="20"/>
          <w:szCs w:val="20"/>
          <w:color w:val="auto"/>
        </w:rPr>
      </w:pPr>
      <w:r>
        <w:rPr>
          <w:rFonts w:ascii="Courier New" w:cs="Courier New" w:eastAsia="Courier New" w:hAnsi="Courier New"/>
          <w:sz w:val="18"/>
          <w:szCs w:val="18"/>
          <w:color w:val="auto"/>
        </w:rPr>
        <w:t>(i).[_]</w:t>
      </w:r>
      <w:r>
        <w:rPr>
          <w:sz w:val="20"/>
          <w:szCs w:val="20"/>
          <w:color w:val="auto"/>
        </w:rPr>
        <w:tab/>
      </w:r>
      <w:r>
        <w:rPr>
          <w:rFonts w:ascii="Courier New" w:cs="Courier New" w:eastAsia="Courier New" w:hAnsi="Courier New"/>
          <w:sz w:val="16"/>
          <w:szCs w:val="16"/>
          <w:color w:val="auto"/>
        </w:rPr>
        <w:t>A church plan that is excluded from the definition of an</w:t>
      </w:r>
    </w:p>
    <w:p>
      <w:pPr>
        <w:spacing w:after="0" w:line="29"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investment company under Section 3(c)(14) of the</w:t>
      </w:r>
    </w:p>
    <w:p>
      <w:pPr>
        <w:ind w:left="2000"/>
        <w:spacing w:after="0"/>
        <w:rPr>
          <w:sz w:val="20"/>
          <w:szCs w:val="20"/>
          <w:color w:val="auto"/>
        </w:rPr>
      </w:pPr>
      <w:r>
        <w:rPr>
          <w:rFonts w:ascii="Courier New" w:cs="Courier New" w:eastAsia="Courier New" w:hAnsi="Courier New"/>
          <w:sz w:val="18"/>
          <w:szCs w:val="18"/>
          <w:color w:val="auto"/>
        </w:rPr>
        <w:t>Investment Company Act of 1940 (15 U.S.C. 80a-3);</w:t>
      </w:r>
    </w:p>
    <w:p>
      <w:pPr>
        <w:spacing w:after="0" w:line="169" w:lineRule="exact"/>
        <w:rPr>
          <w:sz w:val="20"/>
          <w:szCs w:val="20"/>
          <w:color w:val="auto"/>
        </w:rPr>
      </w:pPr>
    </w:p>
    <w:p>
      <w:pPr>
        <w:ind w:left="1060"/>
        <w:spacing w:after="0"/>
        <w:tabs>
          <w:tab w:leader="none" w:pos="1980" w:val="left"/>
        </w:tabs>
        <w:rPr>
          <w:sz w:val="20"/>
          <w:szCs w:val="20"/>
          <w:color w:val="auto"/>
        </w:rPr>
      </w:pPr>
      <w:r>
        <w:rPr>
          <w:rFonts w:ascii="Courier New" w:cs="Courier New" w:eastAsia="Courier New" w:hAnsi="Courier New"/>
          <w:sz w:val="18"/>
          <w:szCs w:val="18"/>
          <w:color w:val="auto"/>
        </w:rPr>
        <w:t>(j).[_]</w:t>
      </w:r>
      <w:r>
        <w:rPr>
          <w:sz w:val="20"/>
          <w:szCs w:val="20"/>
          <w:color w:val="auto"/>
        </w:rPr>
        <w:tab/>
      </w:r>
      <w:r>
        <w:rPr>
          <w:rFonts w:ascii="Courier New" w:cs="Courier New" w:eastAsia="Courier New" w:hAnsi="Courier New"/>
          <w:sz w:val="16"/>
          <w:szCs w:val="16"/>
          <w:color w:val="auto"/>
        </w:rPr>
        <w:t>A non-U.S. institution in accordance with</w:t>
      </w:r>
    </w:p>
    <w:p>
      <w:pPr>
        <w:spacing w:after="0" w:line="31"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Rule 13d-1(b)(1)(ii)(J);</w:t>
      </w:r>
    </w:p>
    <w:p>
      <w:pPr>
        <w:spacing w:after="0" w:line="169" w:lineRule="exact"/>
        <w:rPr>
          <w:sz w:val="20"/>
          <w:szCs w:val="20"/>
          <w:color w:val="auto"/>
        </w:rPr>
      </w:pPr>
    </w:p>
    <w:p>
      <w:pPr>
        <w:ind w:left="1060"/>
        <w:spacing w:after="0"/>
        <w:tabs>
          <w:tab w:leader="none" w:pos="1980" w:val="left"/>
        </w:tabs>
        <w:rPr>
          <w:sz w:val="20"/>
          <w:szCs w:val="20"/>
          <w:color w:val="auto"/>
        </w:rPr>
      </w:pPr>
      <w:r>
        <w:rPr>
          <w:rFonts w:ascii="Courier New" w:cs="Courier New" w:eastAsia="Courier New" w:hAnsi="Courier New"/>
          <w:sz w:val="18"/>
          <w:szCs w:val="18"/>
          <w:color w:val="auto"/>
        </w:rPr>
        <w:t>(k).[_]</w:t>
      </w:r>
      <w:r>
        <w:rPr>
          <w:sz w:val="20"/>
          <w:szCs w:val="20"/>
          <w:color w:val="auto"/>
        </w:rPr>
        <w:tab/>
      </w:r>
      <w:r>
        <w:rPr>
          <w:rFonts w:ascii="Courier New" w:cs="Courier New" w:eastAsia="Courier New" w:hAnsi="Courier New"/>
          <w:sz w:val="16"/>
          <w:szCs w:val="16"/>
          <w:color w:val="auto"/>
        </w:rPr>
        <w:t>A group, in accordance with Rule 13d-1(b)(1)(ii)</w:t>
      </w:r>
    </w:p>
    <w:p>
      <w:pPr>
        <w:spacing w:after="0" w:line="31"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(A) through (K).</w:t>
      </w:r>
    </w:p>
    <w:p>
      <w:pPr>
        <w:spacing w:after="0" w:line="169"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If filing as a non-U.S. institution in accordance with Rule</w:t>
      </w:r>
    </w:p>
    <w:p>
      <w:pPr>
        <w:spacing w:after="0" w:line="3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13d-1(b)(1)(ii)(J), please specify the type of institution:</w:t>
      </w:r>
    </w:p>
    <w:p>
      <w:pPr>
        <w:sectPr>
          <w:pgSz w:w="11900" w:h="16838" w:orient="portrait"/>
          <w:cols w:equalWidth="0" w:num="1">
            <w:col w:w="10139"/>
          </w:cols>
          <w:pgMar w:left="320" w:top="690" w:right="1440" w:bottom="0" w:gutter="0" w:footer="0" w:header="0"/>
        </w:sectPr>
      </w:pPr>
    </w:p>
    <w:p>
      <w:pPr>
        <w:spacing w:after="0" w:line="200" w:lineRule="exact"/>
        <w:rPr>
          <w:sz w:val="20"/>
          <w:szCs w:val="20"/>
          <w:color w:val="auto"/>
        </w:rPr>
      </w:pPr>
    </w:p>
    <w:p>
      <w:pPr>
        <w:spacing w:after="0" w:line="374" w:lineRule="exact"/>
        <w:rPr>
          <w:sz w:val="20"/>
          <w:szCs w:val="20"/>
          <w:color w:val="auto"/>
        </w:rPr>
      </w:pPr>
    </w:p>
    <w:p>
      <w:pPr>
        <w:ind w:left="3280"/>
        <w:spacing w:after="0"/>
        <w:rPr>
          <w:sz w:val="20"/>
          <w:szCs w:val="20"/>
          <w:color w:val="auto"/>
        </w:rPr>
      </w:pPr>
      <w:r>
        <w:rPr>
          <w:rFonts w:ascii="Courier New" w:cs="Courier New" w:eastAsia="Courier New" w:hAnsi="Courier New"/>
          <w:sz w:val="16"/>
          <w:szCs w:val="16"/>
          <w:color w:val="auto"/>
        </w:rPr>
        <w:t>Page 4 of 11</w:t>
      </w:r>
    </w:p>
    <w:p>
      <w:pPr>
        <w:sectPr>
          <w:pgSz w:w="11900" w:h="16838" w:orient="portrait"/>
          <w:cols w:equalWidth="0" w:num="1">
            <w:col w:w="10139"/>
          </w:cols>
          <w:pgMar w:left="320" w:top="690" w:right="1440" w:bottom="0" w:gutter="0" w:footer="0" w:header="0"/>
          <w:type w:val="continuous"/>
        </w:sectPr>
      </w:pPr>
    </w:p>
    <w:bookmarkStart w:id="4" w:name="page5"/>
    <w:bookmarkEnd w:id="4"/>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1740" w:type="dxa"/>
            <w:vAlign w:val="bottom"/>
          </w:tcPr>
          <w:p>
            <w:pPr>
              <w:spacing w:after="0"/>
              <w:rPr>
                <w:sz w:val="20"/>
                <w:szCs w:val="20"/>
                <w:color w:val="auto"/>
              </w:rPr>
            </w:pPr>
            <w:r>
              <w:rPr>
                <w:rFonts w:ascii="Courier New" w:cs="Courier New" w:eastAsia="Courier New" w:hAnsi="Courier New"/>
                <w:sz w:val="18"/>
                <w:szCs w:val="18"/>
                <w:color w:val="auto"/>
              </w:rPr>
              <w:t>Item 4.</w:t>
            </w:r>
          </w:p>
        </w:tc>
        <w:tc>
          <w:tcPr>
            <w:tcW w:w="264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Ownership.*</w:t>
            </w:r>
          </w:p>
        </w:tc>
        <w:tc>
          <w:tcPr>
            <w:tcW w:w="10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1740" w:type="dxa"/>
            <w:vAlign w:val="bottom"/>
          </w:tcPr>
          <w:p>
            <w:pPr>
              <w:ind w:left="1060"/>
              <w:spacing w:after="0"/>
              <w:rPr>
                <w:sz w:val="20"/>
                <w:szCs w:val="20"/>
                <w:color w:val="auto"/>
              </w:rPr>
            </w:pPr>
            <w:r>
              <w:rPr>
                <w:rFonts w:ascii="Courier New" w:cs="Courier New" w:eastAsia="Courier New" w:hAnsi="Courier New"/>
                <w:sz w:val="18"/>
                <w:szCs w:val="18"/>
                <w:color w:val="auto"/>
              </w:rPr>
              <w:t>(a).</w:t>
            </w:r>
          </w:p>
        </w:tc>
        <w:tc>
          <w:tcPr>
            <w:tcW w:w="3700" w:type="dxa"/>
            <w:vAlign w:val="bottom"/>
            <w:gridSpan w:val="3"/>
          </w:tcPr>
          <w:p>
            <w:pPr>
              <w:ind w:left="260"/>
              <w:spacing w:after="0"/>
              <w:rPr>
                <w:sz w:val="20"/>
                <w:szCs w:val="20"/>
                <w:color w:val="auto"/>
              </w:rPr>
            </w:pPr>
            <w:r>
              <w:rPr>
                <w:rFonts w:ascii="Courier New" w:cs="Courier New" w:eastAsia="Courier New" w:hAnsi="Courier New"/>
                <w:sz w:val="18"/>
                <w:szCs w:val="18"/>
                <w:color w:val="auto"/>
              </w:rPr>
              <w:t>Amount beneficially owned:</w:t>
            </w:r>
          </w:p>
        </w:tc>
        <w:tc>
          <w:tcPr>
            <w:tcW w:w="2880" w:type="dxa"/>
            <w:vAlign w:val="bottom"/>
            <w:gridSpan w:val="2"/>
            <w:vMerge w:val="restart"/>
          </w:tcPr>
          <w:p>
            <w:pPr>
              <w:ind w:left="40"/>
              <w:spacing w:after="0"/>
              <w:rPr>
                <w:sz w:val="20"/>
                <w:szCs w:val="20"/>
                <w:color w:val="auto"/>
              </w:rPr>
            </w:pPr>
            <w:r>
              <w:rPr>
                <w:rFonts w:ascii="Courier New" w:cs="Courier New" w:eastAsia="Courier New" w:hAnsi="Courier New"/>
                <w:sz w:val="18"/>
                <w:szCs w:val="18"/>
                <w:color w:val="auto"/>
                <w:w w:val="96"/>
              </w:rPr>
              <w:t>the attached cover page(s).</w:t>
            </w:r>
          </w:p>
        </w:tc>
        <w:tc>
          <w:tcPr>
            <w:tcW w:w="0" w:type="dxa"/>
            <w:vAlign w:val="bottom"/>
          </w:tcPr>
          <w:p>
            <w:pPr>
              <w:spacing w:after="0"/>
              <w:rPr>
                <w:sz w:val="1"/>
                <w:szCs w:val="1"/>
                <w:color w:val="auto"/>
              </w:rPr>
            </w:pPr>
          </w:p>
        </w:tc>
      </w:tr>
      <w:tr>
        <w:trPr>
          <w:trHeight w:val="296"/>
        </w:trPr>
        <w:tc>
          <w:tcPr>
            <w:tcW w:w="1740" w:type="dxa"/>
            <w:vAlign w:val="bottom"/>
          </w:tcPr>
          <w:p>
            <w:pPr>
              <w:spacing w:after="0"/>
              <w:rPr>
                <w:sz w:val="24"/>
                <w:szCs w:val="24"/>
                <w:color w:val="auto"/>
              </w:rPr>
            </w:pPr>
          </w:p>
        </w:tc>
        <w:tc>
          <w:tcPr>
            <w:tcW w:w="2640" w:type="dxa"/>
            <w:vAlign w:val="bottom"/>
            <w:gridSpan w:val="2"/>
          </w:tcPr>
          <w:p>
            <w:pPr>
              <w:ind w:left="260"/>
              <w:spacing w:after="0"/>
              <w:rPr>
                <w:sz w:val="20"/>
                <w:szCs w:val="20"/>
                <w:color w:val="auto"/>
              </w:rPr>
            </w:pPr>
            <w:r>
              <w:rPr>
                <w:rFonts w:ascii="Courier New" w:cs="Courier New" w:eastAsia="Courier New" w:hAnsi="Courier New"/>
                <w:sz w:val="18"/>
                <w:szCs w:val="18"/>
                <w:color w:val="auto"/>
                <w:w w:val="99"/>
              </w:rPr>
              <w:t>See the response(s) to</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Item 9 on</w:t>
            </w:r>
          </w:p>
        </w:tc>
        <w:tc>
          <w:tcPr>
            <w:tcW w:w="288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1740" w:type="dxa"/>
            <w:vAlign w:val="bottom"/>
          </w:tcPr>
          <w:p>
            <w:pPr>
              <w:ind w:left="1060"/>
              <w:spacing w:after="0"/>
              <w:rPr>
                <w:sz w:val="20"/>
                <w:szCs w:val="20"/>
                <w:color w:val="auto"/>
              </w:rPr>
            </w:pPr>
            <w:r>
              <w:rPr>
                <w:rFonts w:ascii="Courier New" w:cs="Courier New" w:eastAsia="Courier New" w:hAnsi="Courier New"/>
                <w:sz w:val="18"/>
                <w:szCs w:val="18"/>
                <w:color w:val="auto"/>
              </w:rPr>
              <w:t>(b).</w:t>
            </w:r>
          </w:p>
        </w:tc>
        <w:tc>
          <w:tcPr>
            <w:tcW w:w="264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Percent of Class:</w:t>
            </w:r>
          </w:p>
        </w:tc>
        <w:tc>
          <w:tcPr>
            <w:tcW w:w="1060" w:type="dxa"/>
            <w:vAlign w:val="bottom"/>
          </w:tcPr>
          <w:p>
            <w:pPr>
              <w:spacing w:after="0"/>
              <w:rPr>
                <w:sz w:val="24"/>
                <w:szCs w:val="24"/>
                <w:color w:val="auto"/>
              </w:rPr>
            </w:pPr>
          </w:p>
        </w:tc>
        <w:tc>
          <w:tcPr>
            <w:tcW w:w="2880" w:type="dxa"/>
            <w:vAlign w:val="bottom"/>
            <w:gridSpan w:val="2"/>
            <w:vMerge w:val="restart"/>
          </w:tcPr>
          <w:p>
            <w:pPr>
              <w:ind w:left="40"/>
              <w:spacing w:after="0"/>
              <w:rPr>
                <w:sz w:val="20"/>
                <w:szCs w:val="20"/>
                <w:color w:val="auto"/>
              </w:rPr>
            </w:pPr>
            <w:r>
              <w:rPr>
                <w:rFonts w:ascii="Courier New" w:cs="Courier New" w:eastAsia="Courier New" w:hAnsi="Courier New"/>
                <w:sz w:val="18"/>
                <w:szCs w:val="18"/>
                <w:color w:val="auto"/>
                <w:w w:val="96"/>
              </w:rPr>
              <w:t>the attached cover page(s).</w:t>
            </w:r>
          </w:p>
        </w:tc>
        <w:tc>
          <w:tcPr>
            <w:tcW w:w="0" w:type="dxa"/>
            <w:vAlign w:val="bottom"/>
          </w:tcPr>
          <w:p>
            <w:pPr>
              <w:spacing w:after="0"/>
              <w:rPr>
                <w:sz w:val="1"/>
                <w:szCs w:val="1"/>
                <w:color w:val="auto"/>
              </w:rPr>
            </w:pPr>
          </w:p>
        </w:tc>
      </w:tr>
      <w:tr>
        <w:trPr>
          <w:trHeight w:val="296"/>
        </w:trPr>
        <w:tc>
          <w:tcPr>
            <w:tcW w:w="1740" w:type="dxa"/>
            <w:vAlign w:val="bottom"/>
          </w:tcPr>
          <w:p>
            <w:pPr>
              <w:spacing w:after="0"/>
              <w:rPr>
                <w:sz w:val="24"/>
                <w:szCs w:val="24"/>
                <w:color w:val="auto"/>
              </w:rPr>
            </w:pPr>
          </w:p>
        </w:tc>
        <w:tc>
          <w:tcPr>
            <w:tcW w:w="3700" w:type="dxa"/>
            <w:vAlign w:val="bottom"/>
            <w:gridSpan w:val="3"/>
          </w:tcPr>
          <w:p>
            <w:pPr>
              <w:ind w:left="260"/>
              <w:spacing w:after="0"/>
              <w:rPr>
                <w:sz w:val="20"/>
                <w:szCs w:val="20"/>
                <w:color w:val="auto"/>
              </w:rPr>
            </w:pPr>
            <w:r>
              <w:rPr>
                <w:rFonts w:ascii="Courier New" w:cs="Courier New" w:eastAsia="Courier New" w:hAnsi="Courier New"/>
                <w:sz w:val="18"/>
                <w:szCs w:val="18"/>
                <w:color w:val="auto"/>
                <w:w w:val="98"/>
              </w:rPr>
              <w:t>See the response(s)to Item 11 on</w:t>
            </w:r>
          </w:p>
        </w:tc>
        <w:tc>
          <w:tcPr>
            <w:tcW w:w="288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1740" w:type="dxa"/>
            <w:vAlign w:val="bottom"/>
          </w:tcPr>
          <w:p>
            <w:pPr>
              <w:ind w:left="1060"/>
              <w:spacing w:after="0"/>
              <w:rPr>
                <w:sz w:val="20"/>
                <w:szCs w:val="20"/>
                <w:color w:val="auto"/>
              </w:rPr>
            </w:pPr>
            <w:r>
              <w:rPr>
                <w:rFonts w:ascii="Courier New" w:cs="Courier New" w:eastAsia="Courier New" w:hAnsi="Courier New"/>
                <w:sz w:val="18"/>
                <w:szCs w:val="18"/>
                <w:color w:val="auto"/>
              </w:rPr>
              <w:t>(c).</w:t>
            </w:r>
          </w:p>
        </w:tc>
        <w:tc>
          <w:tcPr>
            <w:tcW w:w="2640" w:type="dxa"/>
            <w:vAlign w:val="bottom"/>
            <w:gridSpan w:val="2"/>
          </w:tcPr>
          <w:p>
            <w:pPr>
              <w:ind w:left="260"/>
              <w:spacing w:after="0"/>
              <w:rPr>
                <w:sz w:val="20"/>
                <w:szCs w:val="20"/>
                <w:color w:val="auto"/>
              </w:rPr>
            </w:pPr>
            <w:r>
              <w:rPr>
                <w:rFonts w:ascii="Courier New" w:cs="Courier New" w:eastAsia="Courier New" w:hAnsi="Courier New"/>
                <w:sz w:val="18"/>
                <w:szCs w:val="18"/>
                <w:color w:val="auto"/>
                <w:w w:val="99"/>
              </w:rPr>
              <w:t>Number of shares as to</w:t>
            </w:r>
          </w:p>
        </w:tc>
        <w:tc>
          <w:tcPr>
            <w:tcW w:w="1900" w:type="dxa"/>
            <w:vAlign w:val="bottom"/>
            <w:gridSpan w:val="2"/>
          </w:tcPr>
          <w:p>
            <w:pPr>
              <w:ind w:left="60"/>
              <w:spacing w:after="0"/>
              <w:rPr>
                <w:sz w:val="20"/>
                <w:szCs w:val="20"/>
                <w:color w:val="auto"/>
              </w:rPr>
            </w:pPr>
            <w:r>
              <w:rPr>
                <w:rFonts w:ascii="Courier New" w:cs="Courier New" w:eastAsia="Courier New" w:hAnsi="Courier New"/>
                <w:sz w:val="18"/>
                <w:szCs w:val="18"/>
                <w:color w:val="auto"/>
                <w:w w:val="99"/>
              </w:rPr>
              <w:t>which such person</w:t>
            </w:r>
          </w:p>
        </w:tc>
        <w:tc>
          <w:tcPr>
            <w:tcW w:w="2040" w:type="dxa"/>
            <w:vAlign w:val="bottom"/>
          </w:tcPr>
          <w:p>
            <w:pPr>
              <w:ind w:left="40"/>
              <w:spacing w:after="0"/>
              <w:rPr>
                <w:sz w:val="20"/>
                <w:szCs w:val="20"/>
                <w:color w:val="auto"/>
              </w:rPr>
            </w:pPr>
            <w:r>
              <w:rPr>
                <w:rFonts w:ascii="Courier New" w:cs="Courier New" w:eastAsia="Courier New" w:hAnsi="Courier New"/>
                <w:sz w:val="18"/>
                <w:szCs w:val="18"/>
                <w:color w:val="auto"/>
              </w:rPr>
              <w:t>has:</w:t>
            </w:r>
          </w:p>
        </w:tc>
        <w:tc>
          <w:tcPr>
            <w:tcW w:w="0" w:type="dxa"/>
            <w:vAlign w:val="bottom"/>
          </w:tcPr>
          <w:p>
            <w:pPr>
              <w:spacing w:after="0"/>
              <w:rPr>
                <w:sz w:val="1"/>
                <w:szCs w:val="1"/>
                <w:color w:val="auto"/>
              </w:rPr>
            </w:pPr>
          </w:p>
        </w:tc>
      </w:tr>
      <w:tr>
        <w:trPr>
          <w:trHeight w:val="311"/>
        </w:trPr>
        <w:tc>
          <w:tcPr>
            <w:tcW w:w="1740" w:type="dxa"/>
            <w:vAlign w:val="bottom"/>
          </w:tcPr>
          <w:p>
            <w:pPr>
              <w:spacing w:after="0"/>
              <w:rPr>
                <w:sz w:val="24"/>
                <w:szCs w:val="24"/>
                <w:color w:val="auto"/>
              </w:rPr>
            </w:pPr>
          </w:p>
        </w:tc>
        <w:tc>
          <w:tcPr>
            <w:tcW w:w="900" w:type="dxa"/>
            <w:vAlign w:val="bottom"/>
          </w:tcPr>
          <w:p>
            <w:pPr>
              <w:ind w:left="260"/>
              <w:spacing w:after="0"/>
              <w:rPr>
                <w:sz w:val="20"/>
                <w:szCs w:val="20"/>
                <w:color w:val="auto"/>
              </w:rPr>
            </w:pPr>
            <w:r>
              <w:rPr>
                <w:rFonts w:ascii="Courier New" w:cs="Courier New" w:eastAsia="Courier New" w:hAnsi="Courier New"/>
                <w:sz w:val="18"/>
                <w:szCs w:val="18"/>
                <w:color w:val="auto"/>
              </w:rPr>
              <w:t>(i).</w:t>
            </w:r>
          </w:p>
        </w:tc>
        <w:tc>
          <w:tcPr>
            <w:tcW w:w="280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Sole power to vote or to</w:t>
            </w:r>
          </w:p>
        </w:tc>
        <w:tc>
          <w:tcPr>
            <w:tcW w:w="840" w:type="dxa"/>
            <w:vAlign w:val="bottom"/>
          </w:tcPr>
          <w:p>
            <w:pPr>
              <w:ind w:left="40"/>
              <w:spacing w:after="0"/>
              <w:rPr>
                <w:sz w:val="20"/>
                <w:szCs w:val="20"/>
                <w:color w:val="auto"/>
              </w:rPr>
            </w:pPr>
            <w:r>
              <w:rPr>
                <w:rFonts w:ascii="Courier New" w:cs="Courier New" w:eastAsia="Courier New" w:hAnsi="Courier New"/>
                <w:sz w:val="18"/>
                <w:szCs w:val="18"/>
                <w:color w:val="auto"/>
              </w:rPr>
              <w:t>direct</w:t>
            </w:r>
          </w:p>
        </w:tc>
        <w:tc>
          <w:tcPr>
            <w:tcW w:w="2040" w:type="dxa"/>
            <w:vAlign w:val="bottom"/>
          </w:tcPr>
          <w:p>
            <w:pPr>
              <w:ind w:left="40"/>
              <w:spacing w:after="0"/>
              <w:rPr>
                <w:sz w:val="20"/>
                <w:szCs w:val="20"/>
                <w:color w:val="auto"/>
              </w:rPr>
            </w:pPr>
            <w:r>
              <w:rPr>
                <w:rFonts w:ascii="Courier New" w:cs="Courier New" w:eastAsia="Courier New" w:hAnsi="Courier New"/>
                <w:sz w:val="18"/>
                <w:szCs w:val="18"/>
                <w:color w:val="auto"/>
              </w:rPr>
              <w:t>the vote:  See the</w:t>
            </w:r>
          </w:p>
        </w:tc>
        <w:tc>
          <w:tcPr>
            <w:tcW w:w="0" w:type="dxa"/>
            <w:vAlign w:val="bottom"/>
          </w:tcPr>
          <w:p>
            <w:pPr>
              <w:spacing w:after="0"/>
              <w:rPr>
                <w:sz w:val="1"/>
                <w:szCs w:val="1"/>
                <w:color w:val="auto"/>
              </w:rPr>
            </w:pPr>
          </w:p>
        </w:tc>
      </w:tr>
      <w:tr>
        <w:trPr>
          <w:trHeight w:val="296"/>
        </w:trPr>
        <w:tc>
          <w:tcPr>
            <w:tcW w:w="17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740" w:type="dxa"/>
            <w:vAlign w:val="bottom"/>
          </w:tcPr>
          <w:p>
            <w:pPr>
              <w:ind w:left="220"/>
              <w:spacing w:after="0"/>
              <w:rPr>
                <w:sz w:val="20"/>
                <w:szCs w:val="20"/>
                <w:color w:val="auto"/>
              </w:rPr>
            </w:pPr>
            <w:r>
              <w:rPr>
                <w:rFonts w:ascii="Courier New" w:cs="Courier New" w:eastAsia="Courier New" w:hAnsi="Courier New"/>
                <w:sz w:val="18"/>
                <w:szCs w:val="18"/>
                <w:color w:val="auto"/>
                <w:w w:val="99"/>
              </w:rPr>
              <w:t>response(s) to</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Item 5 on</w:t>
            </w:r>
          </w:p>
        </w:tc>
        <w:tc>
          <w:tcPr>
            <w:tcW w:w="288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6"/>
              </w:rPr>
              <w:t>the attached cover page(s).</w:t>
            </w:r>
          </w:p>
        </w:tc>
        <w:tc>
          <w:tcPr>
            <w:tcW w:w="0" w:type="dxa"/>
            <w:vAlign w:val="bottom"/>
          </w:tcPr>
          <w:p>
            <w:pPr>
              <w:spacing w:after="0"/>
              <w:rPr>
                <w:sz w:val="1"/>
                <w:szCs w:val="1"/>
                <w:color w:val="auto"/>
              </w:rPr>
            </w:pPr>
          </w:p>
        </w:tc>
      </w:tr>
    </w:tbl>
    <w:p>
      <w:pPr>
        <w:spacing w:after="0" w:line="109" w:lineRule="exact"/>
        <w:rPr>
          <w:sz w:val="20"/>
          <w:szCs w:val="20"/>
          <w:color w:val="auto"/>
        </w:rPr>
      </w:pPr>
    </w:p>
    <w:p>
      <w:pPr>
        <w:jc w:val="right"/>
        <w:ind w:left="2000" w:right="1819"/>
        <w:spacing w:after="0" w:line="346" w:lineRule="auto"/>
        <w:rPr>
          <w:sz w:val="20"/>
          <w:szCs w:val="20"/>
          <w:color w:val="auto"/>
        </w:rPr>
      </w:pPr>
      <w:r>
        <w:rPr>
          <w:rFonts w:ascii="Courier New" w:cs="Courier New" w:eastAsia="Courier New" w:hAnsi="Courier New"/>
          <w:sz w:val="18"/>
          <w:szCs w:val="18"/>
          <w:color w:val="auto"/>
        </w:rPr>
        <w:t>(ii).   Shared power to vote or to direct the vote:  See the response(s) to Item 6 on the attached cover page(s).</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420" w:type="dxa"/>
            <w:vAlign w:val="bottom"/>
          </w:tcPr>
          <w:p>
            <w:pPr>
              <w:spacing w:after="0"/>
              <w:rPr>
                <w:sz w:val="17"/>
                <w:szCs w:val="17"/>
                <w:color w:val="auto"/>
              </w:rPr>
            </w:pPr>
          </w:p>
        </w:tc>
        <w:tc>
          <w:tcPr>
            <w:tcW w:w="1220" w:type="dxa"/>
            <w:vAlign w:val="bottom"/>
          </w:tcPr>
          <w:p>
            <w:pPr>
              <w:ind w:left="580"/>
              <w:spacing w:after="0"/>
              <w:rPr>
                <w:sz w:val="20"/>
                <w:szCs w:val="20"/>
                <w:color w:val="auto"/>
              </w:rPr>
            </w:pPr>
            <w:r>
              <w:rPr>
                <w:rFonts w:ascii="Courier New" w:cs="Courier New" w:eastAsia="Courier New" w:hAnsi="Courier New"/>
                <w:sz w:val="18"/>
                <w:szCs w:val="18"/>
                <w:color w:val="auto"/>
                <w:w w:val="95"/>
              </w:rPr>
              <w:t>(iii).</w:t>
            </w:r>
          </w:p>
        </w:tc>
        <w:tc>
          <w:tcPr>
            <w:tcW w:w="100" w:type="dxa"/>
            <w:vAlign w:val="bottom"/>
          </w:tcPr>
          <w:p>
            <w:pPr>
              <w:spacing w:after="0"/>
              <w:rPr>
                <w:sz w:val="17"/>
                <w:szCs w:val="17"/>
                <w:color w:val="auto"/>
              </w:rPr>
            </w:pPr>
          </w:p>
        </w:tc>
        <w:tc>
          <w:tcPr>
            <w:tcW w:w="1480" w:type="dxa"/>
            <w:vAlign w:val="bottom"/>
            <w:gridSpan w:val="3"/>
          </w:tcPr>
          <w:p>
            <w:pPr>
              <w:ind w:left="120"/>
              <w:spacing w:after="0"/>
              <w:rPr>
                <w:sz w:val="20"/>
                <w:szCs w:val="20"/>
                <w:color w:val="auto"/>
              </w:rPr>
            </w:pPr>
            <w:r>
              <w:rPr>
                <w:rFonts w:ascii="Courier New" w:cs="Courier New" w:eastAsia="Courier New" w:hAnsi="Courier New"/>
                <w:sz w:val="18"/>
                <w:szCs w:val="18"/>
                <w:color w:val="auto"/>
                <w:w w:val="95"/>
              </w:rPr>
              <w:t>Sole power to</w:t>
            </w:r>
          </w:p>
        </w:tc>
        <w:tc>
          <w:tcPr>
            <w:tcW w:w="1640" w:type="dxa"/>
            <w:vAlign w:val="bottom"/>
          </w:tcPr>
          <w:p>
            <w:pPr>
              <w:ind w:left="220"/>
              <w:spacing w:after="0"/>
              <w:rPr>
                <w:sz w:val="20"/>
                <w:szCs w:val="20"/>
                <w:color w:val="auto"/>
              </w:rPr>
            </w:pPr>
            <w:r>
              <w:rPr>
                <w:rFonts w:ascii="Courier New" w:cs="Courier New" w:eastAsia="Courier New" w:hAnsi="Courier New"/>
                <w:sz w:val="18"/>
                <w:szCs w:val="18"/>
                <w:color w:val="auto"/>
                <w:w w:val="99"/>
              </w:rPr>
              <w:t>dispose or to</w:t>
            </w:r>
          </w:p>
        </w:tc>
        <w:tc>
          <w:tcPr>
            <w:tcW w:w="880" w:type="dxa"/>
            <w:vAlign w:val="bottom"/>
          </w:tcPr>
          <w:p>
            <w:pPr>
              <w:ind w:left="40"/>
              <w:spacing w:after="0"/>
              <w:rPr>
                <w:sz w:val="20"/>
                <w:szCs w:val="20"/>
                <w:color w:val="auto"/>
              </w:rPr>
            </w:pPr>
            <w:r>
              <w:rPr>
                <w:rFonts w:ascii="Courier New" w:cs="Courier New" w:eastAsia="Courier New" w:hAnsi="Courier New"/>
                <w:sz w:val="18"/>
                <w:szCs w:val="18"/>
                <w:color w:val="auto"/>
              </w:rPr>
              <w:t>direct</w:t>
            </w:r>
          </w:p>
        </w:tc>
        <w:tc>
          <w:tcPr>
            <w:tcW w:w="158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6"/>
              </w:rPr>
              <w:t>the disposition</w:t>
            </w:r>
          </w:p>
        </w:tc>
      </w:tr>
      <w:tr>
        <w:trPr>
          <w:trHeight w:val="203"/>
        </w:trPr>
        <w:tc>
          <w:tcPr>
            <w:tcW w:w="14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86"/>
              </w:rPr>
              <w:t>of:</w:t>
            </w:r>
          </w:p>
        </w:tc>
        <w:tc>
          <w:tcPr>
            <w:tcW w:w="2700" w:type="dxa"/>
            <w:vAlign w:val="bottom"/>
            <w:gridSpan w:val="3"/>
          </w:tcPr>
          <w:p>
            <w:pPr>
              <w:ind w:left="220"/>
              <w:spacing w:after="0" w:line="203" w:lineRule="exact"/>
              <w:rPr>
                <w:sz w:val="20"/>
                <w:szCs w:val="20"/>
                <w:color w:val="auto"/>
              </w:rPr>
            </w:pPr>
            <w:r>
              <w:rPr>
                <w:rFonts w:ascii="Courier New" w:cs="Courier New" w:eastAsia="Courier New" w:hAnsi="Courier New"/>
                <w:sz w:val="18"/>
                <w:szCs w:val="18"/>
                <w:color w:val="auto"/>
              </w:rPr>
              <w:t>See the response(s) to</w:t>
            </w:r>
          </w:p>
        </w:tc>
        <w:tc>
          <w:tcPr>
            <w:tcW w:w="8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Item 7</w:t>
            </w:r>
          </w:p>
        </w:tc>
        <w:tc>
          <w:tcPr>
            <w:tcW w:w="15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6"/>
              </w:rPr>
              <w:t>on the attached</w:t>
            </w:r>
          </w:p>
        </w:tc>
      </w:tr>
      <w:tr>
        <w:trPr>
          <w:trHeight w:val="296"/>
        </w:trPr>
        <w:tc>
          <w:tcPr>
            <w:tcW w:w="14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120" w:type="dxa"/>
            <w:vAlign w:val="bottom"/>
            <w:gridSpan w:val="4"/>
          </w:tcPr>
          <w:p>
            <w:pPr>
              <w:ind w:left="120"/>
              <w:spacing w:after="0"/>
              <w:rPr>
                <w:sz w:val="20"/>
                <w:szCs w:val="20"/>
                <w:color w:val="auto"/>
              </w:rPr>
            </w:pPr>
            <w:r>
              <w:rPr>
                <w:rFonts w:ascii="Courier New" w:cs="Courier New" w:eastAsia="Courier New" w:hAnsi="Courier New"/>
                <w:sz w:val="18"/>
                <w:szCs w:val="18"/>
                <w:color w:val="auto"/>
              </w:rPr>
              <w:t>cover page(s).</w:t>
            </w: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311"/>
        </w:trPr>
        <w:tc>
          <w:tcPr>
            <w:tcW w:w="1420" w:type="dxa"/>
            <w:vAlign w:val="bottom"/>
          </w:tcPr>
          <w:p>
            <w:pPr>
              <w:spacing w:after="0"/>
              <w:rPr>
                <w:sz w:val="24"/>
                <w:szCs w:val="24"/>
                <w:color w:val="auto"/>
              </w:rPr>
            </w:pPr>
          </w:p>
        </w:tc>
        <w:tc>
          <w:tcPr>
            <w:tcW w:w="1220" w:type="dxa"/>
            <w:vAlign w:val="bottom"/>
          </w:tcPr>
          <w:p>
            <w:pPr>
              <w:ind w:left="580"/>
              <w:spacing w:after="0"/>
              <w:rPr>
                <w:sz w:val="20"/>
                <w:szCs w:val="20"/>
                <w:color w:val="auto"/>
              </w:rPr>
            </w:pPr>
            <w:r>
              <w:rPr>
                <w:rFonts w:ascii="Courier New" w:cs="Courier New" w:eastAsia="Courier New" w:hAnsi="Courier New"/>
                <w:sz w:val="18"/>
                <w:szCs w:val="18"/>
                <w:color w:val="auto"/>
              </w:rPr>
              <w:t>(iv).</w:t>
            </w:r>
          </w:p>
        </w:tc>
        <w:tc>
          <w:tcPr>
            <w:tcW w:w="4100" w:type="dxa"/>
            <w:vAlign w:val="bottom"/>
            <w:gridSpan w:val="6"/>
          </w:tcPr>
          <w:p>
            <w:pPr>
              <w:ind w:left="220"/>
              <w:spacing w:after="0"/>
              <w:rPr>
                <w:sz w:val="20"/>
                <w:szCs w:val="20"/>
                <w:color w:val="auto"/>
              </w:rPr>
            </w:pPr>
            <w:r>
              <w:rPr>
                <w:rFonts w:ascii="Courier New" w:cs="Courier New" w:eastAsia="Courier New" w:hAnsi="Courier New"/>
                <w:sz w:val="18"/>
                <w:szCs w:val="18"/>
                <w:color w:val="auto"/>
                <w:w w:val="99"/>
              </w:rPr>
              <w:t>Shared power to dispose or to direct</w:t>
            </w:r>
          </w:p>
        </w:tc>
        <w:tc>
          <w:tcPr>
            <w:tcW w:w="158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6"/>
              </w:rPr>
              <w:t>the disposition</w:t>
            </w:r>
          </w:p>
        </w:tc>
      </w:tr>
      <w:tr>
        <w:trPr>
          <w:trHeight w:val="203"/>
        </w:trPr>
        <w:tc>
          <w:tcPr>
            <w:tcW w:w="14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86"/>
              </w:rPr>
              <w:t>of:</w:t>
            </w:r>
          </w:p>
        </w:tc>
        <w:tc>
          <w:tcPr>
            <w:tcW w:w="2700" w:type="dxa"/>
            <w:vAlign w:val="bottom"/>
            <w:gridSpan w:val="3"/>
          </w:tcPr>
          <w:p>
            <w:pPr>
              <w:ind w:left="220"/>
              <w:spacing w:after="0" w:line="203" w:lineRule="exact"/>
              <w:rPr>
                <w:sz w:val="20"/>
                <w:szCs w:val="20"/>
                <w:color w:val="auto"/>
              </w:rPr>
            </w:pPr>
            <w:r>
              <w:rPr>
                <w:rFonts w:ascii="Courier New" w:cs="Courier New" w:eastAsia="Courier New" w:hAnsi="Courier New"/>
                <w:sz w:val="18"/>
                <w:szCs w:val="18"/>
                <w:color w:val="auto"/>
              </w:rPr>
              <w:t>See the response(s) to</w:t>
            </w:r>
          </w:p>
        </w:tc>
        <w:tc>
          <w:tcPr>
            <w:tcW w:w="8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Item 8</w:t>
            </w:r>
          </w:p>
        </w:tc>
        <w:tc>
          <w:tcPr>
            <w:tcW w:w="15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6"/>
              </w:rPr>
              <w:t>on the attached</w:t>
            </w:r>
          </w:p>
        </w:tc>
      </w:tr>
      <w:tr>
        <w:trPr>
          <w:trHeight w:val="296"/>
        </w:trPr>
        <w:tc>
          <w:tcPr>
            <w:tcW w:w="14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120" w:type="dxa"/>
            <w:vAlign w:val="bottom"/>
            <w:gridSpan w:val="4"/>
          </w:tcPr>
          <w:p>
            <w:pPr>
              <w:ind w:left="120"/>
              <w:spacing w:after="0"/>
              <w:rPr>
                <w:sz w:val="20"/>
                <w:szCs w:val="20"/>
                <w:color w:val="auto"/>
              </w:rPr>
            </w:pPr>
            <w:r>
              <w:rPr>
                <w:rFonts w:ascii="Courier New" w:cs="Courier New" w:eastAsia="Courier New" w:hAnsi="Courier New"/>
                <w:sz w:val="18"/>
                <w:szCs w:val="18"/>
                <w:color w:val="auto"/>
              </w:rPr>
              <w:t>cover page(s).</w:t>
            </w: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311"/>
        </w:trPr>
        <w:tc>
          <w:tcPr>
            <w:tcW w:w="1420" w:type="dxa"/>
            <w:vAlign w:val="bottom"/>
          </w:tcPr>
          <w:p>
            <w:pPr>
              <w:spacing w:after="0"/>
              <w:rPr>
                <w:sz w:val="20"/>
                <w:szCs w:val="20"/>
                <w:color w:val="auto"/>
              </w:rPr>
            </w:pPr>
            <w:r>
              <w:rPr>
                <w:rFonts w:ascii="Courier New" w:cs="Courier New" w:eastAsia="Courier New" w:hAnsi="Courier New"/>
                <w:sz w:val="18"/>
                <w:szCs w:val="18"/>
                <w:color w:val="auto"/>
              </w:rPr>
              <w:t>Item 5.</w:t>
            </w:r>
          </w:p>
        </w:tc>
        <w:tc>
          <w:tcPr>
            <w:tcW w:w="5320" w:type="dxa"/>
            <w:vAlign w:val="bottom"/>
            <w:gridSpan w:val="7"/>
          </w:tcPr>
          <w:p>
            <w:pPr>
              <w:ind w:left="580"/>
              <w:spacing w:after="0"/>
              <w:rPr>
                <w:sz w:val="20"/>
                <w:szCs w:val="20"/>
                <w:color w:val="auto"/>
              </w:rPr>
            </w:pPr>
            <w:r>
              <w:rPr>
                <w:rFonts w:ascii="Courier New" w:cs="Courier New" w:eastAsia="Courier New" w:hAnsi="Courier New"/>
                <w:sz w:val="18"/>
                <w:szCs w:val="18"/>
                <w:color w:val="auto"/>
                <w:w w:val="97"/>
              </w:rPr>
              <w:t>Ownership of Five Percent or Less of a Class.</w:t>
            </w: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96"/>
        </w:trPr>
        <w:tc>
          <w:tcPr>
            <w:tcW w:w="14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120" w:type="dxa"/>
            <w:vAlign w:val="bottom"/>
            <w:gridSpan w:val="4"/>
          </w:tcPr>
          <w:p>
            <w:pPr>
              <w:ind w:left="320"/>
              <w:spacing w:after="0"/>
              <w:rPr>
                <w:sz w:val="20"/>
                <w:szCs w:val="20"/>
                <w:color w:val="auto"/>
              </w:rPr>
            </w:pPr>
            <w:r>
              <w:rPr>
                <w:rFonts w:ascii="Courier New" w:cs="Courier New" w:eastAsia="Courier New" w:hAnsi="Courier New"/>
                <w:sz w:val="18"/>
                <w:szCs w:val="18"/>
                <w:color w:val="auto"/>
              </w:rPr>
              <w:t>Not Applicable</w:t>
            </w: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311"/>
        </w:trPr>
        <w:tc>
          <w:tcPr>
            <w:tcW w:w="1420" w:type="dxa"/>
            <w:vAlign w:val="bottom"/>
          </w:tcPr>
          <w:p>
            <w:pPr>
              <w:spacing w:after="0"/>
              <w:rPr>
                <w:sz w:val="20"/>
                <w:szCs w:val="20"/>
                <w:color w:val="auto"/>
              </w:rPr>
            </w:pPr>
            <w:r>
              <w:rPr>
                <w:rFonts w:ascii="Courier New" w:cs="Courier New" w:eastAsia="Courier New" w:hAnsi="Courier New"/>
                <w:sz w:val="18"/>
                <w:szCs w:val="18"/>
                <w:color w:val="auto"/>
              </w:rPr>
              <w:t>Item 6.</w:t>
            </w:r>
          </w:p>
        </w:tc>
        <w:tc>
          <w:tcPr>
            <w:tcW w:w="6900" w:type="dxa"/>
            <w:vAlign w:val="bottom"/>
            <w:gridSpan w:val="9"/>
          </w:tcPr>
          <w:p>
            <w:pPr>
              <w:ind w:left="580"/>
              <w:spacing w:after="0"/>
              <w:rPr>
                <w:sz w:val="20"/>
                <w:szCs w:val="20"/>
                <w:color w:val="auto"/>
              </w:rPr>
            </w:pPr>
            <w:r>
              <w:rPr>
                <w:rFonts w:ascii="Courier New" w:cs="Courier New" w:eastAsia="Courier New" w:hAnsi="Courier New"/>
                <w:sz w:val="18"/>
                <w:szCs w:val="18"/>
                <w:color w:val="auto"/>
              </w:rPr>
              <w:t>Ownership of More than Five Percent on Behalf of Another</w:t>
            </w:r>
          </w:p>
        </w:tc>
      </w:tr>
      <w:tr>
        <w:trPr>
          <w:trHeight w:val="296"/>
        </w:trPr>
        <w:tc>
          <w:tcPr>
            <w:tcW w:w="1420" w:type="dxa"/>
            <w:vAlign w:val="bottom"/>
          </w:tcPr>
          <w:p>
            <w:pPr>
              <w:spacing w:after="0"/>
              <w:rPr>
                <w:sz w:val="24"/>
                <w:szCs w:val="24"/>
                <w:color w:val="auto"/>
              </w:rPr>
            </w:pPr>
          </w:p>
        </w:tc>
        <w:tc>
          <w:tcPr>
            <w:tcW w:w="1320" w:type="dxa"/>
            <w:vAlign w:val="bottom"/>
            <w:gridSpan w:val="2"/>
          </w:tcPr>
          <w:p>
            <w:pPr>
              <w:ind w:left="580"/>
              <w:spacing w:after="0"/>
              <w:rPr>
                <w:sz w:val="20"/>
                <w:szCs w:val="20"/>
                <w:color w:val="auto"/>
              </w:rPr>
            </w:pPr>
            <w:r>
              <w:rPr>
                <w:rFonts w:ascii="Courier New" w:cs="Courier New" w:eastAsia="Courier New" w:hAnsi="Courier New"/>
                <w:sz w:val="18"/>
                <w:szCs w:val="18"/>
                <w:color w:val="auto"/>
                <w:w w:val="95"/>
              </w:rPr>
              <w:t>Person.</w:t>
            </w:r>
          </w:p>
        </w:tc>
        <w:tc>
          <w:tcPr>
            <w:tcW w:w="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311"/>
        </w:trPr>
        <w:tc>
          <w:tcPr>
            <w:tcW w:w="1420" w:type="dxa"/>
            <w:vAlign w:val="bottom"/>
          </w:tcPr>
          <w:p>
            <w:pPr>
              <w:spacing w:after="0"/>
              <w:rPr>
                <w:sz w:val="24"/>
                <w:szCs w:val="24"/>
                <w:color w:val="auto"/>
              </w:rPr>
            </w:pPr>
          </w:p>
        </w:tc>
        <w:tc>
          <w:tcPr>
            <w:tcW w:w="1320" w:type="dxa"/>
            <w:vAlign w:val="bottom"/>
            <w:gridSpan w:val="2"/>
          </w:tcPr>
          <w:p>
            <w:pPr>
              <w:ind w:left="580"/>
              <w:spacing w:after="0"/>
              <w:rPr>
                <w:sz w:val="20"/>
                <w:szCs w:val="20"/>
                <w:color w:val="auto"/>
              </w:rPr>
            </w:pPr>
            <w:r>
              <w:rPr>
                <w:rFonts w:ascii="Courier New" w:cs="Courier New" w:eastAsia="Courier New" w:hAnsi="Courier New"/>
                <w:sz w:val="18"/>
                <w:szCs w:val="18"/>
                <w:color w:val="auto"/>
                <w:w w:val="95"/>
              </w:rPr>
              <w:t>Clients</w:t>
            </w:r>
          </w:p>
        </w:tc>
        <w:tc>
          <w:tcPr>
            <w:tcW w:w="420" w:type="dxa"/>
            <w:vAlign w:val="bottom"/>
          </w:tcPr>
          <w:p>
            <w:pPr>
              <w:ind w:left="220"/>
              <w:spacing w:after="0"/>
              <w:rPr>
                <w:sz w:val="20"/>
                <w:szCs w:val="20"/>
                <w:color w:val="auto"/>
              </w:rPr>
            </w:pPr>
            <w:r>
              <w:rPr>
                <w:rFonts w:ascii="Courier New" w:cs="Courier New" w:eastAsia="Courier New" w:hAnsi="Courier New"/>
                <w:sz w:val="18"/>
                <w:szCs w:val="18"/>
                <w:color w:val="auto"/>
                <w:w w:val="83"/>
              </w:rPr>
              <w:t>of</w:t>
            </w:r>
          </w:p>
        </w:tc>
        <w:tc>
          <w:tcPr>
            <w:tcW w:w="540" w:type="dxa"/>
            <w:vAlign w:val="bottom"/>
          </w:tcPr>
          <w:p>
            <w:pPr>
              <w:ind w:left="220"/>
              <w:spacing w:after="0"/>
              <w:rPr>
                <w:sz w:val="20"/>
                <w:szCs w:val="20"/>
                <w:color w:val="auto"/>
              </w:rPr>
            </w:pPr>
            <w:r>
              <w:rPr>
                <w:rFonts w:ascii="Courier New" w:cs="Courier New" w:eastAsia="Courier New" w:hAnsi="Courier New"/>
                <w:sz w:val="18"/>
                <w:szCs w:val="18"/>
                <w:color w:val="auto"/>
                <w:w w:val="92"/>
              </w:rPr>
              <w:t>the</w:t>
            </w:r>
          </w:p>
        </w:tc>
        <w:tc>
          <w:tcPr>
            <w:tcW w:w="3360" w:type="dxa"/>
            <w:vAlign w:val="bottom"/>
            <w:gridSpan w:val="4"/>
          </w:tcPr>
          <w:p>
            <w:pPr>
              <w:ind w:left="200"/>
              <w:spacing w:after="0"/>
              <w:rPr>
                <w:sz w:val="20"/>
                <w:szCs w:val="20"/>
                <w:color w:val="auto"/>
              </w:rPr>
            </w:pPr>
            <w:r>
              <w:rPr>
                <w:rFonts w:ascii="Courier New" w:cs="Courier New" w:eastAsia="Courier New" w:hAnsi="Courier New"/>
                <w:sz w:val="18"/>
                <w:szCs w:val="18"/>
                <w:color w:val="auto"/>
              </w:rPr>
              <w:t>Reporting  Person(s) have or</w:t>
            </w:r>
          </w:p>
        </w:tc>
        <w:tc>
          <w:tcPr>
            <w:tcW w:w="1260" w:type="dxa"/>
            <w:vAlign w:val="bottom"/>
          </w:tcPr>
          <w:p>
            <w:pPr>
              <w:jc w:val="right"/>
              <w:spacing w:after="0"/>
              <w:rPr>
                <w:sz w:val="20"/>
                <w:szCs w:val="20"/>
                <w:color w:val="auto"/>
              </w:rPr>
            </w:pPr>
            <w:r>
              <w:rPr>
                <w:rFonts w:ascii="Courier New" w:cs="Courier New" w:eastAsia="Courier New" w:hAnsi="Courier New"/>
                <w:sz w:val="18"/>
                <w:szCs w:val="18"/>
                <w:color w:val="auto"/>
                <w:w w:val="95"/>
              </w:rPr>
              <w:t>may have the</w:t>
            </w:r>
          </w:p>
        </w:tc>
      </w:tr>
      <w:tr>
        <w:trPr>
          <w:trHeight w:val="203"/>
        </w:trPr>
        <w:tc>
          <w:tcPr>
            <w:tcW w:w="1420" w:type="dxa"/>
            <w:vAlign w:val="bottom"/>
          </w:tcPr>
          <w:p>
            <w:pPr>
              <w:spacing w:after="0"/>
              <w:rPr>
                <w:sz w:val="17"/>
                <w:szCs w:val="17"/>
                <w:color w:val="auto"/>
              </w:rPr>
            </w:pPr>
          </w:p>
        </w:tc>
        <w:tc>
          <w:tcPr>
            <w:tcW w:w="122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right</w:t>
            </w:r>
          </w:p>
        </w:tc>
        <w:tc>
          <w:tcPr>
            <w:tcW w:w="100" w:type="dxa"/>
            <w:vAlign w:val="bottom"/>
          </w:tcPr>
          <w:p>
            <w:pPr>
              <w:spacing w:after="0"/>
              <w:rPr>
                <w:sz w:val="17"/>
                <w:szCs w:val="17"/>
                <w:color w:val="auto"/>
              </w:rPr>
            </w:pPr>
          </w:p>
        </w:tc>
        <w:tc>
          <w:tcPr>
            <w:tcW w:w="420" w:type="dxa"/>
            <w:vAlign w:val="bottom"/>
          </w:tcPr>
          <w:p>
            <w:pPr>
              <w:spacing w:after="0" w:line="203" w:lineRule="exact"/>
              <w:rPr>
                <w:sz w:val="20"/>
                <w:szCs w:val="20"/>
                <w:color w:val="auto"/>
              </w:rPr>
            </w:pPr>
            <w:r>
              <w:rPr>
                <w:rFonts w:ascii="Courier New" w:cs="Courier New" w:eastAsia="Courier New" w:hAnsi="Courier New"/>
                <w:sz w:val="18"/>
                <w:szCs w:val="18"/>
                <w:color w:val="auto"/>
              </w:rPr>
              <w:t>to</w:t>
            </w:r>
          </w:p>
        </w:tc>
        <w:tc>
          <w:tcPr>
            <w:tcW w:w="1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6"/>
              </w:rPr>
              <w:t>receive or</w:t>
            </w:r>
          </w:p>
        </w:tc>
        <w:tc>
          <w:tcPr>
            <w:tcW w:w="1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9"/>
              </w:rPr>
              <w:t>the power  to</w:t>
            </w:r>
          </w:p>
        </w:tc>
        <w:tc>
          <w:tcPr>
            <w:tcW w:w="120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w w:val="94"/>
              </w:rPr>
              <w:t>direct the</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receipt of</w:t>
            </w:r>
          </w:p>
        </w:tc>
      </w:tr>
      <w:tr>
        <w:trPr>
          <w:trHeight w:val="203"/>
        </w:trPr>
        <w:tc>
          <w:tcPr>
            <w:tcW w:w="1420" w:type="dxa"/>
            <w:vAlign w:val="bottom"/>
          </w:tcPr>
          <w:p>
            <w:pPr>
              <w:spacing w:after="0"/>
              <w:rPr>
                <w:sz w:val="17"/>
                <w:szCs w:val="17"/>
                <w:color w:val="auto"/>
              </w:rPr>
            </w:pPr>
          </w:p>
        </w:tc>
        <w:tc>
          <w:tcPr>
            <w:tcW w:w="6900" w:type="dxa"/>
            <w:vAlign w:val="bottom"/>
            <w:gridSpan w:val="9"/>
          </w:tcPr>
          <w:p>
            <w:pPr>
              <w:ind w:left="580"/>
              <w:spacing w:after="0" w:line="203" w:lineRule="exact"/>
              <w:rPr>
                <w:sz w:val="20"/>
                <w:szCs w:val="20"/>
                <w:color w:val="auto"/>
              </w:rPr>
            </w:pPr>
            <w:r>
              <w:rPr>
                <w:rFonts w:ascii="Courier New" w:cs="Courier New" w:eastAsia="Courier New" w:hAnsi="Courier New"/>
                <w:sz w:val="18"/>
                <w:szCs w:val="18"/>
                <w:color w:val="auto"/>
                <w:w w:val="97"/>
              </w:rPr>
              <w:t>dividends from, or the proceeds from the sale of, securities</w:t>
            </w:r>
          </w:p>
        </w:tc>
      </w:tr>
      <w:tr>
        <w:trPr>
          <w:trHeight w:val="203"/>
        </w:trPr>
        <w:tc>
          <w:tcPr>
            <w:tcW w:w="1420" w:type="dxa"/>
            <w:vAlign w:val="bottom"/>
          </w:tcPr>
          <w:p>
            <w:pPr>
              <w:spacing w:after="0"/>
              <w:rPr>
                <w:sz w:val="17"/>
                <w:szCs w:val="17"/>
                <w:color w:val="auto"/>
              </w:rPr>
            </w:pPr>
          </w:p>
        </w:tc>
        <w:tc>
          <w:tcPr>
            <w:tcW w:w="122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held</w:t>
            </w:r>
          </w:p>
        </w:tc>
        <w:tc>
          <w:tcPr>
            <w:tcW w:w="5680" w:type="dxa"/>
            <w:vAlign w:val="bottom"/>
            <w:gridSpan w:val="8"/>
          </w:tcPr>
          <w:p>
            <w:pPr>
              <w:jc w:val="right"/>
              <w:spacing w:after="0" w:line="203" w:lineRule="exact"/>
              <w:rPr>
                <w:sz w:val="20"/>
                <w:szCs w:val="20"/>
                <w:color w:val="auto"/>
              </w:rPr>
            </w:pPr>
            <w:r>
              <w:rPr>
                <w:rFonts w:ascii="Courier New" w:cs="Courier New" w:eastAsia="Courier New" w:hAnsi="Courier New"/>
                <w:sz w:val="18"/>
                <w:szCs w:val="18"/>
                <w:color w:val="auto"/>
                <w:w w:val="97"/>
              </w:rPr>
              <w:t>in their accounts. Clients known to have such right or</w:t>
            </w:r>
          </w:p>
        </w:tc>
      </w:tr>
      <w:tr>
        <w:trPr>
          <w:trHeight w:val="203"/>
        </w:trPr>
        <w:tc>
          <w:tcPr>
            <w:tcW w:w="1420" w:type="dxa"/>
            <w:vAlign w:val="bottom"/>
          </w:tcPr>
          <w:p>
            <w:pPr>
              <w:spacing w:after="0"/>
              <w:rPr>
                <w:sz w:val="17"/>
                <w:szCs w:val="17"/>
                <w:color w:val="auto"/>
              </w:rPr>
            </w:pPr>
          </w:p>
        </w:tc>
        <w:tc>
          <w:tcPr>
            <w:tcW w:w="122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power</w:t>
            </w:r>
          </w:p>
        </w:tc>
        <w:tc>
          <w:tcPr>
            <w:tcW w:w="100" w:type="dxa"/>
            <w:vAlign w:val="bottom"/>
          </w:tcPr>
          <w:p>
            <w:pPr>
              <w:spacing w:after="0"/>
              <w:rPr>
                <w:sz w:val="17"/>
                <w:szCs w:val="17"/>
                <w:color w:val="auto"/>
              </w:rPr>
            </w:pPr>
          </w:p>
        </w:tc>
        <w:tc>
          <w:tcPr>
            <w:tcW w:w="4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with</w:t>
            </w:r>
          </w:p>
        </w:tc>
        <w:tc>
          <w:tcPr>
            <w:tcW w:w="3580" w:type="dxa"/>
            <w:vAlign w:val="bottom"/>
            <w:gridSpan w:val="4"/>
          </w:tcPr>
          <w:p>
            <w:pPr>
              <w:ind w:left="320"/>
              <w:spacing w:after="0" w:line="203" w:lineRule="exact"/>
              <w:rPr>
                <w:sz w:val="20"/>
                <w:szCs w:val="20"/>
                <w:color w:val="auto"/>
              </w:rPr>
            </w:pPr>
            <w:r>
              <w:rPr>
                <w:rFonts w:ascii="Courier New" w:cs="Courier New" w:eastAsia="Courier New" w:hAnsi="Courier New"/>
                <w:sz w:val="18"/>
                <w:szCs w:val="18"/>
                <w:color w:val="auto"/>
                <w:w w:val="99"/>
              </w:rPr>
              <w:t>respect  to  more  than 5%  of</w:t>
            </w:r>
          </w:p>
        </w:tc>
        <w:tc>
          <w:tcPr>
            <w:tcW w:w="15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the  class  of</w:t>
            </w:r>
          </w:p>
        </w:tc>
      </w:tr>
      <w:tr>
        <w:trPr>
          <w:trHeight w:val="296"/>
        </w:trPr>
        <w:tc>
          <w:tcPr>
            <w:tcW w:w="1420" w:type="dxa"/>
            <w:vAlign w:val="bottom"/>
          </w:tcPr>
          <w:p>
            <w:pPr>
              <w:spacing w:after="0"/>
              <w:rPr>
                <w:sz w:val="24"/>
                <w:szCs w:val="24"/>
                <w:color w:val="auto"/>
              </w:rPr>
            </w:pPr>
          </w:p>
        </w:tc>
        <w:tc>
          <w:tcPr>
            <w:tcW w:w="5320" w:type="dxa"/>
            <w:vAlign w:val="bottom"/>
            <w:gridSpan w:val="7"/>
          </w:tcPr>
          <w:p>
            <w:pPr>
              <w:ind w:left="580"/>
              <w:spacing w:after="0"/>
              <w:rPr>
                <w:sz w:val="20"/>
                <w:szCs w:val="20"/>
                <w:color w:val="auto"/>
              </w:rPr>
            </w:pPr>
            <w:r>
              <w:rPr>
                <w:rFonts w:ascii="Courier New" w:cs="Courier New" w:eastAsia="Courier New" w:hAnsi="Courier New"/>
                <w:sz w:val="18"/>
                <w:szCs w:val="18"/>
                <w:color w:val="auto"/>
                <w:w w:val="99"/>
              </w:rPr>
              <w:t>securities to which this report relates are:</w:t>
            </w: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514"/>
        </w:trPr>
        <w:tc>
          <w:tcPr>
            <w:tcW w:w="1420" w:type="dxa"/>
            <w:vAlign w:val="bottom"/>
          </w:tcPr>
          <w:p>
            <w:pPr>
              <w:spacing w:after="0"/>
              <w:rPr>
                <w:sz w:val="20"/>
                <w:szCs w:val="20"/>
                <w:color w:val="auto"/>
              </w:rPr>
            </w:pPr>
            <w:r>
              <w:rPr>
                <w:rFonts w:ascii="Courier New" w:cs="Courier New" w:eastAsia="Courier New" w:hAnsi="Courier New"/>
                <w:sz w:val="18"/>
                <w:szCs w:val="18"/>
                <w:color w:val="auto"/>
              </w:rPr>
              <w:t>Item 7.</w:t>
            </w:r>
          </w:p>
        </w:tc>
        <w:tc>
          <w:tcPr>
            <w:tcW w:w="2280" w:type="dxa"/>
            <w:vAlign w:val="bottom"/>
            <w:gridSpan w:val="4"/>
          </w:tcPr>
          <w:p>
            <w:pPr>
              <w:ind w:left="580"/>
              <w:spacing w:after="0"/>
              <w:rPr>
                <w:sz w:val="20"/>
                <w:szCs w:val="20"/>
                <w:color w:val="auto"/>
              </w:rPr>
            </w:pPr>
            <w:r>
              <w:rPr>
                <w:rFonts w:ascii="Courier New" w:cs="Courier New" w:eastAsia="Courier New" w:hAnsi="Courier New"/>
                <w:sz w:val="18"/>
                <w:szCs w:val="18"/>
                <w:color w:val="auto"/>
              </w:rPr>
              <w:t>Identification</w:t>
            </w:r>
          </w:p>
        </w:tc>
        <w:tc>
          <w:tcPr>
            <w:tcW w:w="520" w:type="dxa"/>
            <w:vAlign w:val="bottom"/>
          </w:tcPr>
          <w:p>
            <w:pPr>
              <w:spacing w:after="0"/>
              <w:rPr>
                <w:sz w:val="20"/>
                <w:szCs w:val="20"/>
                <w:color w:val="auto"/>
              </w:rPr>
            </w:pPr>
            <w:r>
              <w:rPr>
                <w:rFonts w:ascii="Courier New" w:cs="Courier New" w:eastAsia="Courier New" w:hAnsi="Courier New"/>
                <w:sz w:val="18"/>
                <w:szCs w:val="18"/>
                <w:color w:val="auto"/>
              </w:rPr>
              <w:t>and</w:t>
            </w:r>
          </w:p>
        </w:tc>
        <w:tc>
          <w:tcPr>
            <w:tcW w:w="1640" w:type="dxa"/>
            <w:vAlign w:val="bottom"/>
          </w:tcPr>
          <w:p>
            <w:pPr>
              <w:spacing w:after="0"/>
              <w:rPr>
                <w:sz w:val="20"/>
                <w:szCs w:val="20"/>
                <w:color w:val="auto"/>
              </w:rPr>
            </w:pPr>
            <w:r>
              <w:rPr>
                <w:rFonts w:ascii="Courier New" w:cs="Courier New" w:eastAsia="Courier New" w:hAnsi="Courier New"/>
                <w:sz w:val="18"/>
                <w:szCs w:val="18"/>
                <w:color w:val="auto"/>
              </w:rPr>
              <w:t>Classification</w:t>
            </w:r>
          </w:p>
        </w:tc>
        <w:tc>
          <w:tcPr>
            <w:tcW w:w="2460" w:type="dxa"/>
            <w:vAlign w:val="bottom"/>
            <w:gridSpan w:val="3"/>
          </w:tcPr>
          <w:p>
            <w:pPr>
              <w:jc w:val="right"/>
              <w:spacing w:after="0"/>
              <w:rPr>
                <w:sz w:val="20"/>
                <w:szCs w:val="20"/>
                <w:color w:val="auto"/>
              </w:rPr>
            </w:pPr>
            <w:r>
              <w:rPr>
                <w:rFonts w:ascii="Courier New" w:cs="Courier New" w:eastAsia="Courier New" w:hAnsi="Courier New"/>
                <w:sz w:val="18"/>
                <w:szCs w:val="18"/>
                <w:color w:val="auto"/>
                <w:w w:val="98"/>
              </w:rPr>
              <w:t>of the Subsidiary Which</w:t>
            </w:r>
          </w:p>
        </w:tc>
      </w:tr>
      <w:tr>
        <w:trPr>
          <w:trHeight w:val="203"/>
        </w:trPr>
        <w:tc>
          <w:tcPr>
            <w:tcW w:w="1420" w:type="dxa"/>
            <w:vAlign w:val="bottom"/>
          </w:tcPr>
          <w:p>
            <w:pPr>
              <w:spacing w:after="0"/>
              <w:rPr>
                <w:sz w:val="17"/>
                <w:szCs w:val="17"/>
                <w:color w:val="auto"/>
              </w:rPr>
            </w:pPr>
          </w:p>
        </w:tc>
        <w:tc>
          <w:tcPr>
            <w:tcW w:w="5320" w:type="dxa"/>
            <w:vAlign w:val="bottom"/>
            <w:gridSpan w:val="7"/>
          </w:tcPr>
          <w:p>
            <w:pPr>
              <w:ind w:left="580"/>
              <w:spacing w:after="0" w:line="203" w:lineRule="exact"/>
              <w:rPr>
                <w:sz w:val="20"/>
                <w:szCs w:val="20"/>
                <w:color w:val="auto"/>
              </w:rPr>
            </w:pPr>
            <w:r>
              <w:rPr>
                <w:rFonts w:ascii="Courier New" w:cs="Courier New" w:eastAsia="Courier New" w:hAnsi="Courier New"/>
                <w:sz w:val="18"/>
                <w:szCs w:val="18"/>
                <w:color w:val="auto"/>
                <w:w w:val="99"/>
              </w:rPr>
              <w:t>Acquired  the  Security  Being  Reported  on</w:t>
            </w:r>
          </w:p>
        </w:tc>
        <w:tc>
          <w:tcPr>
            <w:tcW w:w="15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by the  Parent</w:t>
            </w:r>
          </w:p>
        </w:tc>
      </w:tr>
      <w:tr>
        <w:trPr>
          <w:trHeight w:val="203"/>
        </w:trPr>
        <w:tc>
          <w:tcPr>
            <w:tcW w:w="1420" w:type="dxa"/>
            <w:vAlign w:val="bottom"/>
          </w:tcPr>
          <w:p>
            <w:pPr>
              <w:spacing w:after="0"/>
              <w:rPr>
                <w:sz w:val="17"/>
                <w:szCs w:val="17"/>
                <w:color w:val="auto"/>
              </w:rPr>
            </w:pPr>
          </w:p>
        </w:tc>
        <w:tc>
          <w:tcPr>
            <w:tcW w:w="2280" w:type="dxa"/>
            <w:vAlign w:val="bottom"/>
            <w:gridSpan w:val="4"/>
          </w:tcPr>
          <w:p>
            <w:pPr>
              <w:ind w:left="580"/>
              <w:spacing w:after="0" w:line="203" w:lineRule="exact"/>
              <w:rPr>
                <w:sz w:val="20"/>
                <w:szCs w:val="20"/>
                <w:color w:val="auto"/>
              </w:rPr>
            </w:pPr>
            <w:r>
              <w:rPr>
                <w:rFonts w:ascii="Courier New" w:cs="Courier New" w:eastAsia="Courier New" w:hAnsi="Courier New"/>
                <w:sz w:val="18"/>
                <w:szCs w:val="18"/>
                <w:color w:val="auto"/>
                <w:w w:val="97"/>
              </w:rPr>
              <w:t>Holding Company.</w:t>
            </w:r>
          </w:p>
        </w:tc>
        <w:tc>
          <w:tcPr>
            <w:tcW w:w="5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96"/>
        </w:trPr>
        <w:tc>
          <w:tcPr>
            <w:tcW w:w="14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120" w:type="dxa"/>
            <w:vAlign w:val="bottom"/>
            <w:gridSpan w:val="4"/>
          </w:tcPr>
          <w:p>
            <w:pPr>
              <w:ind w:left="320"/>
              <w:spacing w:after="0"/>
              <w:rPr>
                <w:sz w:val="20"/>
                <w:szCs w:val="20"/>
                <w:color w:val="auto"/>
              </w:rPr>
            </w:pPr>
            <w:r>
              <w:rPr>
                <w:rFonts w:ascii="Courier New" w:cs="Courier New" w:eastAsia="Courier New" w:hAnsi="Courier New"/>
                <w:sz w:val="18"/>
                <w:szCs w:val="18"/>
                <w:color w:val="auto"/>
              </w:rPr>
              <w:t>See Exhibit (99.2)</w:t>
            </w: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311"/>
        </w:trPr>
        <w:tc>
          <w:tcPr>
            <w:tcW w:w="1420" w:type="dxa"/>
            <w:vAlign w:val="bottom"/>
          </w:tcPr>
          <w:p>
            <w:pPr>
              <w:spacing w:after="0"/>
              <w:rPr>
                <w:sz w:val="20"/>
                <w:szCs w:val="20"/>
                <w:color w:val="auto"/>
              </w:rPr>
            </w:pPr>
            <w:r>
              <w:rPr>
                <w:rFonts w:ascii="Courier New" w:cs="Courier New" w:eastAsia="Courier New" w:hAnsi="Courier New"/>
                <w:sz w:val="18"/>
                <w:szCs w:val="18"/>
                <w:color w:val="auto"/>
              </w:rPr>
              <w:t>Item 8.</w:t>
            </w:r>
          </w:p>
        </w:tc>
        <w:tc>
          <w:tcPr>
            <w:tcW w:w="6900" w:type="dxa"/>
            <w:vAlign w:val="bottom"/>
            <w:gridSpan w:val="9"/>
          </w:tcPr>
          <w:p>
            <w:pPr>
              <w:ind w:left="580"/>
              <w:spacing w:after="0"/>
              <w:rPr>
                <w:sz w:val="20"/>
                <w:szCs w:val="20"/>
                <w:color w:val="auto"/>
              </w:rPr>
            </w:pPr>
            <w:r>
              <w:rPr>
                <w:rFonts w:ascii="Courier New" w:cs="Courier New" w:eastAsia="Courier New" w:hAnsi="Courier New"/>
                <w:sz w:val="18"/>
                <w:szCs w:val="18"/>
                <w:color w:val="auto"/>
              </w:rPr>
              <w:t>Identification and Classification of Members of the Group.</w:t>
            </w:r>
          </w:p>
        </w:tc>
      </w:tr>
      <w:tr>
        <w:trPr>
          <w:trHeight w:val="296"/>
        </w:trPr>
        <w:tc>
          <w:tcPr>
            <w:tcW w:w="14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120" w:type="dxa"/>
            <w:vAlign w:val="bottom"/>
            <w:gridSpan w:val="4"/>
          </w:tcPr>
          <w:p>
            <w:pPr>
              <w:ind w:left="320"/>
              <w:spacing w:after="0"/>
              <w:rPr>
                <w:sz w:val="20"/>
                <w:szCs w:val="20"/>
                <w:color w:val="auto"/>
              </w:rPr>
            </w:pPr>
            <w:r>
              <w:rPr>
                <w:rFonts w:ascii="Courier New" w:cs="Courier New" w:eastAsia="Courier New" w:hAnsi="Courier New"/>
                <w:sz w:val="18"/>
                <w:szCs w:val="18"/>
                <w:color w:val="auto"/>
              </w:rPr>
              <w:t>Not Applicable</w:t>
            </w: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311"/>
        </w:trPr>
        <w:tc>
          <w:tcPr>
            <w:tcW w:w="1420" w:type="dxa"/>
            <w:vAlign w:val="bottom"/>
          </w:tcPr>
          <w:p>
            <w:pPr>
              <w:spacing w:after="0"/>
              <w:rPr>
                <w:sz w:val="20"/>
                <w:szCs w:val="20"/>
                <w:color w:val="auto"/>
              </w:rPr>
            </w:pPr>
            <w:r>
              <w:rPr>
                <w:rFonts w:ascii="Courier New" w:cs="Courier New" w:eastAsia="Courier New" w:hAnsi="Courier New"/>
                <w:sz w:val="18"/>
                <w:szCs w:val="18"/>
                <w:color w:val="auto"/>
              </w:rPr>
              <w:t>Item 9.</w:t>
            </w:r>
          </w:p>
        </w:tc>
        <w:tc>
          <w:tcPr>
            <w:tcW w:w="4440" w:type="dxa"/>
            <w:vAlign w:val="bottom"/>
            <w:gridSpan w:val="6"/>
          </w:tcPr>
          <w:p>
            <w:pPr>
              <w:ind w:left="580"/>
              <w:spacing w:after="0"/>
              <w:rPr>
                <w:sz w:val="20"/>
                <w:szCs w:val="20"/>
                <w:color w:val="auto"/>
              </w:rPr>
            </w:pPr>
            <w:r>
              <w:rPr>
                <w:rFonts w:ascii="Courier New" w:cs="Courier New" w:eastAsia="Courier New" w:hAnsi="Courier New"/>
                <w:sz w:val="18"/>
                <w:szCs w:val="18"/>
                <w:color w:val="auto"/>
              </w:rPr>
              <w:t>Notice of Dissolution of Group.</w:t>
            </w: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96"/>
        </w:trPr>
        <w:tc>
          <w:tcPr>
            <w:tcW w:w="14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120" w:type="dxa"/>
            <w:vAlign w:val="bottom"/>
            <w:gridSpan w:val="4"/>
          </w:tcPr>
          <w:p>
            <w:pPr>
              <w:ind w:left="320"/>
              <w:spacing w:after="0"/>
              <w:rPr>
                <w:sz w:val="20"/>
                <w:szCs w:val="20"/>
                <w:color w:val="auto"/>
              </w:rPr>
            </w:pPr>
            <w:r>
              <w:rPr>
                <w:rFonts w:ascii="Courier New" w:cs="Courier New" w:eastAsia="Courier New" w:hAnsi="Courier New"/>
                <w:sz w:val="18"/>
                <w:szCs w:val="18"/>
                <w:color w:val="auto"/>
              </w:rPr>
              <w:t>Not Applicable</w:t>
            </w: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311"/>
        </w:trPr>
        <w:tc>
          <w:tcPr>
            <w:tcW w:w="1420" w:type="dxa"/>
            <w:vAlign w:val="bottom"/>
          </w:tcPr>
          <w:p>
            <w:pPr>
              <w:spacing w:after="0"/>
              <w:rPr>
                <w:sz w:val="20"/>
                <w:szCs w:val="20"/>
                <w:color w:val="auto"/>
              </w:rPr>
            </w:pPr>
            <w:r>
              <w:rPr>
                <w:rFonts w:ascii="Courier New" w:cs="Courier New" w:eastAsia="Courier New" w:hAnsi="Courier New"/>
                <w:sz w:val="18"/>
                <w:szCs w:val="18"/>
                <w:color w:val="auto"/>
              </w:rPr>
              <w:t>Item 10.</w:t>
            </w:r>
          </w:p>
        </w:tc>
        <w:tc>
          <w:tcPr>
            <w:tcW w:w="2280" w:type="dxa"/>
            <w:vAlign w:val="bottom"/>
            <w:gridSpan w:val="4"/>
          </w:tcPr>
          <w:p>
            <w:pPr>
              <w:ind w:left="580"/>
              <w:spacing w:after="0"/>
              <w:rPr>
                <w:sz w:val="20"/>
                <w:szCs w:val="20"/>
                <w:color w:val="auto"/>
              </w:rPr>
            </w:pPr>
            <w:r>
              <w:rPr>
                <w:rFonts w:ascii="Courier New" w:cs="Courier New" w:eastAsia="Courier New" w:hAnsi="Courier New"/>
                <w:sz w:val="18"/>
                <w:szCs w:val="18"/>
                <w:color w:val="auto"/>
              </w:rPr>
              <w:t>Certification.</w:t>
            </w:r>
          </w:p>
        </w:tc>
        <w:tc>
          <w:tcPr>
            <w:tcW w:w="5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03"/>
        </w:trPr>
        <w:tc>
          <w:tcPr>
            <w:tcW w:w="1420" w:type="dxa"/>
            <w:vAlign w:val="bottom"/>
          </w:tcPr>
          <w:p>
            <w:pPr>
              <w:spacing w:after="0"/>
              <w:rPr>
                <w:sz w:val="17"/>
                <w:szCs w:val="17"/>
                <w:color w:val="auto"/>
              </w:rPr>
            </w:pPr>
          </w:p>
        </w:tc>
        <w:tc>
          <w:tcPr>
            <w:tcW w:w="6900" w:type="dxa"/>
            <w:vAlign w:val="bottom"/>
            <w:gridSpan w:val="9"/>
          </w:tcPr>
          <w:p>
            <w:pPr>
              <w:ind w:left="580"/>
              <w:spacing w:after="0" w:line="203" w:lineRule="exact"/>
              <w:rPr>
                <w:sz w:val="20"/>
                <w:szCs w:val="20"/>
                <w:color w:val="auto"/>
              </w:rPr>
            </w:pPr>
            <w:r>
              <w:rPr>
                <w:rFonts w:ascii="Courier New" w:cs="Courier New" w:eastAsia="Courier New" w:hAnsi="Courier New"/>
                <w:sz w:val="18"/>
                <w:szCs w:val="18"/>
                <w:color w:val="auto"/>
                <w:w w:val="97"/>
              </w:rPr>
              <w:t>By signing below I certify that, to the best of my knowledge</w:t>
            </w:r>
          </w:p>
        </w:tc>
      </w:tr>
      <w:tr>
        <w:trPr>
          <w:trHeight w:val="203"/>
        </w:trPr>
        <w:tc>
          <w:tcPr>
            <w:tcW w:w="1420" w:type="dxa"/>
            <w:vAlign w:val="bottom"/>
          </w:tcPr>
          <w:p>
            <w:pPr>
              <w:spacing w:after="0"/>
              <w:rPr>
                <w:sz w:val="17"/>
                <w:szCs w:val="17"/>
                <w:color w:val="auto"/>
              </w:rPr>
            </w:pPr>
          </w:p>
        </w:tc>
        <w:tc>
          <w:tcPr>
            <w:tcW w:w="6900" w:type="dxa"/>
            <w:vAlign w:val="bottom"/>
            <w:gridSpan w:val="9"/>
          </w:tcPr>
          <w:p>
            <w:pPr>
              <w:ind w:left="580"/>
              <w:spacing w:after="0" w:line="203" w:lineRule="exact"/>
              <w:rPr>
                <w:sz w:val="20"/>
                <w:szCs w:val="20"/>
                <w:color w:val="auto"/>
              </w:rPr>
            </w:pPr>
            <w:r>
              <w:rPr>
                <w:rFonts w:ascii="Courier New" w:cs="Courier New" w:eastAsia="Courier New" w:hAnsi="Courier New"/>
                <w:sz w:val="18"/>
                <w:szCs w:val="18"/>
                <w:color w:val="auto"/>
              </w:rPr>
              <w:t>and belief, the securities referred to above were acquired</w:t>
            </w:r>
          </w:p>
        </w:tc>
      </w:tr>
      <w:tr>
        <w:trPr>
          <w:trHeight w:val="203"/>
        </w:trPr>
        <w:tc>
          <w:tcPr>
            <w:tcW w:w="1420" w:type="dxa"/>
            <w:vAlign w:val="bottom"/>
          </w:tcPr>
          <w:p>
            <w:pPr>
              <w:spacing w:after="0"/>
              <w:rPr>
                <w:sz w:val="17"/>
                <w:szCs w:val="17"/>
                <w:color w:val="auto"/>
              </w:rPr>
            </w:pPr>
          </w:p>
        </w:tc>
        <w:tc>
          <w:tcPr>
            <w:tcW w:w="6900" w:type="dxa"/>
            <w:vAlign w:val="bottom"/>
            <w:gridSpan w:val="9"/>
          </w:tcPr>
          <w:p>
            <w:pPr>
              <w:ind w:left="580"/>
              <w:spacing w:after="0" w:line="203" w:lineRule="exact"/>
              <w:rPr>
                <w:sz w:val="20"/>
                <w:szCs w:val="20"/>
                <w:color w:val="auto"/>
              </w:rPr>
            </w:pPr>
            <w:r>
              <w:rPr>
                <w:rFonts w:ascii="Courier New" w:cs="Courier New" w:eastAsia="Courier New" w:hAnsi="Courier New"/>
                <w:sz w:val="18"/>
                <w:szCs w:val="18"/>
                <w:color w:val="auto"/>
                <w:w w:val="97"/>
              </w:rPr>
              <w:t>and are held in the ordinary course of business and were not</w:t>
            </w:r>
          </w:p>
        </w:tc>
      </w:tr>
      <w:tr>
        <w:trPr>
          <w:trHeight w:val="203"/>
        </w:trPr>
        <w:tc>
          <w:tcPr>
            <w:tcW w:w="1420" w:type="dxa"/>
            <w:vAlign w:val="bottom"/>
          </w:tcPr>
          <w:p>
            <w:pPr>
              <w:spacing w:after="0"/>
              <w:rPr>
                <w:sz w:val="17"/>
                <w:szCs w:val="17"/>
                <w:color w:val="auto"/>
              </w:rPr>
            </w:pPr>
          </w:p>
        </w:tc>
        <w:tc>
          <w:tcPr>
            <w:tcW w:w="6900" w:type="dxa"/>
            <w:vAlign w:val="bottom"/>
            <w:gridSpan w:val="9"/>
          </w:tcPr>
          <w:p>
            <w:pPr>
              <w:ind w:left="580"/>
              <w:spacing w:after="0" w:line="203" w:lineRule="exact"/>
              <w:rPr>
                <w:sz w:val="20"/>
                <w:szCs w:val="20"/>
                <w:color w:val="auto"/>
              </w:rPr>
            </w:pPr>
            <w:r>
              <w:rPr>
                <w:rFonts w:ascii="Courier New" w:cs="Courier New" w:eastAsia="Courier New" w:hAnsi="Courier New"/>
                <w:sz w:val="18"/>
                <w:szCs w:val="18"/>
                <w:color w:val="auto"/>
              </w:rPr>
              <w:t>acquired and are not held for the purpose of or with the</w:t>
            </w:r>
          </w:p>
        </w:tc>
      </w:tr>
      <w:tr>
        <w:trPr>
          <w:trHeight w:val="235"/>
        </w:trPr>
        <w:tc>
          <w:tcPr>
            <w:tcW w:w="1420" w:type="dxa"/>
            <w:vAlign w:val="bottom"/>
          </w:tcPr>
          <w:p>
            <w:pPr>
              <w:spacing w:after="0"/>
              <w:rPr>
                <w:sz w:val="20"/>
                <w:szCs w:val="20"/>
                <w:color w:val="auto"/>
              </w:rPr>
            </w:pPr>
          </w:p>
        </w:tc>
        <w:tc>
          <w:tcPr>
            <w:tcW w:w="6900" w:type="dxa"/>
            <w:vAlign w:val="bottom"/>
            <w:gridSpan w:val="9"/>
          </w:tcPr>
          <w:p>
            <w:pPr>
              <w:ind w:left="580"/>
              <w:spacing w:after="0"/>
              <w:rPr>
                <w:sz w:val="20"/>
                <w:szCs w:val="20"/>
                <w:color w:val="auto"/>
              </w:rPr>
            </w:pPr>
            <w:r>
              <w:rPr>
                <w:rFonts w:ascii="Courier New" w:cs="Courier New" w:eastAsia="Courier New" w:hAnsi="Courier New"/>
                <w:sz w:val="18"/>
                <w:szCs w:val="18"/>
                <w:color w:val="auto"/>
                <w:w w:val="98"/>
              </w:rPr>
              <w:t>effect of changing or influencing the control of the issuer</w:t>
            </w:r>
          </w:p>
        </w:tc>
      </w:tr>
    </w:tbl>
    <w:p>
      <w:pPr>
        <w:ind w:left="2000" w:right="1919"/>
        <w:spacing w:after="0" w:line="304" w:lineRule="auto"/>
        <w:rPr>
          <w:sz w:val="20"/>
          <w:szCs w:val="20"/>
          <w:color w:val="auto"/>
        </w:rPr>
      </w:pPr>
      <w:r>
        <w:rPr>
          <w:rFonts w:ascii="Courier New" w:cs="Courier New" w:eastAsia="Courier New" w:hAnsi="Courier New"/>
          <w:sz w:val="16"/>
          <w:szCs w:val="16"/>
          <w:color w:val="auto"/>
        </w:rPr>
        <w:t>of the securities and were not acquired and are not held in connection with or as a participant in any transaction having that purpose or effect, other than activities solely in connection with a nomination under Section 240.14a-11.</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ind w:right="1699" w:firstLine="211"/>
        <w:spacing w:after="0" w:line="241" w:lineRule="auto"/>
        <w:rPr>
          <w:sz w:val="20"/>
          <w:szCs w:val="20"/>
          <w:color w:val="auto"/>
        </w:rPr>
      </w:pPr>
      <w:r>
        <w:rPr>
          <w:rFonts w:ascii="Courier New" w:cs="Courier New" w:eastAsia="Courier New" w:hAnsi="Courier New"/>
          <w:sz w:val="18"/>
          <w:szCs w:val="18"/>
          <w:color w:val="auto"/>
        </w:rPr>
        <w:t>*In accordance with the Securities and Exchange Commission Release No. 34-39538 (January 12, 1998) (the "Release"), this filing reflects the securities beneficially owned by certain operating units (collectively, the "Goldman Sachs Reporting Units") of The Goldman Sachs Group, Inc. and its subsidiaries and affiliates (collectively, "GSG"). This filing does not reflect securities, if any, beneficially owned by any operating units of GSG whose ownership of securities is disaggregated from that of the Goldman Sachs Reporting Units in accordance with the Release. The Goldman Sachs Reporting Units disclaim beneficial ownership of the securities beneficially owned by (i) any client accounts with respect to which the Goldman Sachs Reporting Units or their employees have voting or investment discretion or both, or with respect to which there are limits on their voting or investment authority or both and</w:t>
      </w:r>
    </w:p>
    <w:p>
      <w:pPr>
        <w:spacing w:after="0" w:line="5" w:lineRule="exact"/>
        <w:rPr>
          <w:sz w:val="20"/>
          <w:szCs w:val="20"/>
          <w:color w:val="auto"/>
        </w:rPr>
      </w:pPr>
    </w:p>
    <w:p>
      <w:pPr>
        <w:ind w:right="2019" w:firstLine="8"/>
        <w:spacing w:after="0" w:line="346" w:lineRule="auto"/>
        <w:tabs>
          <w:tab w:leader="none" w:pos="526"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certain investment entities of which the Goldman Sachs Reporting Units act as the general partner, managing general partner or other manager, to the</w:t>
      </w:r>
    </w:p>
    <w:p>
      <w:pPr>
        <w:sectPr>
          <w:pgSz w:w="11900" w:h="17038" w:orient="portrait"/>
          <w:cols w:equalWidth="0" w:num="1">
            <w:col w:w="10139"/>
          </w:cols>
          <w:pgMar w:left="320" w:top="488" w:right="1440" w:bottom="0" w:gutter="0" w:footer="0" w:header="0"/>
        </w:sectPr>
      </w:pPr>
    </w:p>
    <w:bookmarkStart w:id="5" w:name="page6"/>
    <w:bookmarkEnd w:id="5"/>
    <w:p>
      <w:pPr>
        <w:ind w:right="2119"/>
        <w:spacing w:after="0" w:line="346" w:lineRule="auto"/>
        <w:rPr>
          <w:sz w:val="20"/>
          <w:szCs w:val="20"/>
          <w:color w:val="auto"/>
        </w:rPr>
      </w:pPr>
      <w:r>
        <w:rPr>
          <w:rFonts w:ascii="Courier New" w:cs="Courier New" w:eastAsia="Courier New" w:hAnsi="Courier New"/>
          <w:sz w:val="18"/>
          <w:szCs w:val="18"/>
          <w:color w:val="auto"/>
        </w:rPr>
        <w:t>extent interests in such entities are held by persons other than the Goldman Sachs Reporting Units.</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Page 5 of 11</w:t>
      </w:r>
    </w:p>
    <w:p>
      <w:pPr>
        <w:sectPr>
          <w:pgSz w:w="11900" w:h="16838" w:orient="portrait"/>
          <w:cols w:equalWidth="0" w:num="1">
            <w:col w:w="10139"/>
          </w:cols>
          <w:pgMar w:left="320" w:top="110" w:right="1440" w:bottom="1440" w:gutter="0" w:footer="0" w:header="0"/>
        </w:sectPr>
      </w:pPr>
    </w:p>
    <w:bookmarkStart w:id="6" w:name="page7"/>
    <w:bookmarkEnd w:id="6"/>
    <w:p>
      <w:pPr>
        <w:ind w:left="3800"/>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pacing w:after="0" w:line="204" w:lineRule="exact"/>
        <w:rPr>
          <w:sz w:val="20"/>
          <w:szCs w:val="20"/>
          <w:color w:val="auto"/>
        </w:rPr>
      </w:pPr>
    </w:p>
    <w:p>
      <w:pPr>
        <w:jc w:val="both"/>
        <w:ind w:left="1280" w:right="2979"/>
        <w:spacing w:after="0" w:line="344" w:lineRule="auto"/>
        <w:rPr>
          <w:sz w:val="20"/>
          <w:szCs w:val="20"/>
          <w:color w:val="auto"/>
        </w:rPr>
      </w:pPr>
      <w:r>
        <w:rPr>
          <w:rFonts w:ascii="Courier New" w:cs="Courier New" w:eastAsia="Courier New" w:hAnsi="Courier New"/>
          <w:sz w:val="16"/>
          <w:szCs w:val="16"/>
          <w:color w:val="auto"/>
        </w:rPr>
        <w:t>After reasonable inquiry and to the best of my knowledge and belief, I certify that the information set forth in this statement is true, complete and correct.</w:t>
      </w:r>
    </w:p>
    <w:p>
      <w:pPr>
        <w:spacing w:after="0" w:line="31"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tab/>
        <w:t>November 03, 2024,</w:t>
      </w:r>
    </w:p>
    <w:p>
      <w:pPr>
        <w:spacing w:after="0" w:line="201"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THE GOLDMAN SACHS GROUP, INC.</w:t>
      </w:r>
    </w:p>
    <w:p>
      <w:pPr>
        <w:spacing w:after="0" w:line="201"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By:/s/ AMEEN SOETAN</w:t>
      </w:r>
    </w:p>
    <w:p>
      <w:pPr>
        <w:spacing w:after="0" w:line="29"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w:t>
      </w:r>
    </w:p>
    <w:p>
      <w:pPr>
        <w:ind w:left="1380"/>
        <w:spacing w:after="0" w:line="238" w:lineRule="auto"/>
        <w:tabs>
          <w:tab w:leader="none" w:pos="2100" w:val="left"/>
        </w:tabs>
        <w:rPr>
          <w:sz w:val="20"/>
          <w:szCs w:val="20"/>
          <w:color w:val="auto"/>
        </w:rPr>
      </w:pPr>
      <w:r>
        <w:rPr>
          <w:rFonts w:ascii="Courier New" w:cs="Courier New" w:eastAsia="Courier New" w:hAnsi="Courier New"/>
          <w:sz w:val="18"/>
          <w:szCs w:val="18"/>
          <w:color w:val="auto"/>
        </w:rPr>
        <w:t>Name:</w:t>
        <w:tab/>
        <w:t>AMEEN SOETAN</w:t>
      </w:r>
    </w:p>
    <w:p>
      <w:pPr>
        <w:ind w:left="1380"/>
        <w:spacing w:after="0"/>
        <w:tabs>
          <w:tab w:leader="none" w:pos="2200" w:val="left"/>
        </w:tabs>
        <w:rPr>
          <w:sz w:val="20"/>
          <w:szCs w:val="20"/>
          <w:color w:val="auto"/>
        </w:rPr>
      </w:pPr>
      <w:r>
        <w:rPr>
          <w:rFonts w:ascii="Courier New" w:cs="Courier New" w:eastAsia="Courier New" w:hAnsi="Courier New"/>
          <w:sz w:val="18"/>
          <w:szCs w:val="18"/>
          <w:color w:val="auto"/>
        </w:rPr>
        <w:t>Title:</w:t>
        <w:tab/>
        <w:t>Attorney-in-fact</w:t>
      </w:r>
    </w:p>
    <w:p>
      <w:pPr>
        <w:spacing w:after="0" w:line="169"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GOLDMAN SACHS &amp; CO. LLC</w:t>
      </w:r>
    </w:p>
    <w:p>
      <w:pPr>
        <w:spacing w:after="0" w:line="201"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By:/s/ AMEEN SOETAN</w:t>
      </w:r>
    </w:p>
    <w:p>
      <w:pPr>
        <w:spacing w:after="0" w:line="29"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w:t>
      </w:r>
    </w:p>
    <w:p>
      <w:pPr>
        <w:ind w:left="1380"/>
        <w:spacing w:after="0" w:line="238" w:lineRule="auto"/>
        <w:tabs>
          <w:tab w:leader="none" w:pos="2100" w:val="left"/>
        </w:tabs>
        <w:rPr>
          <w:sz w:val="20"/>
          <w:szCs w:val="20"/>
          <w:color w:val="auto"/>
        </w:rPr>
      </w:pPr>
      <w:r>
        <w:rPr>
          <w:rFonts w:ascii="Courier New" w:cs="Courier New" w:eastAsia="Courier New" w:hAnsi="Courier New"/>
          <w:sz w:val="18"/>
          <w:szCs w:val="18"/>
          <w:color w:val="auto"/>
        </w:rPr>
        <w:t>Name:</w:t>
        <w:tab/>
        <w:t>AMEEN SOETAN</w:t>
      </w:r>
    </w:p>
    <w:p>
      <w:pPr>
        <w:ind w:left="1380"/>
        <w:spacing w:after="0"/>
        <w:tabs>
          <w:tab w:leader="none" w:pos="2200" w:val="left"/>
        </w:tabs>
        <w:rPr>
          <w:sz w:val="20"/>
          <w:szCs w:val="20"/>
          <w:color w:val="auto"/>
        </w:rPr>
      </w:pPr>
      <w:r>
        <w:rPr>
          <w:rFonts w:ascii="Courier New" w:cs="Courier New" w:eastAsia="Courier New" w:hAnsi="Courier New"/>
          <w:sz w:val="18"/>
          <w:szCs w:val="18"/>
          <w:color w:val="auto"/>
        </w:rPr>
        <w:t>Title:</w:t>
        <w:tab/>
        <w:t>Attorney-in-fact</w:t>
      </w:r>
    </w:p>
    <w:p>
      <w:pPr>
        <w:spacing w:after="0" w:line="200" w:lineRule="exact"/>
        <w:rPr>
          <w:sz w:val="20"/>
          <w:szCs w:val="20"/>
          <w:color w:val="auto"/>
        </w:rPr>
      </w:pPr>
    </w:p>
    <w:p>
      <w:pPr>
        <w:spacing w:after="0" w:line="374"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Page 6 of 11</w:t>
      </w:r>
    </w:p>
    <w:p>
      <w:pPr>
        <w:sectPr>
          <w:pgSz w:w="11900" w:h="16838" w:orient="portrait"/>
          <w:cols w:equalWidth="0" w:num="1">
            <w:col w:w="10139"/>
          </w:cols>
          <w:pgMar w:left="320" w:top="690" w:right="1440"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96"/>
        </w:trPr>
        <w:tc>
          <w:tcPr>
            <w:tcW w:w="1420" w:type="dxa"/>
            <w:vAlign w:val="bottom"/>
          </w:tcPr>
          <w:p>
            <w:pPr>
              <w:spacing w:after="0"/>
              <w:rPr>
                <w:sz w:val="24"/>
                <w:szCs w:val="24"/>
                <w:color w:val="auto"/>
              </w:rPr>
            </w:pPr>
          </w:p>
        </w:tc>
        <w:tc>
          <w:tcPr>
            <w:tcW w:w="3740" w:type="dxa"/>
            <w:vAlign w:val="bottom"/>
          </w:tcPr>
          <w:p>
            <w:pPr>
              <w:ind w:left="1960"/>
              <w:spacing w:after="0"/>
              <w:rPr>
                <w:sz w:val="20"/>
                <w:szCs w:val="20"/>
                <w:color w:val="auto"/>
              </w:rPr>
            </w:pPr>
            <w:r>
              <w:rPr>
                <w:rFonts w:ascii="Courier New" w:cs="Courier New" w:eastAsia="Courier New" w:hAnsi="Courier New"/>
                <w:sz w:val="18"/>
                <w:szCs w:val="18"/>
                <w:color w:val="auto"/>
                <w:w w:val="95"/>
              </w:rPr>
              <w:t>INDEX TO EXHIBITS</w:t>
            </w:r>
          </w:p>
        </w:tc>
        <w:tc>
          <w:tcPr>
            <w:tcW w:w="0" w:type="dxa"/>
            <w:vAlign w:val="bottom"/>
          </w:tcPr>
          <w:p>
            <w:pPr>
              <w:spacing w:after="0"/>
              <w:rPr>
                <w:sz w:val="1"/>
                <w:szCs w:val="1"/>
                <w:color w:val="auto"/>
              </w:rPr>
            </w:pPr>
          </w:p>
        </w:tc>
      </w:tr>
      <w:tr>
        <w:trPr>
          <w:trHeight w:val="716"/>
        </w:trPr>
        <w:tc>
          <w:tcPr>
            <w:tcW w:w="1420" w:type="dxa"/>
            <w:vAlign w:val="bottom"/>
          </w:tcPr>
          <w:p>
            <w:pPr>
              <w:jc w:val="right"/>
              <w:ind w:right="172"/>
              <w:spacing w:after="0"/>
              <w:rPr>
                <w:sz w:val="20"/>
                <w:szCs w:val="20"/>
                <w:color w:val="auto"/>
              </w:rPr>
            </w:pPr>
            <w:r>
              <w:rPr>
                <w:rFonts w:ascii="Courier New" w:cs="Courier New" w:eastAsia="Courier New" w:hAnsi="Courier New"/>
                <w:sz w:val="18"/>
                <w:szCs w:val="18"/>
                <w:color w:val="auto"/>
                <w:w w:val="95"/>
              </w:rPr>
              <w:t>Exhibit No.</w:t>
            </w:r>
          </w:p>
        </w:tc>
        <w:tc>
          <w:tcPr>
            <w:tcW w:w="3740" w:type="dxa"/>
            <w:vAlign w:val="bottom"/>
          </w:tcPr>
          <w:p>
            <w:pPr>
              <w:ind w:left="1120"/>
              <w:spacing w:after="0"/>
              <w:rPr>
                <w:sz w:val="20"/>
                <w:szCs w:val="20"/>
                <w:color w:val="auto"/>
              </w:rPr>
            </w:pPr>
            <w:r>
              <w:rPr>
                <w:rFonts w:ascii="Courier New" w:cs="Courier New" w:eastAsia="Courier New" w:hAnsi="Courier New"/>
                <w:sz w:val="18"/>
                <w:szCs w:val="18"/>
                <w:color w:val="auto"/>
              </w:rPr>
              <w:t>Exhibit</w:t>
            </w:r>
          </w:p>
        </w:tc>
        <w:tc>
          <w:tcPr>
            <w:tcW w:w="0" w:type="dxa"/>
            <w:vAlign w:val="bottom"/>
          </w:tcPr>
          <w:p>
            <w:pPr>
              <w:spacing w:after="0"/>
              <w:rPr>
                <w:sz w:val="1"/>
                <w:szCs w:val="1"/>
                <w:color w:val="auto"/>
              </w:rPr>
            </w:pPr>
          </w:p>
        </w:tc>
      </w:tr>
      <w:tr>
        <w:trPr>
          <w:trHeight w:val="203"/>
        </w:trPr>
        <w:tc>
          <w:tcPr>
            <w:tcW w:w="1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5"/>
              </w:rPr>
              <w:t>-----------</w:t>
            </w:r>
          </w:p>
        </w:tc>
        <w:tc>
          <w:tcPr>
            <w:tcW w:w="3740" w:type="dxa"/>
            <w:vAlign w:val="bottom"/>
          </w:tcPr>
          <w:p>
            <w:pPr>
              <w:ind w:left="1120"/>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142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rPr>
              <w:t>99.1</w:t>
            </w:r>
          </w:p>
        </w:tc>
        <w:tc>
          <w:tcPr>
            <w:tcW w:w="374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Joint Filing Agreement</w:t>
            </w:r>
          </w:p>
        </w:tc>
        <w:tc>
          <w:tcPr>
            <w:tcW w:w="0" w:type="dxa"/>
            <w:vAlign w:val="bottom"/>
          </w:tcPr>
          <w:p>
            <w:pPr>
              <w:spacing w:after="0"/>
              <w:rPr>
                <w:sz w:val="1"/>
                <w:szCs w:val="1"/>
                <w:color w:val="auto"/>
              </w:rPr>
            </w:pPr>
          </w:p>
        </w:tc>
      </w:tr>
      <w:tr>
        <w:trPr>
          <w:trHeight w:val="203"/>
        </w:trPr>
        <w:tc>
          <w:tcPr>
            <w:tcW w:w="142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rPr>
              <w:t>99.2</w:t>
            </w:r>
          </w:p>
        </w:tc>
        <w:tc>
          <w:tcPr>
            <w:tcW w:w="374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Item 7 Information</w:t>
            </w:r>
          </w:p>
        </w:tc>
        <w:tc>
          <w:tcPr>
            <w:tcW w:w="0" w:type="dxa"/>
            <w:vAlign w:val="bottom"/>
          </w:tcPr>
          <w:p>
            <w:pPr>
              <w:spacing w:after="0"/>
              <w:rPr>
                <w:sz w:val="1"/>
                <w:szCs w:val="1"/>
                <w:color w:val="auto"/>
              </w:rPr>
            </w:pPr>
          </w:p>
        </w:tc>
      </w:tr>
      <w:tr>
        <w:trPr>
          <w:trHeight w:val="203"/>
        </w:trPr>
        <w:tc>
          <w:tcPr>
            <w:tcW w:w="142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rPr>
              <w:t>99.3</w:t>
            </w:r>
          </w:p>
        </w:tc>
        <w:tc>
          <w:tcPr>
            <w:tcW w:w="374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Power of Attorney, relating to</w:t>
            </w:r>
          </w:p>
        </w:tc>
        <w:tc>
          <w:tcPr>
            <w:tcW w:w="0" w:type="dxa"/>
            <w:vAlign w:val="bottom"/>
          </w:tcPr>
          <w:p>
            <w:pPr>
              <w:spacing w:after="0"/>
              <w:rPr>
                <w:sz w:val="1"/>
                <w:szCs w:val="1"/>
                <w:color w:val="auto"/>
              </w:rPr>
            </w:pPr>
          </w:p>
        </w:tc>
      </w:tr>
      <w:tr>
        <w:trPr>
          <w:trHeight w:val="203"/>
        </w:trPr>
        <w:tc>
          <w:tcPr>
            <w:tcW w:w="1420" w:type="dxa"/>
            <w:vAlign w:val="bottom"/>
            <w:vMerge w:val="restart"/>
          </w:tcPr>
          <w:p>
            <w:pPr>
              <w:jc w:val="right"/>
              <w:ind w:right="692"/>
              <w:spacing w:after="0"/>
              <w:rPr>
                <w:sz w:val="20"/>
                <w:szCs w:val="20"/>
                <w:color w:val="auto"/>
              </w:rPr>
            </w:pPr>
            <w:r>
              <w:rPr>
                <w:rFonts w:ascii="Courier New" w:cs="Courier New" w:eastAsia="Courier New" w:hAnsi="Courier New"/>
                <w:sz w:val="18"/>
                <w:szCs w:val="18"/>
                <w:color w:val="auto"/>
              </w:rPr>
              <w:t>99.4</w:t>
            </w:r>
          </w:p>
        </w:tc>
        <w:tc>
          <w:tcPr>
            <w:tcW w:w="374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THE GOLDMAN SACHS GROUP, INC.</w:t>
            </w:r>
          </w:p>
        </w:tc>
        <w:tc>
          <w:tcPr>
            <w:tcW w:w="0" w:type="dxa"/>
            <w:vAlign w:val="bottom"/>
          </w:tcPr>
          <w:p>
            <w:pPr>
              <w:spacing w:after="0"/>
              <w:rPr>
                <w:sz w:val="1"/>
                <w:szCs w:val="1"/>
                <w:color w:val="auto"/>
              </w:rPr>
            </w:pPr>
          </w:p>
        </w:tc>
      </w:tr>
      <w:tr>
        <w:trPr>
          <w:trHeight w:val="203"/>
        </w:trPr>
        <w:tc>
          <w:tcPr>
            <w:tcW w:w="1420" w:type="dxa"/>
            <w:vAlign w:val="bottom"/>
            <w:vMerge w:val="continue"/>
          </w:tcPr>
          <w:p>
            <w:pPr>
              <w:spacing w:after="0"/>
              <w:rPr>
                <w:sz w:val="17"/>
                <w:szCs w:val="17"/>
                <w:color w:val="auto"/>
              </w:rPr>
            </w:pPr>
          </w:p>
        </w:tc>
        <w:tc>
          <w:tcPr>
            <w:tcW w:w="374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Power of Attorney, relating to</w:t>
            </w:r>
          </w:p>
        </w:tc>
        <w:tc>
          <w:tcPr>
            <w:tcW w:w="0" w:type="dxa"/>
            <w:vAlign w:val="bottom"/>
          </w:tcPr>
          <w:p>
            <w:pPr>
              <w:spacing w:after="0"/>
              <w:rPr>
                <w:sz w:val="1"/>
                <w:szCs w:val="1"/>
                <w:color w:val="auto"/>
              </w:rPr>
            </w:pPr>
          </w:p>
        </w:tc>
      </w:tr>
      <w:tr>
        <w:trPr>
          <w:trHeight w:val="296"/>
        </w:trPr>
        <w:tc>
          <w:tcPr>
            <w:tcW w:w="1420" w:type="dxa"/>
            <w:vAlign w:val="bottom"/>
          </w:tcPr>
          <w:p>
            <w:pPr>
              <w:spacing w:after="0"/>
              <w:rPr>
                <w:sz w:val="24"/>
                <w:szCs w:val="24"/>
                <w:color w:val="auto"/>
              </w:rPr>
            </w:pPr>
          </w:p>
        </w:tc>
        <w:tc>
          <w:tcPr>
            <w:tcW w:w="3740" w:type="dxa"/>
            <w:vAlign w:val="bottom"/>
          </w:tcPr>
          <w:p>
            <w:pPr>
              <w:ind w:left="280"/>
              <w:spacing w:after="0"/>
              <w:rPr>
                <w:sz w:val="20"/>
                <w:szCs w:val="20"/>
                <w:color w:val="auto"/>
              </w:rPr>
            </w:pPr>
            <w:r>
              <w:rPr>
                <w:rFonts w:ascii="Courier New" w:cs="Courier New" w:eastAsia="Courier New" w:hAnsi="Courier New"/>
                <w:sz w:val="18"/>
                <w:szCs w:val="18"/>
                <w:color w:val="auto"/>
              </w:rPr>
              <w:t>GOLDMAN SACHS &amp; CO. LLC</w:t>
            </w:r>
          </w:p>
        </w:tc>
        <w:tc>
          <w:tcPr>
            <w:tcW w:w="0" w:type="dxa"/>
            <w:vAlign w:val="bottom"/>
          </w:tcPr>
          <w:p>
            <w:pPr>
              <w:spacing w:after="0"/>
              <w:rPr>
                <w:sz w:val="1"/>
                <w:szCs w:val="1"/>
                <w:color w:val="auto"/>
              </w:rPr>
            </w:pPr>
          </w:p>
        </w:tc>
      </w:tr>
    </w:tbl>
    <w:p>
      <w:pPr>
        <w:spacing w:after="0" w:line="109"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Page 7 of 11</w:t>
      </w:r>
    </w:p>
    <w:p>
      <w:pPr>
        <w:sectPr>
          <w:pgSz w:w="11900" w:h="16838" w:orient="portrait"/>
          <w:cols w:equalWidth="0" w:num="1">
            <w:col w:w="10139"/>
          </w:cols>
          <w:pgMar w:left="320" w:top="690" w:right="1440" w:bottom="1440" w:gutter="0" w:footer="0" w:header="0"/>
        </w:sectPr>
      </w:pPr>
    </w:p>
    <w:bookmarkStart w:id="8" w:name="page9"/>
    <w:bookmarkEnd w:id="8"/>
    <w:p>
      <w:pPr>
        <w:jc w:val="right"/>
        <w:ind w:right="1699"/>
        <w:spacing w:after="0"/>
        <w:rPr>
          <w:sz w:val="20"/>
          <w:szCs w:val="20"/>
          <w:color w:val="auto"/>
        </w:rPr>
      </w:pPr>
      <w:r>
        <w:rPr>
          <w:rFonts w:ascii="Courier New" w:cs="Courier New" w:eastAsia="Courier New" w:hAnsi="Courier New"/>
          <w:sz w:val="18"/>
          <w:szCs w:val="18"/>
          <w:color w:val="auto"/>
        </w:rPr>
        <w:t>EXHIBIT (99.1)</w:t>
      </w:r>
    </w:p>
    <w:p>
      <w:pPr>
        <w:spacing w:after="0" w:line="20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JOINT FILING AGREEMENT</w:t>
      </w:r>
    </w:p>
    <w:p>
      <w:pPr>
        <w:spacing w:after="0" w:line="201" w:lineRule="exact"/>
        <w:rPr>
          <w:sz w:val="20"/>
          <w:szCs w:val="20"/>
          <w:color w:val="auto"/>
        </w:rPr>
      </w:pPr>
    </w:p>
    <w:p>
      <w:pPr>
        <w:ind w:right="1819" w:firstLine="421"/>
        <w:spacing w:after="0" w:line="276" w:lineRule="auto"/>
        <w:rPr>
          <w:sz w:val="20"/>
          <w:szCs w:val="20"/>
          <w:color w:val="auto"/>
        </w:rPr>
      </w:pPr>
      <w:r>
        <w:rPr>
          <w:rFonts w:ascii="Courier New" w:cs="Courier New" w:eastAsia="Courier New" w:hAnsi="Courier New"/>
          <w:sz w:val="16"/>
          <w:szCs w:val="16"/>
          <w:color w:val="auto"/>
        </w:rPr>
        <w:t>In accordance with Rule 13d-1(k)(1) promulgated under the Securities Exchange Act of 1934, the undersigned agree to the joint filing of a Statement on Schedule 13G (including any and all amendments thereto) with respect to the Common Stock, par value $0.001 per share, of LARIMAR THERAPEUTICS, INC. and further agree to the filing of this agreement as an Exhibit thereto.</w:t>
      </w:r>
    </w:p>
    <w:p>
      <w:pPr>
        <w:spacing w:after="0" w:line="2" w:lineRule="exact"/>
        <w:rPr>
          <w:sz w:val="20"/>
          <w:szCs w:val="20"/>
          <w:color w:val="auto"/>
        </w:rPr>
      </w:pPr>
    </w:p>
    <w:p>
      <w:pPr>
        <w:ind w:right="1699"/>
        <w:spacing w:after="0" w:line="273" w:lineRule="auto"/>
        <w:rPr>
          <w:sz w:val="20"/>
          <w:szCs w:val="20"/>
          <w:color w:val="auto"/>
        </w:rPr>
      </w:pPr>
      <w:r>
        <w:rPr>
          <w:rFonts w:ascii="Courier New" w:cs="Courier New" w:eastAsia="Courier New" w:hAnsi="Courier New"/>
          <w:sz w:val="18"/>
          <w:szCs w:val="18"/>
          <w:color w:val="auto"/>
        </w:rPr>
        <w:t>In addition, each party to this Agreement expressly authorizes each other party to this Agreement to file on its behalf any and all amendments to such Statement on Schedule 13G.</w:t>
      </w:r>
    </w:p>
    <w:p>
      <w:pPr>
        <w:spacing w:after="0" w:line="82"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tab/>
        <w:t>November 03, 2024,</w:t>
      </w:r>
    </w:p>
    <w:p>
      <w:pPr>
        <w:spacing w:after="0" w:line="201"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THE GOLDMAN SACHS GROUP, INC.</w:t>
      </w:r>
    </w:p>
    <w:p>
      <w:pPr>
        <w:spacing w:after="0" w:line="201"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By:/s/ AMEEN SOETAN</w:t>
      </w:r>
    </w:p>
    <w:p>
      <w:pPr>
        <w:spacing w:after="0" w:line="29"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w:t>
      </w:r>
    </w:p>
    <w:p>
      <w:pPr>
        <w:ind w:left="1380"/>
        <w:spacing w:after="0" w:line="238" w:lineRule="auto"/>
        <w:tabs>
          <w:tab w:leader="none" w:pos="2100" w:val="left"/>
        </w:tabs>
        <w:rPr>
          <w:sz w:val="20"/>
          <w:szCs w:val="20"/>
          <w:color w:val="auto"/>
        </w:rPr>
      </w:pPr>
      <w:r>
        <w:rPr>
          <w:rFonts w:ascii="Courier New" w:cs="Courier New" w:eastAsia="Courier New" w:hAnsi="Courier New"/>
          <w:sz w:val="18"/>
          <w:szCs w:val="18"/>
          <w:color w:val="auto"/>
        </w:rPr>
        <w:t>Name:</w:t>
        <w:tab/>
        <w:t>AMEEN SOETAN</w:t>
      </w:r>
    </w:p>
    <w:p>
      <w:pPr>
        <w:ind w:left="1380"/>
        <w:spacing w:after="0"/>
        <w:tabs>
          <w:tab w:leader="none" w:pos="2200" w:val="left"/>
        </w:tabs>
        <w:rPr>
          <w:sz w:val="20"/>
          <w:szCs w:val="20"/>
          <w:color w:val="auto"/>
        </w:rPr>
      </w:pPr>
      <w:r>
        <w:rPr>
          <w:rFonts w:ascii="Courier New" w:cs="Courier New" w:eastAsia="Courier New" w:hAnsi="Courier New"/>
          <w:sz w:val="18"/>
          <w:szCs w:val="18"/>
          <w:color w:val="auto"/>
        </w:rPr>
        <w:t>Title:</w:t>
        <w:tab/>
        <w:t>Attorney-in-fact</w:t>
      </w:r>
    </w:p>
    <w:p>
      <w:pPr>
        <w:spacing w:after="0" w:line="169"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GOLDMAN SACHS &amp; CO. LLC</w:t>
      </w:r>
    </w:p>
    <w:p>
      <w:pPr>
        <w:spacing w:after="0" w:line="201"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By:/s/ AMEEN SOETAN</w:t>
      </w:r>
    </w:p>
    <w:p>
      <w:pPr>
        <w:spacing w:after="0" w:line="29"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w:t>
      </w:r>
    </w:p>
    <w:p>
      <w:pPr>
        <w:ind w:left="1380"/>
        <w:spacing w:after="0" w:line="238" w:lineRule="auto"/>
        <w:tabs>
          <w:tab w:leader="none" w:pos="2100" w:val="left"/>
        </w:tabs>
        <w:rPr>
          <w:sz w:val="20"/>
          <w:szCs w:val="20"/>
          <w:color w:val="auto"/>
        </w:rPr>
      </w:pPr>
      <w:r>
        <w:rPr>
          <w:rFonts w:ascii="Courier New" w:cs="Courier New" w:eastAsia="Courier New" w:hAnsi="Courier New"/>
          <w:sz w:val="18"/>
          <w:szCs w:val="18"/>
          <w:color w:val="auto"/>
        </w:rPr>
        <w:t>Name:</w:t>
        <w:tab/>
        <w:t>AMEEN SOETAN</w:t>
      </w:r>
    </w:p>
    <w:p>
      <w:pPr>
        <w:ind w:left="1380"/>
        <w:spacing w:after="0"/>
        <w:tabs>
          <w:tab w:leader="none" w:pos="2200" w:val="left"/>
        </w:tabs>
        <w:rPr>
          <w:sz w:val="20"/>
          <w:szCs w:val="20"/>
          <w:color w:val="auto"/>
        </w:rPr>
      </w:pPr>
      <w:r>
        <w:rPr>
          <w:rFonts w:ascii="Courier New" w:cs="Courier New" w:eastAsia="Courier New" w:hAnsi="Courier New"/>
          <w:sz w:val="18"/>
          <w:szCs w:val="18"/>
          <w:color w:val="auto"/>
        </w:rPr>
        <w:t>Title:</w:t>
        <w:tab/>
        <w:t>Attorney-in-fact</w:t>
      </w:r>
    </w:p>
    <w:p>
      <w:pPr>
        <w:spacing w:after="0" w:line="372"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Page 8 of 11</w:t>
      </w:r>
    </w:p>
    <w:p>
      <w:pPr>
        <w:sectPr>
          <w:pgSz w:w="11900" w:h="16838" w:orient="portrait"/>
          <w:cols w:equalWidth="0" w:num="1">
            <w:col w:w="10139"/>
          </w:cols>
          <w:pgMar w:left="320" w:top="488" w:right="1440" w:bottom="1440" w:gutter="0" w:footer="0" w:header="0"/>
        </w:sectPr>
      </w:pPr>
    </w:p>
    <w:bookmarkStart w:id="9" w:name="page10"/>
    <w:bookmarkEnd w:id="9"/>
    <w:p>
      <w:pPr>
        <w:ind w:left="6960"/>
        <w:spacing w:after="0"/>
        <w:rPr>
          <w:sz w:val="20"/>
          <w:szCs w:val="20"/>
          <w:color w:val="auto"/>
        </w:rPr>
      </w:pPr>
      <w:r>
        <w:rPr>
          <w:rFonts w:ascii="Courier New" w:cs="Courier New" w:eastAsia="Courier New" w:hAnsi="Courier New"/>
          <w:sz w:val="16"/>
          <w:szCs w:val="16"/>
          <w:color w:val="auto"/>
        </w:rPr>
        <w:t>EXHIBIT (99.2)</w:t>
      </w:r>
    </w:p>
    <w:p>
      <w:pPr>
        <w:spacing w:after="0" w:line="224" w:lineRule="exact"/>
        <w:rPr>
          <w:sz w:val="20"/>
          <w:szCs w:val="20"/>
          <w:color w:val="auto"/>
        </w:rPr>
      </w:pPr>
    </w:p>
    <w:p>
      <w:pPr>
        <w:jc w:val="center"/>
        <w:ind w:right="1479"/>
        <w:spacing w:after="0"/>
        <w:rPr>
          <w:sz w:val="20"/>
          <w:szCs w:val="20"/>
          <w:color w:val="auto"/>
        </w:rPr>
      </w:pPr>
      <w:r>
        <w:rPr>
          <w:rFonts w:ascii="Courier New" w:cs="Courier New" w:eastAsia="Courier New" w:hAnsi="Courier New"/>
          <w:sz w:val="18"/>
          <w:szCs w:val="18"/>
          <w:color w:val="auto"/>
        </w:rPr>
        <w:t>ITEM 7 INFORMATION</w:t>
      </w:r>
    </w:p>
    <w:p>
      <w:pPr>
        <w:spacing w:after="0" w:line="201" w:lineRule="exact"/>
        <w:rPr>
          <w:sz w:val="20"/>
          <w:szCs w:val="20"/>
          <w:color w:val="auto"/>
        </w:rPr>
      </w:pPr>
    </w:p>
    <w:p>
      <w:pPr>
        <w:jc w:val="both"/>
        <w:ind w:right="1699" w:firstLine="421"/>
        <w:spacing w:after="0" w:line="260" w:lineRule="auto"/>
        <w:rPr>
          <w:sz w:val="20"/>
          <w:szCs w:val="20"/>
          <w:color w:val="auto"/>
        </w:rPr>
      </w:pPr>
      <w:r>
        <w:rPr>
          <w:rFonts w:ascii="Courier New" w:cs="Courier New" w:eastAsia="Courier New" w:hAnsi="Courier New"/>
          <w:sz w:val="18"/>
          <w:szCs w:val="18"/>
          <w:color w:val="auto"/>
        </w:rPr>
        <w:t>The securities being reported on by The Goldman Sachs Group, Inc. ("GS Group"), as a parent holding company, are owned, or may be deemed to be beneficially owned, by Goldman Sachs &amp; Co. LLC ("Goldman Sachs"), a broker or dealer registered under Section 15 of the Act and an investment adviser registered under Section 203 of the Investment Advisers Act of 1940. Goldman Sachs is a subsidiary of GS Group.</w:t>
      </w:r>
    </w:p>
    <w:p>
      <w:pPr>
        <w:spacing w:after="0" w:line="92"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Page 9 of 11</w:t>
      </w:r>
    </w:p>
    <w:p>
      <w:pPr>
        <w:sectPr>
          <w:pgSz w:w="11900" w:h="16838" w:orient="portrait"/>
          <w:cols w:equalWidth="0" w:num="1">
            <w:col w:w="10139"/>
          </w:cols>
          <w:pgMar w:left="320" w:top="488" w:right="1440" w:bottom="1440" w:gutter="0" w:footer="0" w:header="0"/>
        </w:sectPr>
      </w:pPr>
    </w:p>
    <w:bookmarkStart w:id="10" w:name="page11"/>
    <w:bookmarkEnd w:id="10"/>
    <w:p>
      <w:pPr>
        <w:jc w:val="right"/>
        <w:ind w:right="1699"/>
        <w:spacing w:after="0"/>
        <w:rPr>
          <w:sz w:val="20"/>
          <w:szCs w:val="20"/>
          <w:color w:val="auto"/>
        </w:rPr>
      </w:pPr>
      <w:r>
        <w:rPr>
          <w:rFonts w:ascii="Courier New" w:cs="Courier New" w:eastAsia="Courier New" w:hAnsi="Courier New"/>
          <w:sz w:val="18"/>
          <w:szCs w:val="18"/>
          <w:color w:val="auto"/>
        </w:rPr>
        <w:t>EXHIBIT (99.3)</w:t>
      </w:r>
    </w:p>
    <w:p>
      <w:pPr>
        <w:spacing w:after="0" w:line="201"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POWER OF ATTORNEY</w:t>
      </w:r>
    </w:p>
    <w:p>
      <w:pPr>
        <w:spacing w:after="0" w:line="200" w:lineRule="exact"/>
        <w:rPr>
          <w:sz w:val="20"/>
          <w:szCs w:val="20"/>
          <w:color w:val="auto"/>
        </w:rPr>
      </w:pPr>
    </w:p>
    <w:p>
      <w:pPr>
        <w:spacing w:after="0" w:line="204" w:lineRule="exact"/>
        <w:rPr>
          <w:sz w:val="20"/>
          <w:szCs w:val="20"/>
          <w:color w:val="auto"/>
        </w:rPr>
      </w:pPr>
    </w:p>
    <w:p>
      <w:pPr>
        <w:ind w:right="2559"/>
        <w:spacing w:after="0" w:line="247" w:lineRule="auto"/>
        <w:rPr>
          <w:sz w:val="20"/>
          <w:szCs w:val="20"/>
          <w:color w:val="auto"/>
        </w:rPr>
      </w:pPr>
      <w:r>
        <w:rPr>
          <w:rFonts w:ascii="Courier New" w:cs="Courier New" w:eastAsia="Courier New" w:hAnsi="Courier New"/>
          <w:sz w:val="18"/>
          <w:szCs w:val="18"/>
          <w:color w:val="auto"/>
        </w:rPr>
        <w:t>KNOW ALL PERSONS BY THESE PRESENTS that THE GOLDMAN SACHS GROUP, INC. (the "Company") does hereby make, constitute and appoint Papa Lette, Akash Keshari, Regina Chan, Andrzej Szyszka, Ameen Soetan, Rahail Patel, Santosh Vinayagamoorthy, Sadhiya Raffique, Matthew Pomfret,</w:t>
      </w:r>
    </w:p>
    <w:p>
      <w:pPr>
        <w:spacing w:after="0" w:line="3" w:lineRule="exact"/>
        <w:rPr>
          <w:sz w:val="20"/>
          <w:szCs w:val="20"/>
          <w:color w:val="auto"/>
        </w:rPr>
      </w:pPr>
    </w:p>
    <w:p>
      <w:pPr>
        <w:ind w:right="2019"/>
        <w:spacing w:after="0" w:line="238" w:lineRule="auto"/>
        <w:rPr>
          <w:sz w:val="20"/>
          <w:szCs w:val="20"/>
          <w:color w:val="auto"/>
        </w:rPr>
      </w:pPr>
      <w:r>
        <w:rPr>
          <w:rFonts w:ascii="Courier New" w:cs="Courier New" w:eastAsia="Courier New" w:hAnsi="Courier New"/>
          <w:sz w:val="18"/>
          <w:szCs w:val="18"/>
          <w:color w:val="auto"/>
        </w:rPr>
        <w:t>Abhishek Vishwanathan, Mariana Audeves, Veronica Mupazviriwo, Elizabeth Novak and Sam Prashanth, acting individually, its true and lawful attorney,</w:t>
      </w:r>
    </w:p>
    <w:p>
      <w:pPr>
        <w:spacing w:after="0" w:line="1" w:lineRule="exact"/>
        <w:rPr>
          <w:sz w:val="20"/>
          <w:szCs w:val="20"/>
          <w:color w:val="auto"/>
        </w:rPr>
      </w:pPr>
    </w:p>
    <w:p>
      <w:pPr>
        <w:ind w:right="1819"/>
        <w:spacing w:after="0" w:line="268" w:lineRule="auto"/>
        <w:rPr>
          <w:sz w:val="20"/>
          <w:szCs w:val="20"/>
          <w:color w:val="auto"/>
        </w:rPr>
      </w:pPr>
      <w:r>
        <w:rPr>
          <w:rFonts w:ascii="Courier New" w:cs="Courier New" w:eastAsia="Courier New" w:hAnsi="Courier New"/>
          <w:sz w:val="16"/>
          <w:szCs w:val="16"/>
          <w:color w:val="auto"/>
        </w:rPr>
        <w:t>to execute and deliver in its name and on its behalf, whether the Company is acting individually or as representative of others, any and all filings required to be made by the Company pursuant to Rule 13f-1or Regulation 13D-G under the Securities Exchange Act of 1934, (as amended, the "Act"), which may be required of the Company with respect to securities which may be deemed to be beneficially owned by the Company under the Act, giving and granting unto each said Attorney-in-fact power and authority to act in the premises as fully</w:t>
      </w:r>
    </w:p>
    <w:p>
      <w:pPr>
        <w:spacing w:after="0" w:line="1" w:lineRule="exact"/>
        <w:rPr>
          <w:sz w:val="20"/>
          <w:szCs w:val="20"/>
          <w:color w:val="auto"/>
        </w:rPr>
      </w:pPr>
    </w:p>
    <w:p>
      <w:pPr>
        <w:ind w:right="1919"/>
        <w:spacing w:after="0" w:line="261" w:lineRule="auto"/>
        <w:rPr>
          <w:sz w:val="20"/>
          <w:szCs w:val="20"/>
          <w:color w:val="auto"/>
        </w:rPr>
      </w:pPr>
      <w:r>
        <w:rPr>
          <w:rFonts w:ascii="Courier New" w:cs="Courier New" w:eastAsia="Courier New" w:hAnsi="Courier New"/>
          <w:sz w:val="18"/>
          <w:szCs w:val="18"/>
          <w:color w:val="auto"/>
        </w:rPr>
        <w:t>and to all intents and purposes as the Company might or could do if personally present by one of its authorized signatories, hereby ratifying and confirming all that said Attorney-in-fact shall lawfully do or cause to be done by virtue hereof.</w:t>
      </w:r>
    </w:p>
    <w:p>
      <w:pPr>
        <w:spacing w:after="0" w:line="9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THIS POWER OF ATTORNEY shall remain in full force and effect until</w:t>
      </w:r>
    </w:p>
    <w:p>
      <w:pPr>
        <w:spacing w:after="0" w:line="31" w:lineRule="exact"/>
        <w:rPr>
          <w:sz w:val="20"/>
          <w:szCs w:val="20"/>
          <w:color w:val="auto"/>
        </w:rPr>
      </w:pPr>
    </w:p>
    <w:p>
      <w:pPr>
        <w:ind w:right="1919"/>
        <w:spacing w:after="0" w:line="248" w:lineRule="auto"/>
        <w:rPr>
          <w:sz w:val="20"/>
          <w:szCs w:val="20"/>
          <w:color w:val="auto"/>
        </w:rPr>
      </w:pPr>
      <w:r>
        <w:rPr>
          <w:rFonts w:ascii="Courier New" w:cs="Courier New" w:eastAsia="Courier New" w:hAnsi="Courier New"/>
          <w:sz w:val="18"/>
          <w:szCs w:val="18"/>
          <w:color w:val="auto"/>
        </w:rPr>
        <w:t>July 29, 2025 unless earlier revoked by written instrument, or in the event an Attorney-in-fact ceases to be an employee of The Goldman Sachs Group, Inc. or one of its affiliates or ceases to perform the function in connection with which he or she was appointed Attorney-in-fact prior to July 29, 2025, this Power of Attorney shall cease to have effect in relation to such Attorney-in-fact upon such cessation but shall continue in full force and effect in relation to the remaining Attorneys-in-fact. The Company has the unrestricted right unilaterally to revoke the Power of Attorney.</w:t>
      </w:r>
    </w:p>
    <w:p>
      <w:pPr>
        <w:spacing w:after="0" w:line="105" w:lineRule="exact"/>
        <w:rPr>
          <w:sz w:val="20"/>
          <w:szCs w:val="20"/>
          <w:color w:val="auto"/>
        </w:rPr>
      </w:pPr>
    </w:p>
    <w:p>
      <w:pPr>
        <w:ind w:right="1819"/>
        <w:spacing w:after="0" w:line="402" w:lineRule="auto"/>
        <w:rPr>
          <w:sz w:val="20"/>
          <w:szCs w:val="20"/>
          <w:color w:val="auto"/>
        </w:rPr>
      </w:pPr>
      <w:r>
        <w:rPr>
          <w:rFonts w:ascii="Courier New" w:cs="Courier New" w:eastAsia="Courier New" w:hAnsi="Courier New"/>
          <w:sz w:val="16"/>
          <w:szCs w:val="16"/>
          <w:color w:val="auto"/>
        </w:rPr>
        <w:t>This Power of Attorney shall be governed by, and construed in accordance with, the laws of the State of New York, without regard to rules of conflicts of law.</w:t>
      </w:r>
    </w:p>
    <w:p>
      <w:pPr>
        <w:ind w:right="1919"/>
        <w:spacing w:after="0" w:line="292" w:lineRule="auto"/>
        <w:rPr>
          <w:sz w:val="20"/>
          <w:szCs w:val="20"/>
          <w:color w:val="auto"/>
        </w:rPr>
      </w:pPr>
      <w:r>
        <w:rPr>
          <w:rFonts w:ascii="Courier New" w:cs="Courier New" w:eastAsia="Courier New" w:hAnsi="Courier New"/>
          <w:sz w:val="18"/>
          <w:szCs w:val="18"/>
          <w:color w:val="auto"/>
        </w:rPr>
        <w:t>This Power of Attorney supersedes the Power of Attorney granted by the Company to Abhishek V, Kateryna Osmachko, Ameen Soetan, Kshama Mishra, Papa Lette, Sunaina Kapoor, and Andrzej Szyszka on February 9, 2024.</w:t>
      </w:r>
    </w:p>
    <w:p>
      <w:pPr>
        <w:spacing w:after="0" w:line="66" w:lineRule="exact"/>
        <w:rPr>
          <w:sz w:val="20"/>
          <w:szCs w:val="20"/>
          <w:color w:val="auto"/>
        </w:rPr>
      </w:pPr>
    </w:p>
    <w:p>
      <w:pPr>
        <w:ind w:right="2759"/>
        <w:spacing w:after="0" w:line="346" w:lineRule="auto"/>
        <w:rPr>
          <w:sz w:val="20"/>
          <w:szCs w:val="20"/>
          <w:color w:val="auto"/>
        </w:rPr>
      </w:pPr>
      <w:r>
        <w:rPr>
          <w:rFonts w:ascii="Courier New" w:cs="Courier New" w:eastAsia="Courier New" w:hAnsi="Courier New"/>
          <w:sz w:val="18"/>
          <w:szCs w:val="18"/>
          <w:color w:val="auto"/>
        </w:rPr>
        <w:t>IN WITNESS WHEREOF, the undersigned has duly subscribed these presents as of July 29, 2024.</w:t>
      </w: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GOLDMAN SACHS &amp; CO. LLC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By: /s/</w:t>
      </w:r>
      <w:r>
        <w:rPr>
          <w:sz w:val="20"/>
          <w:szCs w:val="20"/>
          <w:color w:val="auto"/>
        </w:rPr>
        <w:tab/>
      </w:r>
      <w:r>
        <w:rPr>
          <w:rFonts w:ascii="Courier New" w:cs="Courier New" w:eastAsia="Courier New" w:hAnsi="Courier New"/>
          <w:sz w:val="16"/>
          <w:szCs w:val="16"/>
          <w:color w:val="auto"/>
        </w:rPr>
        <w:t>Richard A. Friedman</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____________________________</w:t>
      </w:r>
    </w:p>
    <w:p>
      <w:pPr>
        <w:spacing w:after="0" w:line="238" w:lineRule="auto"/>
        <w:rPr>
          <w:sz w:val="20"/>
          <w:szCs w:val="20"/>
          <w:color w:val="auto"/>
        </w:rPr>
      </w:pPr>
      <w:r>
        <w:rPr>
          <w:rFonts w:ascii="Courier New" w:cs="Courier New" w:eastAsia="Courier New" w:hAnsi="Courier New"/>
          <w:sz w:val="18"/>
          <w:szCs w:val="18"/>
          <w:color w:val="auto"/>
        </w:rPr>
        <w:t>Name: Richard A. Friedman</w:t>
      </w:r>
    </w:p>
    <w:p>
      <w:pPr>
        <w:spacing w:after="0"/>
        <w:rPr>
          <w:sz w:val="20"/>
          <w:szCs w:val="20"/>
          <w:color w:val="auto"/>
        </w:rPr>
      </w:pPr>
      <w:r>
        <w:rPr>
          <w:rFonts w:ascii="Courier New" w:cs="Courier New" w:eastAsia="Courier New" w:hAnsi="Courier New"/>
          <w:sz w:val="18"/>
          <w:szCs w:val="18"/>
          <w:color w:val="auto"/>
        </w:rPr>
        <w:t>Title: Assistant Secretary</w:t>
      </w:r>
    </w:p>
    <w:p>
      <w:pPr>
        <w:spacing w:after="0" w:line="372"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Page 10 of 11</w:t>
      </w:r>
    </w:p>
    <w:p>
      <w:pPr>
        <w:sectPr>
          <w:pgSz w:w="11900" w:h="16838" w:orient="portrait"/>
          <w:cols w:equalWidth="0" w:num="1">
            <w:col w:w="10139"/>
          </w:cols>
          <w:pgMar w:left="320" w:top="488" w:right="1440" w:bottom="1440" w:gutter="0" w:footer="0" w:header="0"/>
        </w:sectPr>
      </w:pPr>
    </w:p>
    <w:bookmarkStart w:id="11" w:name="page12"/>
    <w:bookmarkEnd w:id="11"/>
    <w:p>
      <w:pPr>
        <w:jc w:val="right"/>
        <w:ind w:right="1699"/>
        <w:spacing w:after="0"/>
        <w:rPr>
          <w:sz w:val="20"/>
          <w:szCs w:val="20"/>
          <w:color w:val="auto"/>
        </w:rPr>
      </w:pPr>
      <w:r>
        <w:rPr>
          <w:rFonts w:ascii="Courier New" w:cs="Courier New" w:eastAsia="Courier New" w:hAnsi="Courier New"/>
          <w:sz w:val="18"/>
          <w:szCs w:val="18"/>
          <w:color w:val="auto"/>
        </w:rPr>
        <w:t>EXHIBIT (99.4)</w:t>
      </w:r>
    </w:p>
    <w:p>
      <w:pPr>
        <w:spacing w:after="0" w:line="201"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POWER OF ATTORNEY</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KNOW ALL PERSONS BY THESE PRESENTS that GOLDMAN SACHS &amp; CO. LLC</w:t>
      </w:r>
    </w:p>
    <w:p>
      <w:pPr>
        <w:spacing w:after="0" w:line="31" w:lineRule="exact"/>
        <w:rPr>
          <w:sz w:val="20"/>
          <w:szCs w:val="20"/>
          <w:color w:val="auto"/>
        </w:rPr>
      </w:pPr>
    </w:p>
    <w:p>
      <w:pPr>
        <w:jc w:val="both"/>
        <w:ind w:right="2439"/>
        <w:spacing w:after="0" w:line="268" w:lineRule="auto"/>
        <w:rPr>
          <w:sz w:val="20"/>
          <w:szCs w:val="20"/>
          <w:color w:val="auto"/>
        </w:rPr>
      </w:pPr>
      <w:r>
        <w:rPr>
          <w:rFonts w:ascii="Courier New" w:cs="Courier New" w:eastAsia="Courier New" w:hAnsi="Courier New"/>
          <w:sz w:val="16"/>
          <w:szCs w:val="16"/>
          <w:color w:val="auto"/>
        </w:rPr>
        <w:t>(the "Company") does hereby make, constitute and appoint each Papa Lette, Akash Keshari, Regina Chan, Andrzej Szyszka, Ameen Soetan, Rahail Patel, Santosh Vinayagamoorthy, Sadhiya Raffique, Matthew Pomfret,</w:t>
      </w:r>
    </w:p>
    <w:p>
      <w:pPr>
        <w:ind w:right="1819"/>
        <w:spacing w:after="0" w:line="244" w:lineRule="auto"/>
        <w:rPr>
          <w:sz w:val="20"/>
          <w:szCs w:val="20"/>
          <w:color w:val="auto"/>
        </w:rPr>
      </w:pPr>
      <w:r>
        <w:rPr>
          <w:rFonts w:ascii="Courier New" w:cs="Courier New" w:eastAsia="Courier New" w:hAnsi="Courier New"/>
          <w:sz w:val="18"/>
          <w:szCs w:val="18"/>
          <w:color w:val="auto"/>
        </w:rPr>
        <w:t>Abhishek Vishwanathan, Mariana Audeves Martinez, Veronica Mupazviriwo, Elizabeth Novak and Sam Prashanth, acting individually, its true and lawful attorney, to execute and deliver in its name and on its behalf, whether the Company is acting individually or as representative of others, any and all filings required to be made by the Company pursuant to Rule 13f-1or Regulation 13D-G under the Securities Exchange Act of 1934, (as amended, the "Act"), which may be required of the Company with respect to securities which may be deemed to be beneficially owned by the Company under the Act, giving and granting unto each said Attorney-in-fact power and authority to act in the premises as fully and to all intents and purposes as the Company might or could do if personally present by one of its authorized signatories, hereby ratifying and confirming all that said Attorney-in-fact shall lawfully do or cause to be done by virtue hereof.</w:t>
      </w:r>
    </w:p>
    <w:p>
      <w:pPr>
        <w:spacing w:after="0" w:line="1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THIS POWER OF ATTORNEY shall remain in full force and effect until</w:t>
      </w:r>
    </w:p>
    <w:p>
      <w:pPr>
        <w:spacing w:after="0" w:line="31" w:lineRule="exact"/>
        <w:rPr>
          <w:sz w:val="20"/>
          <w:szCs w:val="20"/>
          <w:color w:val="auto"/>
        </w:rPr>
      </w:pPr>
    </w:p>
    <w:p>
      <w:pPr>
        <w:ind w:right="1819"/>
        <w:spacing w:after="0" w:line="238" w:lineRule="auto"/>
        <w:rPr>
          <w:sz w:val="20"/>
          <w:szCs w:val="20"/>
          <w:color w:val="auto"/>
        </w:rPr>
      </w:pPr>
      <w:r>
        <w:rPr>
          <w:rFonts w:ascii="Courier New" w:cs="Courier New" w:eastAsia="Courier New" w:hAnsi="Courier New"/>
          <w:sz w:val="18"/>
          <w:szCs w:val="18"/>
          <w:color w:val="auto"/>
        </w:rPr>
        <w:t>October 1,2025 unless earlier revoked by written instrument, or in the event an Attorney-in-fact ceases to be an employee of The Goldman Sachs Group, Inc.</w:t>
      </w:r>
    </w:p>
    <w:p>
      <w:pPr>
        <w:spacing w:after="0" w:line="1" w:lineRule="exact"/>
        <w:rPr>
          <w:sz w:val="20"/>
          <w:szCs w:val="20"/>
          <w:color w:val="auto"/>
        </w:rPr>
      </w:pPr>
    </w:p>
    <w:p>
      <w:pPr>
        <w:ind w:right="2019"/>
        <w:spacing w:after="0" w:line="238" w:lineRule="auto"/>
        <w:rPr>
          <w:sz w:val="20"/>
          <w:szCs w:val="20"/>
          <w:color w:val="auto"/>
        </w:rPr>
      </w:pPr>
      <w:r>
        <w:rPr>
          <w:rFonts w:ascii="Courier New" w:cs="Courier New" w:eastAsia="Courier New" w:hAnsi="Courier New"/>
          <w:sz w:val="18"/>
          <w:szCs w:val="18"/>
          <w:color w:val="auto"/>
        </w:rPr>
        <w:t>or one of its affiliates or ceases to perform the function in connection with which he or she was appointed Attorney-in-fact prior to October 1,2025</w:t>
      </w:r>
    </w:p>
    <w:p>
      <w:pPr>
        <w:spacing w:after="0" w:line="1" w:lineRule="exact"/>
        <w:rPr>
          <w:sz w:val="20"/>
          <w:szCs w:val="20"/>
          <w:color w:val="auto"/>
        </w:rPr>
      </w:pPr>
    </w:p>
    <w:p>
      <w:pPr>
        <w:ind w:right="2339"/>
        <w:spacing w:after="0" w:line="261" w:lineRule="auto"/>
        <w:rPr>
          <w:sz w:val="20"/>
          <w:szCs w:val="20"/>
          <w:color w:val="auto"/>
        </w:rPr>
      </w:pPr>
      <w:r>
        <w:rPr>
          <w:rFonts w:ascii="Courier New" w:cs="Courier New" w:eastAsia="Courier New" w:hAnsi="Courier New"/>
          <w:sz w:val="18"/>
          <w:szCs w:val="18"/>
          <w:color w:val="auto"/>
        </w:rPr>
        <w:t>this Power of Attorney shall cease to have effect in relation to such Attorney-in-fact upon such cessation but shall continue in full force and effect in relation to the remaining Attorneys-in-fact. The Company has the unrestricted right unilaterally to revoke the Power of Attorney.</w:t>
      </w:r>
    </w:p>
    <w:p>
      <w:pPr>
        <w:spacing w:after="0" w:line="93" w:lineRule="exact"/>
        <w:rPr>
          <w:sz w:val="20"/>
          <w:szCs w:val="20"/>
          <w:color w:val="auto"/>
        </w:rPr>
      </w:pPr>
    </w:p>
    <w:p>
      <w:pPr>
        <w:ind w:right="1819"/>
        <w:spacing w:after="0" w:line="402" w:lineRule="auto"/>
        <w:rPr>
          <w:sz w:val="20"/>
          <w:szCs w:val="20"/>
          <w:color w:val="auto"/>
        </w:rPr>
      </w:pPr>
      <w:r>
        <w:rPr>
          <w:rFonts w:ascii="Courier New" w:cs="Courier New" w:eastAsia="Courier New" w:hAnsi="Courier New"/>
          <w:sz w:val="16"/>
          <w:szCs w:val="16"/>
          <w:color w:val="auto"/>
        </w:rPr>
        <w:t>This Power of Attorney shall be governed by, and construed in accordance with, the laws of the State of New York, without regard to rules of conflicts of law.</w:t>
      </w:r>
    </w:p>
    <w:p>
      <w:pPr>
        <w:ind w:right="1919"/>
        <w:spacing w:after="0" w:line="292" w:lineRule="auto"/>
        <w:rPr>
          <w:sz w:val="20"/>
          <w:szCs w:val="20"/>
          <w:color w:val="auto"/>
        </w:rPr>
      </w:pPr>
      <w:r>
        <w:rPr>
          <w:rFonts w:ascii="Courier New" w:cs="Courier New" w:eastAsia="Courier New" w:hAnsi="Courier New"/>
          <w:sz w:val="18"/>
          <w:szCs w:val="18"/>
          <w:color w:val="auto"/>
        </w:rPr>
        <w:t>This Power of Attorney supersedes the Power of Attorney granted by the Company to Abhishek V, Kateryna Osmachko, Ameen Soetan, Kshama Mishra, Papa Lette, Sunaina Kapoor, and Andrzej Szyszka on December 1, 2023.</w:t>
      </w:r>
    </w:p>
    <w:p>
      <w:pPr>
        <w:spacing w:after="0" w:line="66" w:lineRule="exact"/>
        <w:rPr>
          <w:sz w:val="20"/>
          <w:szCs w:val="20"/>
          <w:color w:val="auto"/>
        </w:rPr>
      </w:pPr>
    </w:p>
    <w:p>
      <w:pPr>
        <w:ind w:right="2759"/>
        <w:spacing w:after="0" w:line="346" w:lineRule="auto"/>
        <w:rPr>
          <w:sz w:val="20"/>
          <w:szCs w:val="20"/>
          <w:color w:val="auto"/>
        </w:rPr>
      </w:pPr>
      <w:r>
        <w:rPr>
          <w:rFonts w:ascii="Courier New" w:cs="Courier New" w:eastAsia="Courier New" w:hAnsi="Courier New"/>
          <w:sz w:val="18"/>
          <w:szCs w:val="18"/>
          <w:color w:val="auto"/>
        </w:rPr>
        <w:t>IN WITNESS WHEREOF, the undersigned has duly subscribed these presents as of October 1,2024.</w:t>
      </w: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GOLDMAN SACHS &amp; CO. LLC</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By: /s/</w:t>
      </w:r>
      <w:r>
        <w:rPr>
          <w:sz w:val="20"/>
          <w:szCs w:val="20"/>
          <w:color w:val="auto"/>
        </w:rPr>
        <w:tab/>
      </w:r>
      <w:r>
        <w:rPr>
          <w:rFonts w:ascii="Courier New" w:cs="Courier New" w:eastAsia="Courier New" w:hAnsi="Courier New"/>
          <w:sz w:val="16"/>
          <w:szCs w:val="16"/>
          <w:color w:val="auto"/>
        </w:rPr>
        <w:t>Milton Millman</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____________________________</w:t>
      </w:r>
    </w:p>
    <w:p>
      <w:pPr>
        <w:spacing w:after="0" w:line="238" w:lineRule="auto"/>
        <w:rPr>
          <w:sz w:val="20"/>
          <w:szCs w:val="20"/>
          <w:color w:val="auto"/>
        </w:rPr>
      </w:pPr>
      <w:r>
        <w:rPr>
          <w:rFonts w:ascii="Courier New" w:cs="Courier New" w:eastAsia="Courier New" w:hAnsi="Courier New"/>
          <w:sz w:val="18"/>
          <w:szCs w:val="18"/>
          <w:color w:val="auto"/>
        </w:rPr>
        <w:t>Name: Milton Millman</w:t>
      </w:r>
    </w:p>
    <w:p>
      <w:pPr>
        <w:spacing w:after="0"/>
        <w:rPr>
          <w:sz w:val="20"/>
          <w:szCs w:val="20"/>
          <w:color w:val="auto"/>
        </w:rPr>
      </w:pPr>
      <w:r>
        <w:rPr>
          <w:rFonts w:ascii="Courier New" w:cs="Courier New" w:eastAsia="Courier New" w:hAnsi="Courier New"/>
          <w:sz w:val="18"/>
          <w:szCs w:val="18"/>
          <w:color w:val="auto"/>
        </w:rPr>
        <w:t>Title: Managing Director</w:t>
      </w:r>
    </w:p>
    <w:p>
      <w:pPr>
        <w:spacing w:after="0" w:line="372"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Page 11 of 11</w:t>
      </w:r>
    </w:p>
    <w:sectPr>
      <w:pgSz w:w="11900" w:h="16838" w:orient="portrait"/>
      <w:cols w:equalWidth="0" w:num="1">
        <w:col w:w="10139"/>
      </w:cols>
      <w:pgMar w:left="320" w:top="48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1]"/>
      <w:numFmt w:val="upperLetter"/>
      <w:start w:val="24"/>
    </w:lvl>
  </w:abstractNum>
  <w:abstractNum w:abstractNumId="1">
    <w:nsid w:val="79E2A9E3"/>
    <w:multiLevelType w:val="hybridMultilevel"/>
    <w:lvl w:ilvl="0">
      <w:lvlJc w:val="left"/>
      <w:lvlText w:val="%1."/>
      <w:numFmt w:val="decimal"/>
      <w:start w:val="1"/>
    </w:lvl>
  </w:abstractNum>
  <w:abstractNum w:abstractNumId="2">
    <w:nsid w:val="7545E146"/>
    <w:multiLevelType w:val="hybridMultilevel"/>
    <w:lvl w:ilvl="0">
      <w:lvlJc w:val="left"/>
      <w:lvlText w:val="%1."/>
      <w:numFmt w:val="decimal"/>
      <w:start w:val="4"/>
    </w:lvl>
  </w:abstractNum>
  <w:abstractNum w:abstractNumId="3">
    <w:nsid w:val="515F007C"/>
    <w:multiLevelType w:val="hybridMultilevel"/>
    <w:lvl w:ilvl="0">
      <w:lvlJc w:val="left"/>
      <w:lvlText w:val="%1."/>
      <w:numFmt w:val="decimal"/>
      <w:start w:val="9"/>
    </w:lvl>
  </w:abstractNum>
  <w:abstractNum w:abstractNumId="4">
    <w:nsid w:val="5BD062C2"/>
    <w:multiLevelType w:val="hybridMultilevel"/>
    <w:lvl w:ilvl="0">
      <w:lvlJc w:val="left"/>
      <w:lvlText w:val="%1."/>
      <w:numFmt w:val="decimal"/>
      <w:start w:val="10"/>
    </w:lvl>
  </w:abstractNum>
  <w:abstractNum w:abstractNumId="5">
    <w:nsid w:val="12200854"/>
    <w:multiLevelType w:val="hybridMultilevel"/>
    <w:lvl w:ilvl="0">
      <w:lvlJc w:val="left"/>
      <w:lvlText w:val="%1."/>
      <w:numFmt w:val="decimal"/>
      <w:start w:val="11"/>
    </w:lvl>
  </w:abstractNum>
  <w:abstractNum w:abstractNumId="6">
    <w:nsid w:val="4DB127F8"/>
    <w:multiLevelType w:val="hybridMultilevel"/>
    <w:lvl w:ilvl="0">
      <w:lvlJc w:val="left"/>
      <w:lvlText w:val="%1."/>
      <w:numFmt w:val="decimal"/>
      <w:start w:val="12"/>
    </w:lvl>
  </w:abstractNum>
  <w:abstractNum w:abstractNumId="7">
    <w:nsid w:val="216231B"/>
    <w:multiLevelType w:val="hybridMultilevel"/>
    <w:lvl w:ilvl="0">
      <w:lvlJc w:val="left"/>
      <w:lvlText w:val="%1."/>
      <w:numFmt w:val="decimal"/>
      <w:start w:val="1"/>
    </w:lvl>
  </w:abstractNum>
  <w:abstractNum w:abstractNumId="8">
    <w:nsid w:val="1F16E9E8"/>
    <w:multiLevelType w:val="hybridMultilevel"/>
    <w:lvl w:ilvl="0">
      <w:lvlJc w:val="left"/>
      <w:lvlText w:val="%1."/>
      <w:numFmt w:val="decimal"/>
      <w:start w:val="9"/>
    </w:lvl>
  </w:abstractNum>
  <w:abstractNum w:abstractNumId="9">
    <w:nsid w:val="1190CDE7"/>
    <w:multiLevelType w:val="hybridMultilevel"/>
    <w:lvl w:ilvl="0">
      <w:lvlJc w:val="left"/>
      <w:lvlText w:val="%1."/>
      <w:numFmt w:val="decimal"/>
      <w:start w:val="10"/>
    </w:lvl>
  </w:abstractNum>
  <w:abstractNum w:abstractNumId="10">
    <w:nsid w:val="66EF438D"/>
    <w:multiLevelType w:val="hybridMultilevel"/>
    <w:lvl w:ilvl="0">
      <w:lvlJc w:val="left"/>
      <w:lvlText w:val="%1."/>
      <w:numFmt w:val="decimal"/>
      <w:start w:val="11"/>
    </w:lvl>
  </w:abstractNum>
  <w:abstractNum w:abstractNumId="11">
    <w:nsid w:val="140E0F76"/>
    <w:multiLevelType w:val="hybridMultilevel"/>
    <w:lvl w:ilvl="0">
      <w:lvlJc w:val="left"/>
      <w:lvlText w:val="%1."/>
      <w:numFmt w:val="decimal"/>
      <w:start w:val="12"/>
    </w:lvl>
  </w:abstractNum>
  <w:abstractNum w:abstractNumId="12">
    <w:nsid w:val="3352255A"/>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2024-11-06T13:34:08Z</dcterms:created>
  <dcterms:modified xsi:type="dcterms:W3CDTF">2024-11-06T13:34:08Z</dcterms:modified>
</cp:coreProperties>
</file>