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restart"/>
          </w:tcPr>
          <w:p>
            <w:pPr>
              <w:spacing w:after="0"/>
              <w:rPr>
                <w:rFonts w:ascii="Arial" w:cs="Arial" w:eastAsia="Arial" w:hAnsi="Arial"/>
                <w:sz w:val="22"/>
                <w:szCs w:val="22"/>
                <w:color w:val="0000EE"/>
                <w:w w:val="91"/>
              </w:rPr>
            </w:pPr>
            <w:hyperlink r:id="rId12">
              <w:r>
                <w:rPr>
                  <w:rFonts w:ascii="Arial" w:cs="Arial" w:eastAsia="Arial" w:hAnsi="Arial"/>
                  <w:sz w:val="22"/>
                  <w:szCs w:val="22"/>
                  <w:color w:val="0000EE"/>
                  <w:w w:val="91"/>
                </w:rPr>
                <w:t>Heller Frances K</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3"/>
            <w:vMerge w:val="restart"/>
          </w:tcPr>
          <w:p>
            <w:pPr>
              <w:spacing w:after="0"/>
              <w:rPr>
                <w:sz w:val="20"/>
                <w:szCs w:val="20"/>
                <w:color w:val="auto"/>
              </w:rPr>
            </w:pPr>
            <w:r>
              <w:rPr>
                <w:rFonts w:ascii="Arial" w:cs="Arial" w:eastAsia="Arial" w:hAnsi="Arial"/>
                <w:sz w:val="18"/>
                <w:szCs w:val="18"/>
                <w:color w:val="0000FF"/>
                <w:w w:val="96"/>
              </w:rPr>
              <w:t>C/O ZAFGEN, INC.</w:t>
            </w: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5"/>
          </w:tcPr>
          <w:p>
            <w:pPr>
              <w:ind w:left="160"/>
              <w:spacing w:after="0"/>
              <w:rPr>
                <w:sz w:val="20"/>
                <w:szCs w:val="20"/>
                <w:color w:val="auto"/>
              </w:rPr>
            </w:pPr>
            <w:r>
              <w:rPr>
                <w:rFonts w:ascii="Arial" w:cs="Arial" w:eastAsia="Arial" w:hAnsi="Arial"/>
                <w:sz w:val="18"/>
                <w:szCs w:val="18"/>
                <w:color w:val="0000FF"/>
              </w:rPr>
              <w:t>11/15/2016</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175 PORTLAND STREET, 4TH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3"/>
          </w:tcPr>
          <w:p>
            <w:pPr>
              <w:ind w:left="56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02114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5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11/15/2016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4"/>
                <w:szCs w:val="14"/>
                <w:color w:val="0000FF"/>
                <w:w w:val="85"/>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10,000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3.5434</w:t>
            </w:r>
            <w:r>
              <w:rPr>
                <w:rFonts w:ascii="Arial" w:cs="Arial" w:eastAsia="Arial" w:hAnsi="Arial"/>
                <w:sz w:val="22"/>
                <w:szCs w:val="22"/>
                <w:color w:val="008000"/>
                <w:w w:val="91"/>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20,000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5"/>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purchased in multiple transactions at prices ranging from $3.53 to $3.56, inclusive. The reporting person undertakes to provide to Zafgen, Inc., any security holder of Zafgen, Inc., or the staff of the Securities and Exchange Commission, upon request, full information regarding the number of shares purchased at each separate price within the ranges set forth herein.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Laurie Burlingame,</w:t>
            </w:r>
          </w:p>
        </w:tc>
        <w:tc>
          <w:tcPr>
            <w:tcW w:w="52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11/17/2016</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1724"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2019-12-08T12:22:33Z</dcterms:created>
  <dcterms:modified xsi:type="dcterms:W3CDTF">2019-12-08T12:22:33Z</dcterms:modified>
</cp:coreProperties>
</file>